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仿宋_GB2312" w:eastAsia="仿宋_GB2312" w:cs="ArialUnicodeMS"/>
          <w:kern w:val="0"/>
          <w:sz w:val="32"/>
          <w:szCs w:val="32"/>
        </w:rPr>
      </w:pPr>
    </w:p>
    <w:p>
      <w:pPr>
        <w:rPr>
          <w:rFonts w:ascii="仿宋_GB2312" w:eastAsia="仿宋_GB2312" w:cs="ArialUnicodeMS"/>
          <w:kern w:val="0"/>
          <w:sz w:val="32"/>
          <w:szCs w:val="32"/>
        </w:rPr>
      </w:pPr>
    </w:p>
    <w:p>
      <w:pPr>
        <w:ind w:firstLine="1566" w:firstLineChars="300"/>
        <w:rPr>
          <w:rFonts w:ascii="黑体" w:hAnsi="黑体" w:eastAsia="黑体"/>
          <w:b/>
          <w:bCs/>
          <w:color w:val="000000"/>
          <w:sz w:val="52"/>
          <w:szCs w:val="52"/>
        </w:rPr>
      </w:pPr>
      <w:r>
        <w:rPr>
          <w:rFonts w:hint="eastAsia" w:ascii="黑体" w:eastAsia="黑体" w:cs="ArialUnicodeMS"/>
          <w:b/>
          <w:kern w:val="0"/>
          <w:sz w:val="52"/>
          <w:szCs w:val="52"/>
        </w:rPr>
        <w:t>柳州市</w:t>
      </w:r>
      <w:r>
        <w:rPr>
          <w:rFonts w:hint="eastAsia" w:ascii="黑体" w:hAnsi="黑体" w:eastAsia="黑体"/>
          <w:b/>
          <w:bCs/>
          <w:color w:val="000000"/>
          <w:sz w:val="52"/>
          <w:szCs w:val="52"/>
        </w:rPr>
        <w:t>农业信息中心</w:t>
      </w:r>
    </w:p>
    <w:p>
      <w:pPr>
        <w:ind w:firstLine="2349" w:firstLineChars="450"/>
        <w:rPr>
          <w:rFonts w:ascii="黑体" w:hAnsi="黑体" w:eastAsia="黑体"/>
          <w:b/>
          <w:bCs/>
          <w:color w:val="000000"/>
          <w:sz w:val="52"/>
          <w:szCs w:val="52"/>
        </w:rPr>
      </w:pPr>
      <w:r>
        <w:rPr>
          <w:rFonts w:hint="eastAsia" w:ascii="黑体" w:eastAsia="黑体"/>
          <w:b/>
          <w:kern w:val="0"/>
          <w:sz w:val="52"/>
          <w:szCs w:val="52"/>
        </w:rPr>
        <w:t>2020</w:t>
      </w:r>
      <w:r>
        <w:rPr>
          <w:rFonts w:hint="eastAsia" w:ascii="黑体" w:eastAsia="黑体" w:cs="ArialUnicodeMS"/>
          <w:b/>
          <w:kern w:val="0"/>
          <w:sz w:val="52"/>
          <w:szCs w:val="52"/>
        </w:rPr>
        <w:t>年度决算</w:t>
      </w:r>
    </w:p>
    <w:p>
      <w:pPr>
        <w:rPr>
          <w:rFonts w:ascii="ArialUnicodeMS" w:eastAsia="ArialUnicodeMS" w:cs="ArialUnicodeMS"/>
          <w:b/>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5521" w:firstLineChars="1250"/>
        <w:rPr>
          <w:rFonts w:ascii="方正小标宋简体" w:eastAsia="方正小标宋简体"/>
          <w:b/>
          <w:sz w:val="44"/>
          <w:szCs w:val="44"/>
        </w:rPr>
      </w:pPr>
    </w:p>
    <w:p>
      <w:pPr>
        <w:ind w:firstLine="5521" w:firstLineChars="1250"/>
        <w:rPr>
          <w:rFonts w:ascii="方正小标宋简体" w:eastAsia="方正小标宋简体"/>
          <w:b/>
          <w:sz w:val="44"/>
          <w:szCs w:val="44"/>
        </w:rPr>
      </w:pPr>
    </w:p>
    <w:p>
      <w:pPr>
        <w:ind w:firstLine="5521" w:firstLineChars="1250"/>
        <w:rPr>
          <w:rFonts w:ascii="方正小标宋简体" w:eastAsia="方正小标宋简体"/>
          <w:b/>
          <w:sz w:val="44"/>
          <w:szCs w:val="44"/>
        </w:rPr>
      </w:pPr>
    </w:p>
    <w:p>
      <w:pPr>
        <w:ind w:firstLine="5521" w:firstLineChars="1250"/>
        <w:rPr>
          <w:rFonts w:ascii="方正小标宋简体" w:eastAsia="方正小标宋简体"/>
          <w:b/>
          <w:sz w:val="44"/>
          <w:szCs w:val="44"/>
        </w:rPr>
      </w:pPr>
    </w:p>
    <w:p>
      <w:pPr>
        <w:ind w:left="1680" w:leftChars="800" w:firstLine="6626" w:firstLineChars="1500"/>
        <w:rPr>
          <w:rFonts w:ascii="方正小标宋简体" w:eastAsia="方正小标宋简体"/>
          <w:b/>
          <w:sz w:val="44"/>
          <w:szCs w:val="44"/>
        </w:rPr>
      </w:pPr>
      <w:r>
        <w:rPr>
          <w:rFonts w:hint="eastAsia" w:ascii="方正小标宋简体" w:eastAsia="方正小标宋简体"/>
          <w:b/>
          <w:sz w:val="44"/>
          <w:szCs w:val="44"/>
        </w:rPr>
        <w:t xml:space="preserve">          </w:t>
      </w:r>
    </w:p>
    <w:p>
      <w:pPr>
        <w:ind w:left="2520" w:leftChars="1200" w:firstLine="5301" w:firstLineChars="1200"/>
        <w:rPr>
          <w:rFonts w:ascii="方正小标宋简体" w:eastAsia="方正小标宋简体"/>
          <w:b/>
          <w:sz w:val="44"/>
          <w:szCs w:val="44"/>
        </w:rPr>
      </w:pPr>
      <w:r>
        <w:rPr>
          <w:rFonts w:hint="eastAsia" w:ascii="方正小标宋简体" w:eastAsia="方正小标宋简体"/>
          <w:b/>
          <w:sz w:val="44"/>
          <w:szCs w:val="44"/>
        </w:rPr>
        <w:t xml:space="preserve">  </w:t>
      </w:r>
    </w:p>
    <w:p>
      <w:pPr>
        <w:rPr>
          <w:rFonts w:ascii="方正小标宋简体" w:eastAsia="方正小标宋简体"/>
          <w:b/>
          <w:sz w:val="44"/>
          <w:szCs w:val="44"/>
        </w:rPr>
      </w:pPr>
      <w:r>
        <w:rPr>
          <w:rFonts w:hint="eastAsia" w:ascii="方正小标宋简体" w:eastAsia="方正小标宋简体"/>
          <w:b/>
          <w:sz w:val="44"/>
          <w:szCs w:val="44"/>
        </w:rPr>
        <w:t xml:space="preserve">             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华文仿宋" w:eastAsia="仿宋_GB2312"/>
          <w:b/>
          <w:color w:val="000000"/>
          <w:sz w:val="32"/>
          <w:szCs w:val="32"/>
        </w:rPr>
        <w:t>柳州市农业信息中心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color w:val="000000"/>
          <w:sz w:val="32"/>
          <w:szCs w:val="32"/>
        </w:rPr>
        <w:t>柳州市农业信息中心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color w:val="000000"/>
          <w:sz w:val="32"/>
          <w:szCs w:val="32"/>
        </w:rPr>
        <w:t>柳州市农业信息中心</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九、2020年度国有资本经营预算财政拨款支出决算情况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华文仿宋" w:eastAsia="仿宋_GB2312"/>
          <w:b/>
          <w:sz w:val="32"/>
          <w:szCs w:val="32"/>
        </w:rPr>
        <w:t>柳州市农业信息中心</w:t>
      </w:r>
      <w:r>
        <w:rPr>
          <w:rFonts w:hint="eastAsia" w:ascii="仿宋_GB2312" w:eastAsia="仿宋_GB2312"/>
          <w:b/>
          <w:sz w:val="32"/>
          <w:szCs w:val="32"/>
        </w:rPr>
        <w:t>概况</w:t>
      </w:r>
    </w:p>
    <w:p>
      <w:pPr>
        <w:numPr>
          <w:ilvl w:val="0"/>
          <w:numId w:val="1"/>
        </w:numPr>
        <w:ind w:firstLine="646"/>
        <w:rPr>
          <w:rFonts w:ascii="仿宋_GB2312" w:eastAsia="仿宋_GB2312"/>
          <w:sz w:val="32"/>
          <w:szCs w:val="32"/>
        </w:rPr>
      </w:pPr>
      <w:r>
        <w:rPr>
          <w:rFonts w:hint="eastAsia" w:ascii="仿宋_GB2312" w:eastAsia="仿宋_GB2312"/>
          <w:sz w:val="32"/>
          <w:szCs w:val="32"/>
        </w:rPr>
        <w:t>主要职能</w:t>
      </w:r>
    </w:p>
    <w:p>
      <w:pPr>
        <w:spacing w:line="560" w:lineRule="exact"/>
        <w:ind w:firstLine="627" w:firstLineChars="196"/>
        <w:rPr>
          <w:rFonts w:eastAsia="仿宋_GB2312"/>
          <w:sz w:val="32"/>
          <w:szCs w:val="32"/>
        </w:rPr>
      </w:pPr>
      <w:r>
        <w:rPr>
          <w:rFonts w:hint="eastAsia" w:eastAsia="仿宋_GB2312"/>
          <w:sz w:val="32"/>
          <w:szCs w:val="32"/>
        </w:rPr>
        <w:t>（一）为社会提供农业信息化服务。指导全市农业信息化建设、农业电子政务和农业信息网络宣传工作。</w:t>
      </w:r>
    </w:p>
    <w:p>
      <w:pPr>
        <w:spacing w:line="560" w:lineRule="exact"/>
        <w:ind w:firstLine="627" w:firstLineChars="196"/>
        <w:rPr>
          <w:rFonts w:eastAsia="仿宋_GB2312"/>
          <w:sz w:val="32"/>
          <w:szCs w:val="32"/>
        </w:rPr>
      </w:pPr>
      <w:r>
        <w:rPr>
          <w:rFonts w:hint="eastAsia" w:eastAsia="仿宋_GB2312"/>
          <w:sz w:val="32"/>
          <w:szCs w:val="32"/>
        </w:rPr>
        <w:t>（二）负责农业信息资源的采集、整理、发布及管理，农情调度与农业自然灾害统计工作。</w:t>
      </w:r>
    </w:p>
    <w:p>
      <w:pPr>
        <w:spacing w:line="560" w:lineRule="exact"/>
        <w:ind w:firstLine="627" w:firstLineChars="196"/>
        <w:rPr>
          <w:rFonts w:eastAsia="仿宋_GB2312"/>
          <w:sz w:val="32"/>
          <w:szCs w:val="32"/>
        </w:rPr>
      </w:pPr>
      <w:r>
        <w:rPr>
          <w:rFonts w:hint="eastAsia" w:eastAsia="仿宋_GB2312"/>
          <w:sz w:val="32"/>
          <w:szCs w:val="32"/>
        </w:rPr>
        <w:t>（三）保障和管理基础网络（农业信息网络）的运行、维护及农业信息安全，协助开展农业农村云大数据建设以及农村电商、农产品市场营销等有关工作。</w:t>
      </w:r>
    </w:p>
    <w:p>
      <w:pPr>
        <w:spacing w:line="560" w:lineRule="exact"/>
        <w:ind w:firstLine="627" w:firstLineChars="196"/>
        <w:rPr>
          <w:rFonts w:eastAsia="仿宋_GB2312"/>
          <w:sz w:val="32"/>
          <w:szCs w:val="32"/>
        </w:rPr>
      </w:pPr>
      <w:r>
        <w:rPr>
          <w:rFonts w:hint="eastAsia" w:eastAsia="仿宋_GB2312"/>
          <w:sz w:val="32"/>
          <w:szCs w:val="32"/>
        </w:rPr>
        <w:t>（四）完成主管部门交办的其他任务。</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二、决算单位构成</w:t>
      </w:r>
    </w:p>
    <w:p>
      <w:pPr>
        <w:adjustRightInd w:val="0"/>
        <w:snapToGrid w:val="0"/>
        <w:spacing w:line="560" w:lineRule="exact"/>
        <w:ind w:right="-218" w:rightChars="-104" w:firstLine="640" w:firstLineChars="200"/>
        <w:rPr>
          <w:rFonts w:ascii="仿宋_GB2312" w:hAnsi="华文仿宋" w:eastAsia="仿宋_GB2312"/>
          <w:b/>
          <w:bCs/>
          <w:sz w:val="32"/>
          <w:szCs w:val="32"/>
        </w:rPr>
      </w:pPr>
      <w:r>
        <w:rPr>
          <w:rFonts w:hint="eastAsia" w:ascii="仿宋_GB2312" w:hAnsi="华文仿宋" w:eastAsia="仿宋_GB2312"/>
          <w:sz w:val="32"/>
          <w:szCs w:val="32"/>
        </w:rPr>
        <w:t>柳州市农业信息中心为市农业农村局管理的正科级公益一类全额拨款事业单位，单位编制数8人，2020年年末实有人数7人</w:t>
      </w:r>
      <w:r>
        <w:rPr>
          <w:rFonts w:hint="eastAsia"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color w:val="000000"/>
          <w:sz w:val="32"/>
          <w:szCs w:val="32"/>
        </w:rPr>
        <w:t>柳州市农业信息中心</w:t>
      </w:r>
      <w:r>
        <w:rPr>
          <w:rFonts w:hint="eastAsia" w:ascii="仿宋_GB2312" w:eastAsia="仿宋_GB2312"/>
          <w:b/>
          <w:sz w:val="32"/>
          <w:szCs w:val="32"/>
        </w:rPr>
        <w:t>2020年决算报表</w:t>
      </w:r>
    </w:p>
    <w:p>
      <w:pPr>
        <w:ind w:firstLine="640" w:firstLineChars="200"/>
        <w:rPr>
          <w:rFonts w:ascii="仿宋_GB2312" w:eastAsia="仿宋_GB2312"/>
          <w:sz w:val="32"/>
          <w:szCs w:val="32"/>
        </w:rPr>
      </w:pPr>
      <w:r>
        <w:rPr>
          <w:rFonts w:hint="eastAsia" w:ascii="仿宋_GB2312" w:eastAsia="仿宋_GB2312"/>
          <w:sz w:val="32"/>
          <w:szCs w:val="32"/>
        </w:rPr>
        <w:t>表一：收入支出决算总表</w:t>
      </w:r>
    </w:p>
    <w:p>
      <w:pPr>
        <w:ind w:firstLine="640" w:firstLineChars="200"/>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0" w:firstLineChars="200"/>
        <w:rPr>
          <w:rFonts w:ascii="仿宋_GB2312" w:hAnsi="华文仿宋" w:eastAsia="仿宋_GB2312"/>
          <w:color w:val="000000"/>
          <w:sz w:val="32"/>
          <w:szCs w:val="32"/>
        </w:rPr>
      </w:pPr>
      <w:r>
        <w:rPr>
          <w:rFonts w:hint="eastAsia" w:ascii="仿宋_GB2312" w:eastAsia="仿宋_GB2312"/>
          <w:sz w:val="32"/>
          <w:szCs w:val="32"/>
        </w:rPr>
        <w:t>上述报表详见附件。</w:t>
      </w:r>
    </w:p>
    <w:p>
      <w:pPr>
        <w:spacing w:line="580" w:lineRule="exact"/>
        <w:ind w:left="105" w:leftChars="50" w:firstLine="482" w:firstLineChars="150"/>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color w:val="000000"/>
          <w:sz w:val="32"/>
          <w:szCs w:val="32"/>
        </w:rPr>
        <w:t>柳州市农业信息中心</w:t>
      </w:r>
      <w:r>
        <w:rPr>
          <w:rFonts w:hint="eastAsia" w:ascii="仿宋_GB2312" w:eastAsia="仿宋_GB2312"/>
          <w:b/>
          <w:sz w:val="32"/>
          <w:szCs w:val="32"/>
        </w:rPr>
        <w:t>2020年度单位决算情况</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ascii="仿宋_GB2312"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126.68万元，其中；本年收入122.33万元，年初结转和结余4.35万元；支出总计126.68万元，其中：本年支出117.14万元，年末结转和结余9.54万元。与2019年相比，收、支均增加39.27万元；与2019年相比均增长44.93%。</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ascii="仿宋_GB2312"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本单位本年收入总计122.33万元，其中：一般公共预算财政拨款收入120.3万元；占比98.34%；其他收入2.03万元，占比1.66%。</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本单位本年支出合计117.14万元，其中：基本支出105.13万元，占89.75%；项目支出12.01万元，占10.25%。</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本单位2020年度财政拨款收入、支出总决算均120.3万元。与2019年相比，财政拨款收入、支出总计均增加45.66万元，与2019年相比均增长61.17%。</w:t>
      </w:r>
    </w:p>
    <w:p>
      <w:pPr>
        <w:autoSpaceDE w:val="0"/>
        <w:autoSpaceDN w:val="0"/>
        <w:adjustRightInd w:val="0"/>
        <w:spacing w:line="580" w:lineRule="exact"/>
        <w:ind w:firstLine="321" w:firstLineChars="1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800" w:firstLineChars="25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本单位2020年度财政拨款支出112.81万元，占本年支出合计的96.3%。与2019年相比，财政拨款支出增加38.82万元，与2019年相比增加52.47%。</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2020年度财政拨款支出112.81万元，主要用于以下方面：社会保障和就业（类）支出14.69万元，占13.02%；卫生健康类支出3.4万元，占3.01%；农林水（类）支出84.53万元，占74.94%；住房保障（类）支出10.19万元，占9.03%。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支出年初预算为100万元，支出决算为112.81万元，完成年初预算的112.81%。决算数大于预算数的主要原因：年中追加安排财政拨款支出预算，涉及项目有行政事业养老保险、增人增资、住房公积金等。</w:t>
      </w:r>
    </w:p>
    <w:p>
      <w:pPr>
        <w:autoSpaceDE w:val="0"/>
        <w:autoSpaceDN w:val="0"/>
        <w:adjustRightInd w:val="0"/>
        <w:spacing w:line="580" w:lineRule="exact"/>
        <w:ind w:firstLine="640" w:firstLineChars="200"/>
        <w:jc w:val="left"/>
        <w:rPr>
          <w:rFonts w:ascii="仿宋_GB2312" w:eastAsia="仿宋_GB2312" w:cs="仿宋_GB2312"/>
          <w:bCs/>
          <w:color w:val="C00000"/>
          <w:kern w:val="0"/>
          <w:sz w:val="32"/>
          <w:szCs w:val="32"/>
        </w:rPr>
      </w:pPr>
      <w:r>
        <w:rPr>
          <w:rFonts w:hint="eastAsia" w:ascii="仿宋_GB2312" w:eastAsia="仿宋_GB2312" w:cs="仿宋_GB2312"/>
          <w:bCs/>
          <w:kern w:val="0"/>
          <w:sz w:val="32"/>
          <w:szCs w:val="32"/>
        </w:rPr>
        <w:t>1、社会保障和就业支出（类）行政事业单位养老支出（款）机关事业单位基本养老保险缴费支出（项）。年初预算为9.43万元，支出决算为11.65万元，完成年初预算的123.54%。决算数大于预算数的主要原因是本年度有新增人员及补缴新增人员社保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支出（类）行政事业单位养老支出（款）机关事业单位职业年金缴费支出（项）。年初预算为3.02万元，支出决算为3.04万元，完成年初预算的100.66%。决算数大于预算数的原因是社保基数调整形成的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3、卫生健康支出（类）行政事业单位医疗（款）事业单位医疗（项）。年初预算为3.41万元，支出决算为3.4万元，完成年初预算的99.7%。决算数小于预算数的主要原因是社保基数调整。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4、农林水支出（类）农业农村（款）事业运行（类）。年初预算为61.72万元，支出决算为76.85元，完成年初预算的124.51%。决算数大于预算数的主要原因是年中追加绩效考评奖励及增人增资经费。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5、农林水支出（类）农业农村（款）其他农业农村支出（项）。年初预算为16.4万元，支出决算为7.68元，完成年初预算的46.83%。决算数小于预算数的主要原因是项目实施进度慢，影响资金支出进度。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6、住房保障支出（类）住房改革支出（款）住房公积金（项）。年初预算为6.02万元，支出决算为10万元，完成年初预算的166.11%。决算数大于预算数的主要原因是年中追加增人增资公积金。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7、住房保障支出（类）住房改革支出（款）购房补贴（项）。年初预算为0万元，支出决算为0.19万元。决算数大于预算数的主要原因是年中追加购房补贴。 </w:t>
      </w:r>
    </w:p>
    <w:p>
      <w:pPr>
        <w:autoSpaceDE w:val="0"/>
        <w:autoSpaceDN w:val="0"/>
        <w:adjustRightInd w:val="0"/>
        <w:spacing w:line="580" w:lineRule="exact"/>
        <w:ind w:firstLine="640" w:firstLineChars="200"/>
        <w:jc w:val="left"/>
        <w:rPr>
          <w:rFonts w:ascii="仿宋_GB2312" w:eastAsia="仿宋_GB2312" w:cs="仿宋_GB2312"/>
          <w:b/>
          <w:color w:val="C00000"/>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2020年度财政拨款基本支出105.13元，其中：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人员经费97.32万元，主要包括：基本工资、津贴补贴、 奖金、伙食补助费、绩效工资、机关事业单位基本养老保险缴费、职业年金缴费、其他社会保障缴费、其他工资福利支出、离休费、退休费、抚恤金、生活补助、医疗费、奖励金、住房公积金等；</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7.81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等。</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0.21万元，支出决算为0万元，完成预算的0%，其中：因公出国（境）费支出决算为0万元，完成预算的0%；公务用车购置及运行费支出决算为0万元，完成预算的0%；公务接待费支出决算为0万元，完成预算的0%。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万元，与上年持平，其中：因公出国（境）费支出决算减少0万元，与上年持平；公务用车购置及运行费支出决算减少0万元，与上年持平；公务接待费支出决算减少0万元，与上年持平。</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本单位本年度无因公出国（境）费支出；公务用车购置及运行费支出减少的主要原因是本单位本年度无公务用车购置及运行费支出；公务接待费支出减少的主要原因是认真贯彻落实中央八项规定精神和厉行节约要求，进一步从严控制“三公”经费开支，本单位本年度无公务接待支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2020年度“三公”经费财政拨款支出决算中，因公出国（境）费支出决算0万元，占0%；公务用车购置及运行费支出决算0万元，占0%；公务接待费支出决算0万元，占%。具体情况如下：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1.因公出国（境）费支出0万元。全年单位因公出国 （境）团组0个，累计0人次。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2.公务用车购置及运行费支出0万元。其中；公务用车购置支出为0万元。公务用车运行支出0万元。2020年，单位开支财政拨款的公务用车保有量为0辆。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外宾接待支出0万元。主要用于开展因工作发生的外宾接待支出。2020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国内公务接待支出0万元。2020 年共接待国内来访团组0个、来宾0人次.</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基金预算财政拨款收、支情况。</w:t>
      </w:r>
    </w:p>
    <w:p>
      <w:pPr>
        <w:ind w:firstLine="321" w:firstLineChars="100"/>
        <w:rPr>
          <w:rFonts w:ascii="仿宋_GB2312" w:eastAsia="仿宋_GB2312" w:cs="仿宋_GB2312"/>
          <w:b/>
          <w:kern w:val="0"/>
          <w:sz w:val="32"/>
          <w:szCs w:val="32"/>
        </w:rPr>
      </w:pPr>
      <w:r>
        <w:rPr>
          <w:rFonts w:hint="eastAsia" w:ascii="仿宋_GB2312" w:eastAsia="仿宋_GB2312" w:cs="仿宋_GB2312"/>
          <w:b/>
          <w:kern w:val="0"/>
          <w:sz w:val="32"/>
          <w:szCs w:val="32"/>
        </w:rPr>
        <w:t xml:space="preserve">  九、2020年度国有资本经营预算财政拨款支出决算情况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本单位2020年度无国有资本经营预算财政拨款收、支情况。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pStyle w:val="11"/>
        <w:autoSpaceDE w:val="0"/>
        <w:autoSpaceDN w:val="0"/>
        <w:adjustRightInd w:val="0"/>
        <w:spacing w:line="580" w:lineRule="exact"/>
        <w:ind w:left="160"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根据财政预算管理要求，我单位组织对2020年度一般公共预算单位整体支出开展绩效自评工作。涉及预算资金97.6万元（年初下达预算100万元，年中财政收回2.4万元），自评覆盖率达到 100% 。</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（二）单位整体绩效自评结果</w:t>
      </w:r>
    </w:p>
    <w:p>
      <w:pPr>
        <w:autoSpaceDE w:val="0"/>
        <w:autoSpaceDN w:val="0"/>
        <w:adjustRightInd w:val="0"/>
        <w:spacing w:line="580" w:lineRule="exact"/>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整体支出</w:t>
      </w:r>
      <w:r>
        <w:rPr>
          <w:rFonts w:hint="eastAsia" w:ascii="仿宋_GB2312" w:eastAsia="仿宋_GB2312" w:cs="仿宋_GB2312"/>
          <w:kern w:val="0"/>
          <w:sz w:val="32"/>
          <w:szCs w:val="32"/>
        </w:rPr>
        <w:t xml:space="preserve">自评得分为88.1分. </w:t>
      </w:r>
    </w:p>
    <w:p>
      <w:pPr>
        <w:autoSpaceDE w:val="0"/>
        <w:autoSpaceDN w:val="0"/>
        <w:adjustRightInd w:val="0"/>
        <w:spacing w:line="580" w:lineRule="exact"/>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主要问题是年初设定的绩效目标指标维度较少，与工作目标农业信息资源管理、农业农村统计工作等相关的指标较少。</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下一步改进措施：设定绩效目标时，从相关性、适当性、可行性出发，以提高预算支出及时性、资金使用合规性、监控有效性，以更利于执行绩效监控管理和自评。</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ascii="仿宋_GB2312" w:eastAsia="仿宋_GB2312"/>
          <w:bCs/>
          <w:sz w:val="32"/>
          <w:szCs w:val="32"/>
        </w:rPr>
        <w:t>机关运行经费支出情况。本单位属事业单位，无机关运行经费支出。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（一）政府采购支出情况。2020年度单位政府采购支出总额1.47万元，全部为货物支出。</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（二）国有资产占用情况。截至年末单位共有车辆0辆，单价50万元以上通用设备0台（套），单价100万元以上专用设备0台（套）。 </w:t>
      </w:r>
    </w:p>
    <w:p>
      <w:pPr>
        <w:spacing w:line="580" w:lineRule="exact"/>
        <w:ind w:firstLine="482" w:firstLineChars="150"/>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spacing w:line="580" w:lineRule="exact"/>
        <w:ind w:left="645"/>
        <w:rPr>
          <w:rFonts w:ascii="仿宋_GB2312" w:eastAsia="仿宋_GB2312"/>
          <w:bCs/>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autoSpaceDE w:val="0"/>
        <w:autoSpaceDN w:val="0"/>
        <w:adjustRightInd w:val="0"/>
        <w:spacing w:line="580" w:lineRule="exact"/>
        <w:jc w:val="left"/>
        <w:rPr>
          <w:rFonts w:ascii="仿宋_GB2312" w:eastAsia="仿宋_GB2312" w:cs="仿宋_GB2312"/>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59F25"/>
    <w:multiLevelType w:val="singleLevel"/>
    <w:tmpl w:val="AAB59F25"/>
    <w:lvl w:ilvl="0" w:tentative="0">
      <w:start w:val="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070248"/>
    <w:rsid w:val="000D7B57"/>
    <w:rsid w:val="00103705"/>
    <w:rsid w:val="00135BF8"/>
    <w:rsid w:val="0015026A"/>
    <w:rsid w:val="00175373"/>
    <w:rsid w:val="00182B21"/>
    <w:rsid w:val="001E37E2"/>
    <w:rsid w:val="001E716B"/>
    <w:rsid w:val="00205EA1"/>
    <w:rsid w:val="00212956"/>
    <w:rsid w:val="00276113"/>
    <w:rsid w:val="002845C2"/>
    <w:rsid w:val="002D3750"/>
    <w:rsid w:val="002D7F3F"/>
    <w:rsid w:val="00386982"/>
    <w:rsid w:val="003B346C"/>
    <w:rsid w:val="003B41E4"/>
    <w:rsid w:val="003E75A3"/>
    <w:rsid w:val="00406949"/>
    <w:rsid w:val="00454BFB"/>
    <w:rsid w:val="005406A5"/>
    <w:rsid w:val="00570E4E"/>
    <w:rsid w:val="005B1514"/>
    <w:rsid w:val="005C7AB9"/>
    <w:rsid w:val="006213D7"/>
    <w:rsid w:val="00622963"/>
    <w:rsid w:val="0066579B"/>
    <w:rsid w:val="006750C7"/>
    <w:rsid w:val="00677D70"/>
    <w:rsid w:val="006A4987"/>
    <w:rsid w:val="006B126F"/>
    <w:rsid w:val="006B2979"/>
    <w:rsid w:val="006B568C"/>
    <w:rsid w:val="006C1367"/>
    <w:rsid w:val="006D2458"/>
    <w:rsid w:val="006E2C25"/>
    <w:rsid w:val="00703AD8"/>
    <w:rsid w:val="00704D9E"/>
    <w:rsid w:val="00715385"/>
    <w:rsid w:val="007462D9"/>
    <w:rsid w:val="0077311C"/>
    <w:rsid w:val="00773473"/>
    <w:rsid w:val="00790761"/>
    <w:rsid w:val="00791F10"/>
    <w:rsid w:val="007A499E"/>
    <w:rsid w:val="007E0DF2"/>
    <w:rsid w:val="008624C2"/>
    <w:rsid w:val="0088526A"/>
    <w:rsid w:val="00891D31"/>
    <w:rsid w:val="008B518E"/>
    <w:rsid w:val="008E68EA"/>
    <w:rsid w:val="00910ACA"/>
    <w:rsid w:val="0091759C"/>
    <w:rsid w:val="009627E0"/>
    <w:rsid w:val="009C1DD0"/>
    <w:rsid w:val="009C68A6"/>
    <w:rsid w:val="009D4565"/>
    <w:rsid w:val="009D61A2"/>
    <w:rsid w:val="00A24C5B"/>
    <w:rsid w:val="00A24E98"/>
    <w:rsid w:val="00A50DD6"/>
    <w:rsid w:val="00A67F04"/>
    <w:rsid w:val="00A70EE0"/>
    <w:rsid w:val="00A81504"/>
    <w:rsid w:val="00A935A7"/>
    <w:rsid w:val="00AC1596"/>
    <w:rsid w:val="00B15E39"/>
    <w:rsid w:val="00B2539F"/>
    <w:rsid w:val="00B86F5B"/>
    <w:rsid w:val="00BA7916"/>
    <w:rsid w:val="00BE0BD6"/>
    <w:rsid w:val="00BF4650"/>
    <w:rsid w:val="00C11366"/>
    <w:rsid w:val="00C377ED"/>
    <w:rsid w:val="00C923C9"/>
    <w:rsid w:val="00CB110F"/>
    <w:rsid w:val="00CD3CD2"/>
    <w:rsid w:val="00CE07B2"/>
    <w:rsid w:val="00CF1077"/>
    <w:rsid w:val="00CF3C37"/>
    <w:rsid w:val="00D75D21"/>
    <w:rsid w:val="00DD238D"/>
    <w:rsid w:val="00DD55BF"/>
    <w:rsid w:val="00E3398F"/>
    <w:rsid w:val="00E64E5D"/>
    <w:rsid w:val="00EF0827"/>
    <w:rsid w:val="00F32B9C"/>
    <w:rsid w:val="00F41785"/>
    <w:rsid w:val="00F53AE8"/>
    <w:rsid w:val="00F57FC1"/>
    <w:rsid w:val="00F66C5B"/>
    <w:rsid w:val="00FC0BBA"/>
    <w:rsid w:val="04A35D56"/>
    <w:rsid w:val="124204B5"/>
    <w:rsid w:val="26460DBA"/>
    <w:rsid w:val="2B6F74EB"/>
    <w:rsid w:val="2C4219FE"/>
    <w:rsid w:val="34020F86"/>
    <w:rsid w:val="367F0B77"/>
    <w:rsid w:val="39A63F06"/>
    <w:rsid w:val="3ED1439F"/>
    <w:rsid w:val="4C256E3D"/>
    <w:rsid w:val="4CB52F0F"/>
    <w:rsid w:val="532F1F9A"/>
    <w:rsid w:val="5B9F61EE"/>
    <w:rsid w:val="5E995A3E"/>
    <w:rsid w:val="62163194"/>
    <w:rsid w:val="624D024D"/>
    <w:rsid w:val="63E70C54"/>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4567</Words>
  <Characters>4993</Characters>
  <Lines>36</Lines>
  <Paragraphs>10</Paragraphs>
  <TotalTime>54</TotalTime>
  <ScaleCrop>false</ScaleCrop>
  <LinksUpToDate>false</LinksUpToDate>
  <CharactersWithSpaces>5080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2021-07-30T08:50:00Z</cp:lastPrinted>
  <dcterms:modified xsi:type="dcterms:W3CDTF">2022-09-14T06:55:03Z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F3FB4B06B7D84CBDA58C6DA1F529EB41</vt:lpwstr>
  </property>
</Properties>
</file>