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hAnsi="黑体" w:eastAsia="黑体"/>
          <w:bCs/>
          <w:color w:val="000000"/>
          <w:sz w:val="52"/>
          <w:szCs w:val="52"/>
        </w:rPr>
        <w:t>柳州市非税收入管理中心（柳州市民族经济发展资金管理中心）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bookmarkStart w:id="0" w:name="_GoBack"/>
      <w:bookmarkEnd w:id="0"/>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华文仿宋" w:eastAsia="仿宋_GB2312"/>
          <w:b/>
          <w:bCs/>
          <w:color w:val="000000"/>
          <w:sz w:val="32"/>
          <w:szCs w:val="32"/>
          <w:lang w:val="en-US" w:eastAsia="zh-CN"/>
        </w:rPr>
        <w:t>柳州市非税收入管理中心（柳州市民族经济发展资金管理中心)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华文仿宋" w:eastAsia="仿宋_GB2312"/>
          <w:b/>
          <w:bCs/>
          <w:color w:val="000000"/>
          <w:sz w:val="32"/>
          <w:szCs w:val="32"/>
          <w:lang w:val="en-US" w:eastAsia="zh-CN"/>
        </w:rPr>
        <w:t>柳州市非税收入管理中心（柳州市民族经济发展资金管理中心）</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hint="eastAsia" w:ascii="仿宋_GB2312" w:eastAsia="仿宋_GB2312"/>
          <w:b/>
          <w:sz w:val="32"/>
          <w:szCs w:val="32"/>
          <w:lang w:eastAsia="zh-CN"/>
        </w:rPr>
      </w:pPr>
      <w:r>
        <w:rPr>
          <w:rFonts w:hint="eastAsia" w:ascii="仿宋_GB2312" w:eastAsia="仿宋_GB2312"/>
          <w:b/>
          <w:sz w:val="32"/>
          <w:szCs w:val="32"/>
        </w:rPr>
        <w:t>第三部分：</w:t>
      </w:r>
      <w:r>
        <w:rPr>
          <w:rFonts w:hint="eastAsia" w:ascii="仿宋_GB2312" w:hAnsi="华文仿宋" w:eastAsia="仿宋_GB2312"/>
          <w:b/>
          <w:bCs/>
          <w:color w:val="000000"/>
          <w:sz w:val="32"/>
          <w:szCs w:val="32"/>
          <w:lang w:val="en-US" w:eastAsia="zh-CN"/>
        </w:rPr>
        <w:t>柳州市非税收入管理中心（柳州市民族经济发展资金管理中心)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left"/>
        <w:rPr>
          <w:rFonts w:hint="eastAsia" w:ascii="仿宋_GB2312" w:eastAsia="仿宋_GB2312"/>
          <w:b/>
          <w:sz w:val="32"/>
          <w:szCs w:val="32"/>
          <w:lang w:eastAsia="zh-CN"/>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华文仿宋" w:eastAsia="仿宋_GB2312"/>
          <w:b/>
          <w:bCs/>
          <w:color w:val="000000"/>
          <w:sz w:val="32"/>
          <w:szCs w:val="32"/>
          <w:lang w:val="en-US" w:eastAsia="zh-CN"/>
        </w:rPr>
        <w:t>柳州市非税收入管理中心（柳州市民族经济发展资金管理中心)</w:t>
      </w:r>
      <w:r>
        <w:rPr>
          <w:rFonts w:hint="eastAsia" w:ascii="仿宋_GB2312" w:eastAsia="仿宋_GB2312"/>
          <w:b/>
          <w:sz w:val="32"/>
          <w:szCs w:val="32"/>
        </w:rPr>
        <w:t>概况</w:t>
      </w:r>
    </w:p>
    <w:p>
      <w:pPr>
        <w:ind w:firstLine="646"/>
        <w:rPr>
          <w:rFonts w:hint="eastAsia" w:ascii="仿宋_GB2312" w:eastAsia="仿宋_GB2312"/>
          <w:sz w:val="32"/>
          <w:szCs w:val="32"/>
          <w:lang w:eastAsia="zh-CN"/>
        </w:rPr>
      </w:pPr>
      <w:r>
        <w:rPr>
          <w:rFonts w:hint="eastAsia" w:ascii="仿宋_GB2312" w:eastAsia="仿宋_GB2312"/>
          <w:sz w:val="32"/>
          <w:szCs w:val="32"/>
        </w:rPr>
        <w:t>一、主要职能</w:t>
      </w:r>
      <w:r>
        <w:rPr>
          <w:rFonts w:hint="eastAsia" w:ascii="仿宋_GB2312" w:eastAsia="仿宋_GB2312"/>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负责拟定市本级政府非税收入征收具体实施意见；市本级政府非税收入的征收管理、预算编制、收缴日常监督、专项检查等相关工作；市本级财政票据日常事务性和服务性工作；市本级罚没物资的接收、保管、处置等业务工作；市本级财政信用资金的清理工作</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（一）</w:t>
      </w:r>
      <w:r>
        <w:rPr>
          <w:rFonts w:hint="eastAsia" w:ascii="仿宋_GB2312" w:hAnsi="华文仿宋" w:eastAsia="仿宋_GB2312"/>
          <w:bCs/>
          <w:color w:val="000000"/>
          <w:sz w:val="32"/>
          <w:szCs w:val="32"/>
        </w:rPr>
        <w:t>非税收入征收管理方面：根据国家、自治区、市政府有关政府非税收入的法律、法规、规章和制度</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拟定非税收入相关管理办法；负责市本级政府非税收入征收管理</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组织、委托和督促执收单位做好政府非税收入征缴工作；负责市本级政府非税收入减缴、免缴、缓缴审核工作；负责市本级非税收入误缴误征、多缴多征的更正工作；组织编制、参与审核、督促执行市本级非税收入征收预算；负责市直行政事业单位国有资产收益的征收及监督管理；负责全市非税收入收缴统计报表及执行情况分析工作；开展非税收入征收管理日常监督</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参与非税收入专项稽查</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配合相关部门依法查处各种违反非税收入征收管理规定的行为。</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（二）</w:t>
      </w:r>
      <w:r>
        <w:rPr>
          <w:rFonts w:hint="eastAsia" w:ascii="仿宋_GB2312" w:hAnsi="华文仿宋" w:eastAsia="仿宋_GB2312"/>
          <w:bCs/>
          <w:color w:val="000000"/>
          <w:sz w:val="32"/>
          <w:szCs w:val="32"/>
        </w:rPr>
        <w:t>财政票据管理方面</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研究拟定市本级财政票据管理制度</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负责审定市本级各用票单位使用财政票据的资格</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负责对全市财政票据的领购、保管、发售、核销、销毁和监督检查等日常管理工作</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编报全市财政票据年度印制购领计划</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组织实施全市财政票据方面的各种报表统计工作</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指导县区财政票据管理工作</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负责财政票据信息反馈工作。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val="en-US" w:eastAsia="zh-CN"/>
        </w:rPr>
        <w:t>（三）</w:t>
      </w:r>
      <w:r>
        <w:rPr>
          <w:rFonts w:hint="eastAsia" w:ascii="仿宋_GB2312" w:hAnsi="华文仿宋" w:eastAsia="仿宋_GB2312"/>
          <w:bCs/>
          <w:color w:val="000000"/>
          <w:sz w:val="32"/>
          <w:szCs w:val="32"/>
        </w:rPr>
        <w:t>罚没物资管理方面：依法、依规对罚没物资进行规范化管理和处置审批；指导、监督市本级各有关单位的罚没物资管理工作；参与罚没物资的监销；督促罚没物资处置收入及时、足额上缴国库；指导县（区）财政部门罚没物资管理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（四）</w:t>
      </w:r>
      <w:r>
        <w:rPr>
          <w:rFonts w:hint="eastAsia" w:ascii="仿宋_GB2312" w:hAnsi="华文仿宋" w:eastAsia="仿宋_GB2312"/>
          <w:bCs/>
          <w:color w:val="000000"/>
          <w:sz w:val="32"/>
          <w:szCs w:val="32"/>
        </w:rPr>
        <w:t>财政周转金清理方面：负责核对债权数额</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制作债权确认催收函</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保持债权诉讼时效；负责调查了解债务人单位情况</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催收逾期债款；负责对债务人提交的减免、豁免债务申请</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进行调查核实提出处理意见建议；负责调查核实、申报核销财政周转金呆账；负责清理财政周转金历史遗留问题</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协助处理财政周转金会计账务</w:t>
      </w:r>
      <w:r>
        <w:rPr>
          <w:rFonts w:hint="eastAsia" w:ascii="仿宋_GB2312" w:hAnsi="华文仿宋" w:eastAsia="仿宋_GB2312"/>
          <w:bCs/>
          <w:color w:val="000000"/>
          <w:sz w:val="32"/>
          <w:szCs w:val="32"/>
          <w:lang w:eastAsia="zh-CN"/>
        </w:rPr>
        <w:t>。</w:t>
      </w:r>
    </w:p>
    <w:p>
      <w:pPr>
        <w:ind w:firstLine="646"/>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r>
        <w:rPr>
          <w:rFonts w:hint="eastAsia" w:ascii="仿宋_GB2312" w:eastAsia="仿宋_GB2312"/>
          <w:sz w:val="32"/>
          <w:szCs w:val="32"/>
          <w:lang w:eastAsia="zh-CN"/>
        </w:rPr>
        <w:t>。</w:t>
      </w:r>
    </w:p>
    <w:p>
      <w:pPr>
        <w:ind w:firstLine="645"/>
        <w:rPr>
          <w:rFonts w:hint="eastAsia" w:ascii="仿宋_GB2312" w:eastAsia="仿宋_GB2312"/>
          <w:sz w:val="32"/>
          <w:szCs w:val="32"/>
          <w:lang w:eastAsia="zh-CN"/>
        </w:rPr>
      </w:pPr>
      <w:r>
        <w:rPr>
          <w:rFonts w:hint="eastAsia" w:ascii="仿宋_GB2312" w:hAnsi="华文仿宋" w:eastAsia="仿宋_GB2312"/>
          <w:bCs/>
          <w:color w:val="000000"/>
          <w:sz w:val="32"/>
          <w:szCs w:val="32"/>
          <w:lang w:val="en-US" w:eastAsia="zh-CN"/>
        </w:rPr>
        <w:t>柳州市非税收入管理中心及柳州市民族经济发展资金管理中心。</w:t>
      </w: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华文仿宋" w:eastAsia="仿宋_GB2312"/>
          <w:b/>
          <w:bCs/>
          <w:color w:val="000000"/>
          <w:sz w:val="32"/>
          <w:szCs w:val="32"/>
          <w:lang w:val="en-US" w:eastAsia="zh-CN"/>
        </w:rPr>
        <w:t>柳州市非税收入管理中心（柳州市民族经济发展资金管理中心)</w:t>
      </w:r>
      <w:r>
        <w:rPr>
          <w:rFonts w:hint="eastAsia" w:ascii="仿宋_GB2312" w:eastAsia="仿宋_GB2312"/>
          <w:b/>
          <w:sz w:val="32"/>
          <w:szCs w:val="32"/>
        </w:rPr>
        <w:t xml:space="preserve"> 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p>
      <w:pPr>
        <w:ind w:firstLine="640" w:firstLineChars="200"/>
        <w:rPr>
          <w:rFonts w:ascii="仿宋_GB2312" w:hAnsi="黑体" w:eastAsia="仿宋_GB2312"/>
          <w:sz w:val="32"/>
          <w:szCs w:val="32"/>
        </w:rPr>
      </w:pPr>
    </w:p>
    <w:tbl>
      <w:tblPr>
        <w:tblStyle w:val="6"/>
        <w:tblW w:w="89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36"/>
        <w:gridCol w:w="1725"/>
        <w:gridCol w:w="2998"/>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trPr>
        <w:tc>
          <w:tcPr>
            <w:tcW w:w="8921" w:type="dxa"/>
            <w:gridSpan w:val="4"/>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表一：收入支出决算总表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436" w:type="dxa"/>
            <w:shd w:val="clear" w:color="auto" w:fill="auto"/>
            <w:tcMar>
              <w:top w:w="12" w:type="dxa"/>
              <w:left w:w="12" w:type="dxa"/>
              <w:right w:w="12" w:type="dxa"/>
            </w:tcMar>
            <w:vAlign w:val="bottom"/>
          </w:tcPr>
          <w:p>
            <w:pPr>
              <w:rPr>
                <w:rFonts w:hint="eastAsia" w:ascii="宋体" w:hAnsi="宋体" w:eastAsia="宋体" w:cs="宋体"/>
                <w:i w:val="0"/>
                <w:color w:val="000000"/>
                <w:sz w:val="20"/>
                <w:szCs w:val="20"/>
                <w:u w:val="none"/>
              </w:rPr>
            </w:pPr>
          </w:p>
        </w:tc>
        <w:tc>
          <w:tcPr>
            <w:tcW w:w="1725" w:type="dxa"/>
            <w:shd w:val="clear" w:color="auto" w:fill="auto"/>
            <w:tcMar>
              <w:top w:w="12" w:type="dxa"/>
              <w:left w:w="12" w:type="dxa"/>
              <w:right w:w="12" w:type="dxa"/>
            </w:tcMar>
            <w:vAlign w:val="bottom"/>
          </w:tcPr>
          <w:p>
            <w:pPr>
              <w:rPr>
                <w:rFonts w:hint="eastAsia" w:ascii="Arial" w:hAnsi="Arial" w:cs="Arial"/>
                <w:i w:val="0"/>
                <w:color w:val="000000"/>
                <w:sz w:val="20"/>
                <w:szCs w:val="20"/>
                <w:u w:val="none"/>
              </w:rPr>
            </w:pPr>
          </w:p>
        </w:tc>
        <w:tc>
          <w:tcPr>
            <w:tcW w:w="2998" w:type="dxa"/>
            <w:shd w:val="clear" w:color="auto" w:fill="auto"/>
            <w:tcMar>
              <w:top w:w="12" w:type="dxa"/>
              <w:left w:w="12" w:type="dxa"/>
              <w:right w:w="12" w:type="dxa"/>
            </w:tcMar>
            <w:vAlign w:val="bottom"/>
          </w:tcPr>
          <w:p>
            <w:pPr>
              <w:rPr>
                <w:rFonts w:hint="default" w:ascii="Arial" w:hAnsi="Arial" w:cs="Arial"/>
                <w:i w:val="0"/>
                <w:color w:val="000000"/>
                <w:sz w:val="20"/>
                <w:szCs w:val="20"/>
                <w:u w:val="none"/>
              </w:rPr>
            </w:pPr>
          </w:p>
        </w:tc>
        <w:tc>
          <w:tcPr>
            <w:tcW w:w="1762" w:type="dxa"/>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416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4760" w:type="dxa"/>
            <w:gridSpan w:val="2"/>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871.02</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26.90</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897.93</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1,068.96</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43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72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1,966.89</w:t>
            </w:r>
          </w:p>
        </w:tc>
        <w:tc>
          <w:tcPr>
            <w:tcW w:w="299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76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1,966.89</w:t>
            </w:r>
          </w:p>
        </w:tc>
      </w:tr>
    </w:tbl>
    <w:p>
      <w:pPr>
        <w:jc w:val="both"/>
      </w:pPr>
    </w:p>
    <w:p/>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140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6"/>
        <w:gridCol w:w="3216"/>
        <w:gridCol w:w="1501"/>
        <w:gridCol w:w="1308"/>
        <w:gridCol w:w="1404"/>
        <w:gridCol w:w="1237"/>
        <w:gridCol w:w="1273"/>
        <w:gridCol w:w="1848"/>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01"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308"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404"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237"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273"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848"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284"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006" w:type="dxa"/>
            <w:vMerge w:val="restart"/>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216"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01"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08"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04"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37"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73"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8"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84"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100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21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01"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08"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04"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37"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73"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8"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84"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 w:hRule="atLeast"/>
        </w:trPr>
        <w:tc>
          <w:tcPr>
            <w:tcW w:w="100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21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01"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08"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04"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37"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73"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48"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84"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4222" w:type="dxa"/>
            <w:gridSpan w:val="2"/>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4222" w:type="dxa"/>
            <w:gridSpan w:val="2"/>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897.93</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871.02</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718.29</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718.29</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财政事务</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718.29</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718.29</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2010601</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425.68</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425.68</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2010602</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61.57</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61.57</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2010699</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其他财政事务支出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231.05</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231.05</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78.38</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78.38</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行政事业单位养老支出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78.38</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78.38</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行政单位离退休</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47.10</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47.10</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23.36</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23.36</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39.05</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39.05</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39.05</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39.05</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20.64</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20.64</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2101103</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18.41</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18.41</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35.30</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35.30</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35.30</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35.30</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35.30</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35.30</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2299901</w:t>
            </w:r>
          </w:p>
        </w:tc>
        <w:tc>
          <w:tcPr>
            <w:tcW w:w="321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150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0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w:t>
            </w:r>
          </w:p>
        </w:tc>
      </w:tr>
    </w:tbl>
    <w:p>
      <w:r>
        <w:rPr>
          <w:rFonts w:hint="eastAsia"/>
        </w:rPr>
        <w:t>注：本表反映部门本年度取得的各项收入情况。</w:t>
      </w: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6"/>
        <w:tblW w:w="134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8"/>
        <w:gridCol w:w="3576"/>
        <w:gridCol w:w="1381"/>
        <w:gridCol w:w="1428"/>
        <w:gridCol w:w="1621"/>
        <w:gridCol w:w="1477"/>
        <w:gridCol w:w="1344"/>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458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381"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428"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621"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477"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344"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570"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 w:hRule="atLeast"/>
        </w:trPr>
        <w:tc>
          <w:tcPr>
            <w:tcW w:w="1008" w:type="dxa"/>
            <w:vMerge w:val="restart"/>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576"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81"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28"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621"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77"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44"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2" w:hRule="atLeast"/>
        </w:trPr>
        <w:tc>
          <w:tcPr>
            <w:tcW w:w="100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57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28"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621"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77"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44"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100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57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28"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621"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77"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44"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4584" w:type="dxa"/>
            <w:gridSpan w:val="2"/>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4584" w:type="dxa"/>
            <w:gridSpan w:val="2"/>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871.67</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546.57</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325.09</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一般公共服务支出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722.26</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397.17</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325.09</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财政事务</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722.26</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397.17</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325.09</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2010601</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397.17</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397.17</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2010602</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58.19</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58.19</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2010699</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其他财政事务支出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266.90</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266.90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74.91</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74.91</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行政事业单位养老支出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74.91</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74.91</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7.92</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7.92</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44.66</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44.66</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22.33</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22.33</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39.05</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39.05</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39.05</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39.05</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20.64</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20.64</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18.41</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18.41</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35.30</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35.30</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35.30</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35.30</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35.30</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35.30</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008"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2299901</w:t>
            </w:r>
          </w:p>
        </w:tc>
        <w:tc>
          <w:tcPr>
            <w:tcW w:w="357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38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42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621"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4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bl>
    <w:p/>
    <w:p>
      <w:r>
        <w:rPr>
          <w:rFonts w:hint="eastAsia"/>
        </w:rPr>
        <w:t>注：本表反映部门本年度各项支出情况。</w:t>
      </w: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center"/>
        <w:rPr>
          <w:sz w:val="22"/>
          <w:szCs w:val="22"/>
        </w:rPr>
      </w:pPr>
      <w:r>
        <w:rPr>
          <w:rFonts w:hint="eastAsia" w:ascii="方正小标宋简体" w:hAnsi="宋体" w:eastAsia="方正小标宋简体" w:cs="宋体"/>
          <w:kern w:val="0"/>
          <w:sz w:val="30"/>
          <w:szCs w:val="30"/>
          <w:lang w:val="en-US" w:eastAsia="zh-CN"/>
        </w:rPr>
        <w:t xml:space="preserve">                                                                                   </w:t>
      </w:r>
      <w:r>
        <w:rPr>
          <w:rFonts w:hint="eastAsia"/>
          <w:sz w:val="22"/>
          <w:szCs w:val="22"/>
        </w:rPr>
        <w:t>单位：万元</w:t>
      </w:r>
    </w:p>
    <w:tbl>
      <w:tblPr>
        <w:tblStyle w:val="6"/>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6"/>
        <w:gridCol w:w="380"/>
        <w:gridCol w:w="906"/>
        <w:gridCol w:w="3326"/>
        <w:gridCol w:w="380"/>
        <w:gridCol w:w="906"/>
        <w:gridCol w:w="1712"/>
        <w:gridCol w:w="1675"/>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41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808" w:type="dxa"/>
            <w:gridSpan w:val="6"/>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2886" w:type="dxa"/>
            <w:vMerge w:val="restart"/>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80"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06"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26"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80"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06"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12"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675"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809"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288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0"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2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0"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712"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75"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809"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871.02</w:t>
            </w: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722.26</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722.26</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74.91</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74.91</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39.05</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39.05</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871.02</w:t>
            </w: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871.52</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871.52</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1,068.96</w:t>
            </w: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1,068.46</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1,068.46</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1,068.96</w:t>
            </w: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2886"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1,939.98</w:t>
            </w:r>
          </w:p>
        </w:tc>
        <w:tc>
          <w:tcPr>
            <w:tcW w:w="332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0"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90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1,939.98</w:t>
            </w:r>
          </w:p>
        </w:tc>
        <w:tc>
          <w:tcPr>
            <w:tcW w:w="1712"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1,939.98</w:t>
            </w:r>
          </w:p>
        </w:tc>
        <w:tc>
          <w:tcPr>
            <w:tcW w:w="1675"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0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rPr>
          <w:rFonts w:hint="eastAsia"/>
        </w:rPr>
      </w:pPr>
    </w:p>
    <w:p>
      <w:r>
        <w:rPr>
          <w:rFonts w:hint="eastAsia"/>
        </w:rPr>
        <w:t>注：本表反映</w:t>
      </w:r>
      <w:r>
        <w:rPr>
          <w:rFonts w:hint="eastAsia"/>
          <w:lang w:eastAsia="zh-CN"/>
        </w:rPr>
        <w:t>单位</w:t>
      </w:r>
      <w:r>
        <w:rPr>
          <w:rFonts w:hint="eastAsia"/>
        </w:rPr>
        <w:t>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9"/>
        <w:gridCol w:w="4597"/>
        <w:gridCol w:w="2284"/>
        <w:gridCol w:w="2956"/>
        <w:gridCol w:w="2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574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236" w:type="dxa"/>
            <w:gridSpan w:val="3"/>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149" w:type="dxa"/>
            <w:vMerge w:val="restart"/>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597"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84"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956"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996"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149"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597"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84"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95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99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1149"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597"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84"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95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996"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5746" w:type="dxa"/>
            <w:gridSpan w:val="2"/>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5746" w:type="dxa"/>
            <w:gridSpan w:val="2"/>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871.52</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546.43</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722.26</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397.17</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722.26</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397.17</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397.17</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397.17</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2010602</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58.19</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266.90</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74.91</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74.91</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74.91</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74.91</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44.66</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44.66</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22.33</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22.33</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39.05</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39.05</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39.05</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39.05</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20.64</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20.64</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18.41</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18.41</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35.30</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35.30</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35.30</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35.30</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1149"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597"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28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35.30</w:t>
            </w:r>
          </w:p>
        </w:tc>
        <w:tc>
          <w:tcPr>
            <w:tcW w:w="295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35.30</w:t>
            </w:r>
          </w:p>
        </w:tc>
        <w:tc>
          <w:tcPr>
            <w:tcW w:w="2996"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
    <w:p>
      <w:r>
        <w:rPr>
          <w:rFonts w:hint="eastAsia"/>
        </w:rPr>
        <w:t>注：本表反映</w:t>
      </w:r>
      <w:r>
        <w:rPr>
          <w:rFonts w:hint="eastAsia"/>
          <w:lang w:eastAsia="zh-CN"/>
        </w:rPr>
        <w:t>单位</w:t>
      </w:r>
      <w:r>
        <w:rPr>
          <w:rFonts w:hint="eastAsia"/>
        </w:rPr>
        <w:t>本年度一般公共预算财政拨款实际支出情况。</w:t>
      </w:r>
    </w:p>
    <w:p/>
    <w:p>
      <w:pPr>
        <w:sectPr>
          <w:footerReference r:id="rId9" w:type="default"/>
          <w:footerReference r:id="rId10" w:type="even"/>
          <w:pgSz w:w="16838" w:h="11906" w:orient="landscape"/>
          <w:pgMar w:top="-283" w:right="1440" w:bottom="658"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firstLine="6820" w:firstLineChars="3100"/>
        <w:jc w:val="both"/>
        <w:rPr>
          <w:rFonts w:ascii="宋体" w:hAnsi="宋体" w:cs="宋体"/>
          <w:kern w:val="0"/>
          <w:sz w:val="22"/>
          <w:szCs w:val="22"/>
        </w:rPr>
      </w:pPr>
      <w:r>
        <w:rPr>
          <w:rFonts w:hint="eastAsia" w:ascii="宋体" w:hAnsi="宋体" w:cs="宋体"/>
          <w:kern w:val="0"/>
          <w:sz w:val="22"/>
          <w:szCs w:val="22"/>
        </w:rPr>
        <w:t>单位：万元</w:t>
      </w:r>
    </w:p>
    <w:tbl>
      <w:tblPr>
        <w:tblStyle w:val="6"/>
        <w:tblW w:w="92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7"/>
        <w:gridCol w:w="2869"/>
        <w:gridCol w:w="1033"/>
        <w:gridCol w:w="864"/>
        <w:gridCol w:w="2413"/>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465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4585" w:type="dxa"/>
            <w:gridSpan w:val="3"/>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757" w:type="dxa"/>
            <w:vMerge w:val="restart"/>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869"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33"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864"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413"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08" w:type="dxa"/>
            <w:vMerge w:val="restart"/>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75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69"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33"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64"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413"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08" w:type="dxa"/>
            <w:vMerge w:val="continue"/>
            <w:tcBorders>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488.05</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109.18</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79.31</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139.40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12.08</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44.66</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22.33</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20.64</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18.41</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757"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2869" w:type="dxa"/>
            <w:tcBorders>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864"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41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3626" w:type="dxa"/>
            <w:gridSpan w:val="2"/>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033"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495.97</w:t>
            </w:r>
          </w:p>
        </w:tc>
        <w:tc>
          <w:tcPr>
            <w:tcW w:w="3277" w:type="dxa"/>
            <w:gridSpan w:val="2"/>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308" w:type="dxa"/>
            <w:tcBorders>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50.46</w:t>
            </w:r>
          </w:p>
        </w:tc>
      </w:tr>
    </w:tbl>
    <w:p>
      <w:pPr>
        <w:rPr>
          <w:rFonts w:hint="eastAsia"/>
        </w:rPr>
      </w:pPr>
      <w:r>
        <w:rPr>
          <w:rFonts w:hint="eastAsia"/>
        </w:rPr>
        <w:t>注：本表反映</w:t>
      </w:r>
      <w:r>
        <w:rPr>
          <w:rFonts w:hint="eastAsia"/>
          <w:lang w:eastAsia="zh-CN"/>
        </w:rPr>
        <w:t>单位</w:t>
      </w:r>
      <w:r>
        <w:rPr>
          <w:rFonts w:hint="eastAsia"/>
        </w:rPr>
        <w:t>本年度一般公共预算财政拨款基本支出明细情况。</w:t>
      </w:r>
    </w:p>
    <w:p>
      <w:pPr>
        <w:rPr>
          <w:rFonts w:hint="eastAsia"/>
        </w:rPr>
        <w:sectPr>
          <w:pgSz w:w="11906" w:h="16838"/>
          <w:pgMar w:top="1440" w:right="1797" w:bottom="1440" w:left="179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r>
    </w:tbl>
    <w:p>
      <w:pPr>
        <w:rPr>
          <w:rFonts w:hint="eastAsia" w:asciiTheme="minorEastAsia" w:hAnsiTheme="minorEastAsia" w:eastAsiaTheme="minorEastAsia" w:cstheme="minorEastAsia"/>
          <w:sz w:val="24"/>
          <w:szCs w:val="24"/>
        </w:rPr>
        <w:sectPr>
          <w:pgSz w:w="16838" w:h="11906" w:orient="landscape"/>
          <w:pgMar w:top="1797" w:right="1440" w:bottom="1797" w:left="1440" w:header="851" w:footer="992" w:gutter="0"/>
          <w:pgNumType w:fmt="numberInDash"/>
          <w:cols w:space="720" w:num="1"/>
          <w:docGrid w:type="lines" w:linePitch="312" w:charSpace="0"/>
        </w:sectPr>
      </w:pPr>
      <w:r>
        <w:rPr>
          <w:rFonts w:hint="eastAsia"/>
        </w:rPr>
        <w:t>注：</w:t>
      </w:r>
      <w:r>
        <w:rPr>
          <w:rFonts w:hint="eastAsia" w:asciiTheme="minorEastAsia" w:hAnsiTheme="minorEastAsia" w:eastAsiaTheme="minorEastAsia" w:cstheme="minorEastAsia"/>
          <w:b w:val="0"/>
          <w:bCs/>
          <w:sz w:val="24"/>
          <w:szCs w:val="24"/>
          <w:lang w:eastAsia="zh-CN"/>
        </w:rPr>
        <w:t>柳州市</w:t>
      </w:r>
      <w:r>
        <w:rPr>
          <w:rFonts w:hint="eastAsia" w:asciiTheme="minorEastAsia" w:hAnsiTheme="minorEastAsia" w:eastAsiaTheme="minorEastAsia" w:cstheme="minorEastAsia"/>
          <w:b w:val="0"/>
          <w:bCs/>
          <w:sz w:val="24"/>
          <w:szCs w:val="24"/>
        </w:rPr>
        <w:t>非税收入管理局中心（柳州市民族经济发展资金管理中心）没有</w:t>
      </w:r>
      <w:r>
        <w:rPr>
          <w:rFonts w:hint="eastAsia" w:asciiTheme="minorEastAsia" w:hAnsiTheme="minorEastAsia" w:eastAsiaTheme="minorEastAsia" w:cstheme="minorEastAsia"/>
          <w:b w:val="0"/>
          <w:bCs/>
          <w:sz w:val="24"/>
          <w:szCs w:val="24"/>
          <w:lang w:eastAsia="zh-CN"/>
        </w:rPr>
        <w:t>“三公”经费拨款</w:t>
      </w:r>
      <w:r>
        <w:rPr>
          <w:rFonts w:hint="eastAsia" w:asciiTheme="minorEastAsia" w:hAnsiTheme="minorEastAsia" w:eastAsiaTheme="minorEastAsia" w:cstheme="minorEastAsia"/>
          <w:b w:val="0"/>
          <w:bCs/>
          <w:sz w:val="24"/>
          <w:szCs w:val="24"/>
        </w:rPr>
        <w:t>收入，也没有</w:t>
      </w:r>
      <w:r>
        <w:rPr>
          <w:rFonts w:hint="eastAsia" w:asciiTheme="minorEastAsia" w:hAnsiTheme="minorEastAsia" w:eastAsiaTheme="minorEastAsia" w:cstheme="minorEastAsia"/>
          <w:b w:val="0"/>
          <w:bCs/>
          <w:sz w:val="24"/>
          <w:szCs w:val="24"/>
          <w:lang w:eastAsia="zh-CN"/>
        </w:rPr>
        <w:t>“三公”经费</w:t>
      </w:r>
      <w:r>
        <w:rPr>
          <w:rFonts w:hint="eastAsia" w:asciiTheme="minorEastAsia" w:hAnsiTheme="minorEastAsia" w:eastAsiaTheme="minorEastAsia" w:cstheme="minorEastAsia"/>
          <w:b w:val="0"/>
          <w:bCs/>
          <w:sz w:val="24"/>
          <w:szCs w:val="24"/>
        </w:rPr>
        <w:t>安排的支出，故本表无数据</w:t>
      </w:r>
    </w:p>
    <w:p/>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ind w:left="1260" w:leftChars="400" w:hanging="420" w:hangingChars="200"/>
        <w:rPr>
          <w:rFonts w:hint="eastAsia" w:asciiTheme="minorEastAsia" w:hAnsiTheme="minorEastAsia" w:eastAsiaTheme="minorEastAsia" w:cstheme="minorEastAsia"/>
          <w:sz w:val="24"/>
          <w:szCs w:val="24"/>
          <w:lang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rPr>
        <w:t>注：</w:t>
      </w:r>
      <w:r>
        <w:rPr>
          <w:rFonts w:hint="eastAsia" w:asciiTheme="minorEastAsia" w:hAnsiTheme="minorEastAsia" w:eastAsiaTheme="minorEastAsia" w:cstheme="minorEastAsia"/>
          <w:b w:val="0"/>
          <w:bCs/>
          <w:sz w:val="24"/>
          <w:szCs w:val="24"/>
          <w:lang w:eastAsia="zh-CN"/>
        </w:rPr>
        <w:t>柳州市</w:t>
      </w:r>
      <w:r>
        <w:rPr>
          <w:rFonts w:hint="eastAsia" w:asciiTheme="minorEastAsia" w:hAnsiTheme="minorEastAsia" w:eastAsiaTheme="minorEastAsia" w:cstheme="minorEastAsia"/>
          <w:b w:val="0"/>
          <w:bCs/>
          <w:sz w:val="24"/>
          <w:szCs w:val="24"/>
        </w:rPr>
        <w:t>非税收入管理局中心（柳州市民族经济发展资金管理中心）没有</w:t>
      </w:r>
      <w:r>
        <w:rPr>
          <w:rFonts w:hint="eastAsia" w:asciiTheme="minorEastAsia" w:hAnsiTheme="minorEastAsia" w:eastAsiaTheme="minorEastAsia" w:cstheme="minorEastAsia"/>
          <w:b w:val="0"/>
          <w:bCs/>
          <w:sz w:val="24"/>
          <w:szCs w:val="24"/>
          <w:lang w:eastAsia="zh-CN"/>
        </w:rPr>
        <w:t>政府性基金</w:t>
      </w:r>
      <w:r>
        <w:rPr>
          <w:rFonts w:hint="eastAsia" w:asciiTheme="minorEastAsia" w:hAnsiTheme="minorEastAsia" w:eastAsiaTheme="minorEastAsia" w:cstheme="minorEastAsia"/>
          <w:b w:val="0"/>
          <w:bCs/>
          <w:sz w:val="24"/>
          <w:szCs w:val="24"/>
        </w:rPr>
        <w:t>收入，也没有</w:t>
      </w:r>
      <w:r>
        <w:rPr>
          <w:rFonts w:hint="eastAsia" w:asciiTheme="minorEastAsia" w:hAnsiTheme="minorEastAsia" w:eastAsiaTheme="minorEastAsia" w:cstheme="minorEastAsia"/>
          <w:b w:val="0"/>
          <w:bCs/>
          <w:sz w:val="24"/>
          <w:szCs w:val="24"/>
          <w:lang w:eastAsia="zh-CN"/>
        </w:rPr>
        <w:t>政府性基金</w:t>
      </w:r>
      <w:r>
        <w:rPr>
          <w:rFonts w:hint="eastAsia" w:asciiTheme="minorEastAsia" w:hAnsiTheme="minorEastAsia" w:eastAsiaTheme="minorEastAsia" w:cstheme="minorEastAsia"/>
          <w:b w:val="0"/>
          <w:bCs/>
          <w:sz w:val="24"/>
          <w:szCs w:val="24"/>
        </w:rPr>
        <w:t>收入安排的支出，故本表无数据</w:t>
      </w:r>
      <w:r>
        <w:rPr>
          <w:rFonts w:hint="eastAsia" w:asciiTheme="minorEastAsia" w:hAnsiTheme="minorEastAsia" w:eastAsiaTheme="minorEastAsia" w:cstheme="minorEastAsia"/>
          <w:b w:val="0"/>
          <w:bCs/>
          <w:sz w:val="24"/>
          <w:szCs w:val="24"/>
          <w:lang w:eastAsia="zh-CN"/>
        </w:rPr>
        <w:t>。</w:t>
      </w:r>
    </w:p>
    <w:p>
      <w:pPr>
        <w:spacing w:line="560" w:lineRule="exact"/>
      </w:pPr>
    </w:p>
    <w:tbl>
      <w:tblPr>
        <w:tblStyle w:val="6"/>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1"/>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hint="eastAsia" w:ascii="宋体" w:hAnsi="宋体" w:cs="宋体" w:eastAsiaTheme="minorEastAsia"/>
                <w:color w:val="000000"/>
                <w:sz w:val="24"/>
                <w:lang w:eastAsia="zh-CN"/>
              </w:rPr>
            </w:pPr>
            <w:r>
              <w:rPr>
                <w:rFonts w:hint="eastAsia" w:ascii="宋体" w:hAnsi="宋体" w:cs="宋体"/>
                <w:color w:val="000000"/>
                <w:kern w:val="0"/>
                <w:sz w:val="24"/>
              </w:rPr>
              <w:t>注：</w:t>
            </w:r>
            <w:r>
              <w:rPr>
                <w:rFonts w:hint="eastAsia" w:asciiTheme="minorEastAsia" w:hAnsiTheme="minorEastAsia" w:eastAsiaTheme="minorEastAsia" w:cstheme="minorEastAsia"/>
                <w:b w:val="0"/>
                <w:bCs/>
                <w:sz w:val="24"/>
                <w:szCs w:val="24"/>
                <w:lang w:eastAsia="zh-CN"/>
              </w:rPr>
              <w:t>柳州市</w:t>
            </w:r>
            <w:r>
              <w:rPr>
                <w:rFonts w:hint="eastAsia" w:asciiTheme="minorEastAsia" w:hAnsiTheme="minorEastAsia" w:eastAsiaTheme="minorEastAsia" w:cstheme="minorEastAsia"/>
                <w:b w:val="0"/>
                <w:bCs/>
                <w:sz w:val="24"/>
                <w:szCs w:val="24"/>
              </w:rPr>
              <w:t>非税收入管理局中心（柳州市民族经济发展资金管理中心）没有</w:t>
            </w:r>
            <w:r>
              <w:rPr>
                <w:rFonts w:hint="eastAsia" w:asciiTheme="minorEastAsia" w:hAnsiTheme="minorEastAsia" w:eastAsiaTheme="minorEastAsia" w:cstheme="minorEastAsia"/>
                <w:b w:val="0"/>
                <w:bCs/>
                <w:sz w:val="24"/>
                <w:szCs w:val="24"/>
                <w:lang w:eastAsia="zh-CN"/>
              </w:rPr>
              <w:t>国有资本经营预算</w:t>
            </w:r>
            <w:r>
              <w:rPr>
                <w:rFonts w:hint="eastAsia" w:asciiTheme="minorEastAsia" w:hAnsiTheme="minorEastAsia" w:eastAsiaTheme="minorEastAsia" w:cstheme="minorEastAsia"/>
                <w:b w:val="0"/>
                <w:bCs/>
                <w:sz w:val="24"/>
                <w:szCs w:val="24"/>
              </w:rPr>
              <w:t>收入，也没有</w:t>
            </w:r>
            <w:r>
              <w:rPr>
                <w:rFonts w:hint="eastAsia" w:asciiTheme="minorEastAsia" w:hAnsiTheme="minorEastAsia" w:eastAsiaTheme="minorEastAsia" w:cstheme="minorEastAsia"/>
                <w:b w:val="0"/>
                <w:bCs/>
                <w:sz w:val="24"/>
                <w:szCs w:val="24"/>
                <w:lang w:eastAsia="zh-CN"/>
              </w:rPr>
              <w:t>国有资本经营预算</w:t>
            </w:r>
            <w:r>
              <w:rPr>
                <w:rFonts w:hint="eastAsia" w:asciiTheme="minorEastAsia" w:hAnsiTheme="minorEastAsia" w:eastAsiaTheme="minorEastAsia" w:cstheme="minorEastAsia"/>
                <w:b w:val="0"/>
                <w:bCs/>
                <w:sz w:val="24"/>
                <w:szCs w:val="24"/>
              </w:rPr>
              <w:t>安排的支出，故本表无数</w:t>
            </w:r>
            <w:r>
              <w:rPr>
                <w:rFonts w:hint="eastAsia" w:asciiTheme="minorEastAsia" w:hAnsiTheme="minorEastAsia" w:eastAsiaTheme="minorEastAsia" w:cstheme="minorEastAsia"/>
                <w:b w:val="0"/>
                <w:bCs/>
                <w:sz w:val="24"/>
                <w:szCs w:val="24"/>
                <w:lang w:eastAsia="zh-CN"/>
              </w:rPr>
              <w:t>据。</w:t>
            </w: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华文仿宋" w:eastAsia="仿宋_GB2312"/>
          <w:b/>
          <w:bCs/>
          <w:color w:val="000000"/>
          <w:sz w:val="32"/>
          <w:szCs w:val="32"/>
          <w:lang w:val="en-US" w:eastAsia="zh-CN"/>
        </w:rPr>
        <w:t>柳州市非税收入管理中心（柳州市民族经济发展资金管理中心)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1966.89</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1966.89</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119.18万元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5.71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897.93</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871.02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97%</w:t>
      </w:r>
      <w:r>
        <w:rPr>
          <w:rFonts w:hint="eastAsia" w:ascii="仿宋_GB2312" w:eastAsia="仿宋_GB2312" w:cs="仿宋_GB2312"/>
          <w:bCs/>
          <w:kern w:val="0"/>
          <w:sz w:val="32"/>
          <w:szCs w:val="32"/>
        </w:rPr>
        <w:t> ；其他收入</w:t>
      </w:r>
      <w:r>
        <w:rPr>
          <w:rFonts w:hint="eastAsia" w:ascii="仿宋_GB2312" w:eastAsia="仿宋_GB2312" w:cs="仿宋_GB2312"/>
          <w:bCs/>
          <w:kern w:val="0"/>
          <w:sz w:val="32"/>
          <w:szCs w:val="32"/>
          <w:lang w:val="en-US" w:eastAsia="zh-CN"/>
        </w:rPr>
        <w:t>26.9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871.67</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546.57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62.7</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325.09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37.3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1939.98</w:t>
      </w:r>
      <w:r>
        <w:rPr>
          <w:rFonts w:hint="eastAsia" w:ascii="仿宋_GB2312" w:eastAsia="仿宋_GB2312" w:cs="仿宋_GB2312"/>
          <w:bCs/>
          <w:kern w:val="0"/>
          <w:sz w:val="32"/>
          <w:szCs w:val="32"/>
        </w:rPr>
        <w:t>万元。与2019年相比，财政拨款收、支总计各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112.49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5.48</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871.52</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99.98</w:t>
      </w:r>
      <w:r>
        <w:rPr>
          <w:rFonts w:hint="eastAsia" w:ascii="仿宋_GB2312" w:eastAsia="仿宋_GB2312" w:cs="仿宋_GB2312"/>
          <w:bCs/>
          <w:kern w:val="0"/>
          <w:sz w:val="32"/>
          <w:szCs w:val="32"/>
        </w:rPr>
        <w:t>%。与2019年相比，财政拨款支出减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lang w:val="en-US" w:eastAsia="zh-CN"/>
        </w:rPr>
        <w:t>10.72</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1.21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（二）财政拨款支出决算结构情况</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871.52</w:t>
      </w:r>
      <w:r>
        <w:rPr>
          <w:rFonts w:hint="eastAsia" w:ascii="仿宋_GB2312" w:eastAsia="仿宋_GB2312" w:cs="仿宋_GB2312"/>
          <w:bCs/>
          <w:kern w:val="0"/>
          <w:sz w:val="32"/>
          <w:szCs w:val="32"/>
        </w:rPr>
        <w:t>万元，主要用于以下方面：一般公共服务（类）支出</w:t>
      </w:r>
      <w:r>
        <w:rPr>
          <w:rFonts w:hint="eastAsia" w:ascii="仿宋_GB2312" w:eastAsia="仿宋_GB2312" w:cs="仿宋_GB2312"/>
          <w:bCs/>
          <w:kern w:val="0"/>
          <w:sz w:val="32"/>
          <w:szCs w:val="32"/>
          <w:lang w:val="en-US" w:eastAsia="zh-CN"/>
        </w:rPr>
        <w:t>722.26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82.87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74.91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；卫生健康（类）支出</w:t>
      </w:r>
      <w:r>
        <w:rPr>
          <w:rFonts w:hint="eastAsia" w:ascii="仿宋_GB2312" w:eastAsia="仿宋_GB2312" w:cs="仿宋_GB2312"/>
          <w:bCs/>
          <w:kern w:val="0"/>
          <w:sz w:val="32"/>
          <w:szCs w:val="32"/>
          <w:lang w:val="en-US" w:eastAsia="zh-CN"/>
        </w:rPr>
        <w:t>39.05万元，占4.48%，</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35.3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4.05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（三）财政拨款支出决算具体情况</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944.24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871.52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92.3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小于</w:t>
      </w:r>
      <w:r>
        <w:rPr>
          <w:rFonts w:hint="eastAsia" w:ascii="仿宋_GB2312" w:eastAsia="仿宋_GB2312" w:cs="仿宋_GB2312"/>
          <w:bCs/>
          <w:kern w:val="0"/>
          <w:sz w:val="32"/>
          <w:szCs w:val="32"/>
        </w:rPr>
        <w:t>预算数的主要原因：一是2020年12月年底应付未付票据印刷费</w:t>
      </w:r>
      <w:r>
        <w:rPr>
          <w:rFonts w:hint="eastAsia" w:ascii="仿宋_GB2312" w:eastAsia="仿宋_GB2312" w:cs="仿宋_GB2312"/>
          <w:bCs/>
          <w:kern w:val="0"/>
          <w:sz w:val="32"/>
          <w:szCs w:val="32"/>
          <w:lang w:eastAsia="zh-CN"/>
        </w:rPr>
        <w:t>及非税业务经费</w:t>
      </w:r>
      <w:r>
        <w:rPr>
          <w:rFonts w:hint="eastAsia" w:ascii="仿宋_GB2312" w:eastAsia="仿宋_GB2312" w:cs="仿宋_GB2312"/>
          <w:bCs/>
          <w:kern w:val="0"/>
          <w:sz w:val="32"/>
          <w:szCs w:val="32"/>
        </w:rPr>
        <w:t>于2021年年初支付；二是受疫情影响，部分项目未按原计划进行。其中：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1.一般公共服务（类）财政事务（款）行政运行（项）。 年初预算为</w:t>
      </w:r>
      <w:r>
        <w:rPr>
          <w:rFonts w:hint="eastAsia" w:ascii="仿宋_GB2312" w:eastAsia="仿宋_GB2312" w:cs="仿宋_GB2312"/>
          <w:bCs/>
          <w:kern w:val="0"/>
          <w:sz w:val="32"/>
          <w:szCs w:val="32"/>
          <w:lang w:val="en-US" w:eastAsia="zh-CN"/>
        </w:rPr>
        <w:t>339.18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397.17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117.1</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color w:val="000000"/>
          <w:kern w:val="0"/>
          <w:sz w:val="32"/>
          <w:szCs w:val="32"/>
        </w:rPr>
        <w:t>人员支出增加，年中追加安排部分财政拨款预算。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2.一般公共服务（类）财政事务（款）一般行政管理事 务（项）。年初预算为</w:t>
      </w:r>
      <w:r>
        <w:rPr>
          <w:rFonts w:hint="eastAsia" w:ascii="仿宋_GB2312" w:eastAsia="仿宋_GB2312" w:cs="仿宋_GB2312"/>
          <w:bCs/>
          <w:kern w:val="0"/>
          <w:sz w:val="32"/>
          <w:szCs w:val="32"/>
          <w:lang w:val="en-US" w:eastAsia="zh-CN"/>
        </w:rPr>
        <w:t>84.38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58.19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68.96</w:t>
      </w:r>
      <w:r>
        <w:rPr>
          <w:rFonts w:hint="eastAsia" w:ascii="仿宋_GB2312" w:eastAsia="仿宋_GB2312" w:cs="仿宋_GB2312"/>
          <w:bCs/>
          <w:kern w:val="0"/>
          <w:sz w:val="32"/>
          <w:szCs w:val="32"/>
        </w:rPr>
        <w:t>%。决算数小于预算数的主要原因是一是</w:t>
      </w:r>
      <w:r>
        <w:rPr>
          <w:rFonts w:hint="eastAsia" w:ascii="仿宋_GB2312" w:eastAsia="仿宋_GB2312" w:cs="仿宋_GB2312"/>
          <w:bCs/>
          <w:kern w:val="0"/>
          <w:sz w:val="32"/>
          <w:szCs w:val="32"/>
          <w:lang w:eastAsia="zh-CN"/>
        </w:rPr>
        <w:t>非税业务</w:t>
      </w:r>
      <w:r>
        <w:rPr>
          <w:rFonts w:hint="eastAsia" w:ascii="仿宋_GB2312" w:eastAsia="仿宋_GB2312" w:cs="仿宋_GB2312"/>
          <w:bCs/>
          <w:kern w:val="0"/>
          <w:sz w:val="32"/>
          <w:szCs w:val="32"/>
        </w:rPr>
        <w:t>部分项目</w:t>
      </w:r>
      <w:r>
        <w:rPr>
          <w:rFonts w:hint="eastAsia" w:ascii="仿宋_GB2312" w:eastAsia="仿宋_GB2312" w:cs="仿宋_GB2312"/>
          <w:bCs/>
          <w:kern w:val="0"/>
          <w:sz w:val="32"/>
          <w:szCs w:val="32"/>
          <w:lang w:eastAsia="zh-CN"/>
        </w:rPr>
        <w:t>在</w:t>
      </w:r>
      <w:r>
        <w:rPr>
          <w:rFonts w:hint="eastAsia" w:ascii="仿宋_GB2312" w:eastAsia="仿宋_GB2312" w:cs="仿宋_GB2312"/>
          <w:bCs/>
          <w:kern w:val="0"/>
          <w:sz w:val="32"/>
          <w:szCs w:val="32"/>
          <w:lang w:val="en-US" w:eastAsia="zh-CN"/>
        </w:rPr>
        <w:t>2020年12月执行，</w:t>
      </w:r>
      <w:r>
        <w:rPr>
          <w:rFonts w:hint="eastAsia" w:ascii="仿宋_GB2312" w:eastAsia="仿宋_GB2312" w:cs="仿宋_GB2312"/>
          <w:bCs/>
          <w:kern w:val="0"/>
          <w:sz w:val="32"/>
          <w:szCs w:val="32"/>
        </w:rPr>
        <w:t>经费在2021年支付</w:t>
      </w: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是受疫情影响，</w:t>
      </w:r>
      <w:r>
        <w:rPr>
          <w:rFonts w:hint="eastAsia" w:ascii="仿宋_GB2312" w:eastAsia="仿宋_GB2312"/>
          <w:sz w:val="32"/>
          <w:szCs w:val="32"/>
          <w:lang w:val="en-US" w:eastAsia="zh-CN"/>
        </w:rPr>
        <w:t>财政票据电子化管理系统（网络版）业务培训未举办</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3.一般公共服务支出（类）财政事务（款）其他财政事务支出（项）。年初预算为</w:t>
      </w:r>
      <w:r>
        <w:rPr>
          <w:rFonts w:hint="eastAsia" w:ascii="仿宋_GB2312" w:eastAsia="仿宋_GB2312" w:cs="仿宋_GB2312"/>
          <w:bCs/>
          <w:kern w:val="0"/>
          <w:sz w:val="32"/>
          <w:szCs w:val="32"/>
          <w:lang w:val="en-US" w:eastAsia="zh-CN"/>
        </w:rPr>
        <w:t>370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266.9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72.14</w:t>
      </w:r>
      <w:r>
        <w:rPr>
          <w:rFonts w:hint="eastAsia" w:ascii="仿宋_GB2312" w:eastAsia="仿宋_GB2312" w:cs="仿宋_GB2312"/>
          <w:bCs/>
          <w:kern w:val="0"/>
          <w:sz w:val="32"/>
          <w:szCs w:val="32"/>
        </w:rPr>
        <w:t>%。决算数小于预算数的主要原因是:2020年12月年底应付未付票据印刷费于2021年年初支付。</w:t>
      </w:r>
    </w:p>
    <w:p>
      <w:pPr>
        <w:autoSpaceDE w:val="0"/>
        <w:autoSpaceDN w:val="0"/>
        <w:adjustRightInd w:val="0"/>
        <w:spacing w:line="560" w:lineRule="exact"/>
        <w:ind w:firstLine="640" w:firstLineChars="200"/>
        <w:rPr>
          <w:rFonts w:hint="eastAsia" w:ascii="仿宋_GB2312" w:eastAsia="仿宋_GB2312" w:cs="仿宋_GB2312"/>
          <w:bCs/>
          <w:color w:val="000000"/>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社会保障和就业支出（类）行政事业单位养老支出（款）行政单位离退休（项）。年初预算为</w:t>
      </w:r>
      <w:r>
        <w:rPr>
          <w:rFonts w:hint="eastAsia" w:ascii="仿宋_GB2312" w:eastAsia="仿宋_GB2312" w:cs="仿宋_GB2312"/>
          <w:bCs/>
          <w:kern w:val="0"/>
          <w:sz w:val="32"/>
          <w:szCs w:val="32"/>
          <w:lang w:val="en-US" w:eastAsia="zh-CN"/>
        </w:rPr>
        <w:t>7.25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7.92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109.24</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color w:val="000000"/>
          <w:kern w:val="0"/>
          <w:sz w:val="32"/>
          <w:szCs w:val="32"/>
        </w:rPr>
        <w:t>人员支出增加</w:t>
      </w:r>
      <w:r>
        <w:rPr>
          <w:rFonts w:hint="eastAsia" w:ascii="仿宋_GB2312" w:eastAsia="仿宋_GB2312" w:cs="仿宋_GB2312"/>
          <w:bCs/>
          <w:color w:val="000000"/>
          <w:kern w:val="0"/>
          <w:sz w:val="32"/>
          <w:szCs w:val="32"/>
          <w:lang w:eastAsia="zh-CN"/>
        </w:rPr>
        <w:t>，</w:t>
      </w:r>
      <w:r>
        <w:rPr>
          <w:rFonts w:hint="eastAsia" w:ascii="仿宋_GB2312" w:eastAsia="仿宋_GB2312" w:cs="仿宋_GB2312"/>
          <w:bCs/>
          <w:color w:val="000000"/>
          <w:kern w:val="0"/>
          <w:sz w:val="32"/>
          <w:szCs w:val="32"/>
        </w:rPr>
        <w:t>年中追加安排部分财政拨款预算。</w:t>
      </w:r>
    </w:p>
    <w:p>
      <w:pPr>
        <w:autoSpaceDE w:val="0"/>
        <w:autoSpaceDN w:val="0"/>
        <w:adjustRightInd w:val="0"/>
        <w:spacing w:line="58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color w:val="000000"/>
          <w:kern w:val="0"/>
          <w:sz w:val="32"/>
          <w:szCs w:val="32"/>
          <w:lang w:val="en-US" w:eastAsia="zh-CN"/>
        </w:rPr>
        <w:t>5.</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cs="仿宋_GB2312"/>
          <w:bCs/>
          <w:kern w:val="0"/>
          <w:sz w:val="32"/>
          <w:szCs w:val="32"/>
          <w:lang w:val="en-US" w:eastAsia="zh-CN"/>
        </w:rPr>
        <w:t>46.72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44.66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95.59</w:t>
      </w:r>
      <w:r>
        <w:rPr>
          <w:rFonts w:hint="eastAsia" w:ascii="仿宋_GB2312" w:eastAsia="仿宋_GB2312" w:cs="仿宋_GB2312"/>
          <w:bCs/>
          <w:kern w:val="0"/>
          <w:sz w:val="32"/>
          <w:szCs w:val="32"/>
        </w:rPr>
        <w:t>%。决算数小于预算数的主要原因是:人员增减变动，机关事业单位基本养老保险缴费支出</w:t>
      </w:r>
      <w:r>
        <w:rPr>
          <w:rFonts w:hint="eastAsia" w:ascii="仿宋_GB2312" w:eastAsia="仿宋_GB2312" w:cs="仿宋_GB2312"/>
          <w:bCs/>
          <w:kern w:val="0"/>
          <w:sz w:val="32"/>
          <w:szCs w:val="32"/>
          <w:lang w:eastAsia="zh-CN"/>
        </w:rPr>
        <w:t>略</w:t>
      </w:r>
      <w:r>
        <w:rPr>
          <w:rFonts w:hint="eastAsia" w:ascii="仿宋_GB2312" w:eastAsia="仿宋_GB2312" w:cs="仿宋_GB2312"/>
          <w:bCs/>
          <w:kern w:val="0"/>
          <w:sz w:val="32"/>
          <w:szCs w:val="32"/>
        </w:rPr>
        <w:t>有结余。</w:t>
      </w:r>
    </w:p>
    <w:p>
      <w:pPr>
        <w:autoSpaceDE w:val="0"/>
        <w:autoSpaceDN w:val="0"/>
        <w:adjustRightInd w:val="0"/>
        <w:spacing w:line="58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hint="eastAsia" w:ascii="仿宋_GB2312" w:eastAsia="仿宋_GB2312" w:cs="仿宋_GB2312"/>
          <w:bCs/>
          <w:kern w:val="0"/>
          <w:sz w:val="32"/>
          <w:szCs w:val="32"/>
          <w:lang w:val="en-US" w:eastAsia="zh-CN"/>
        </w:rPr>
        <w:t>23.36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22.33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95.59</w:t>
      </w:r>
      <w:r>
        <w:rPr>
          <w:rFonts w:hint="eastAsia" w:ascii="仿宋_GB2312" w:eastAsia="仿宋_GB2312" w:cs="仿宋_GB2312"/>
          <w:bCs/>
          <w:kern w:val="0"/>
          <w:sz w:val="32"/>
          <w:szCs w:val="32"/>
        </w:rPr>
        <w:t>%。决算数小于预算数的主要原因是:人员增减变动，机关事业单位职业年金缴费支出</w:t>
      </w:r>
      <w:r>
        <w:rPr>
          <w:rFonts w:hint="eastAsia" w:ascii="仿宋_GB2312" w:eastAsia="仿宋_GB2312" w:cs="仿宋_GB2312"/>
          <w:bCs/>
          <w:kern w:val="0"/>
          <w:sz w:val="32"/>
          <w:szCs w:val="32"/>
          <w:lang w:eastAsia="zh-CN"/>
        </w:rPr>
        <w:t>略有</w:t>
      </w:r>
      <w:r>
        <w:rPr>
          <w:rFonts w:hint="eastAsia" w:ascii="仿宋_GB2312" w:eastAsia="仿宋_GB2312" w:cs="仿宋_GB2312"/>
          <w:bCs/>
          <w:kern w:val="0"/>
          <w:sz w:val="32"/>
          <w:szCs w:val="32"/>
        </w:rPr>
        <w:t>结余。</w:t>
      </w:r>
    </w:p>
    <w:p>
      <w:pPr>
        <w:autoSpaceDE w:val="0"/>
        <w:autoSpaceDN w:val="0"/>
        <w:adjustRightInd w:val="0"/>
        <w:spacing w:line="58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卫生健康支出（类）行政事业单位医疗（款）行政单位医疗（项）。年初预算为</w:t>
      </w:r>
      <w:r>
        <w:rPr>
          <w:rFonts w:hint="eastAsia" w:ascii="仿宋_GB2312" w:eastAsia="仿宋_GB2312" w:cs="仿宋_GB2312"/>
          <w:bCs/>
          <w:kern w:val="0"/>
          <w:sz w:val="32"/>
          <w:szCs w:val="32"/>
          <w:lang w:val="en-US" w:eastAsia="zh-CN"/>
        </w:rPr>
        <w:t>21.9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20.64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94.25</w:t>
      </w:r>
      <w:r>
        <w:rPr>
          <w:rFonts w:hint="eastAsia" w:ascii="仿宋_GB2312" w:eastAsia="仿宋_GB2312" w:cs="仿宋_GB2312"/>
          <w:bCs/>
          <w:kern w:val="0"/>
          <w:sz w:val="32"/>
          <w:szCs w:val="32"/>
        </w:rPr>
        <w:t>%。决算数小于预算数的主要原因是:人员增减变动，行政单位医疗支出</w:t>
      </w:r>
      <w:r>
        <w:rPr>
          <w:rFonts w:hint="eastAsia" w:ascii="仿宋_GB2312" w:eastAsia="仿宋_GB2312" w:cs="仿宋_GB2312"/>
          <w:bCs/>
          <w:kern w:val="0"/>
          <w:sz w:val="32"/>
          <w:szCs w:val="32"/>
          <w:lang w:eastAsia="zh-CN"/>
        </w:rPr>
        <w:t>略有</w:t>
      </w:r>
      <w:r>
        <w:rPr>
          <w:rFonts w:hint="eastAsia" w:ascii="仿宋_GB2312" w:eastAsia="仿宋_GB2312" w:cs="仿宋_GB2312"/>
          <w:bCs/>
          <w:kern w:val="0"/>
          <w:sz w:val="32"/>
          <w:szCs w:val="32"/>
        </w:rPr>
        <w:t>结余。</w:t>
      </w:r>
    </w:p>
    <w:p>
      <w:pPr>
        <w:autoSpaceDE w:val="0"/>
        <w:autoSpaceDN w:val="0"/>
        <w:adjustRightInd w:val="0"/>
        <w:spacing w:line="580" w:lineRule="exact"/>
        <w:ind w:firstLine="640" w:firstLineChars="200"/>
        <w:rPr>
          <w:rFonts w:hint="eastAsia" w:ascii="仿宋_GB2312" w:eastAsia="仿宋_GB2312" w:cs="仿宋_GB2312"/>
          <w:bCs/>
          <w:color w:val="000000"/>
          <w:kern w:val="0"/>
          <w:sz w:val="32"/>
          <w:szCs w:val="32"/>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卫生健康支出（类）行政事业单位医疗（款）公务员医疗补助（项）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16.4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18.41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112.26</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color w:val="000000"/>
          <w:kern w:val="0"/>
          <w:sz w:val="32"/>
          <w:szCs w:val="32"/>
        </w:rPr>
        <w:t>人员支出增加</w:t>
      </w:r>
      <w:r>
        <w:rPr>
          <w:rFonts w:hint="eastAsia" w:ascii="仿宋_GB2312" w:eastAsia="仿宋_GB2312" w:cs="仿宋_GB2312"/>
          <w:bCs/>
          <w:color w:val="000000"/>
          <w:kern w:val="0"/>
          <w:sz w:val="32"/>
          <w:szCs w:val="32"/>
          <w:lang w:eastAsia="zh-CN"/>
        </w:rPr>
        <w:t>，</w:t>
      </w:r>
      <w:r>
        <w:rPr>
          <w:rFonts w:hint="eastAsia" w:ascii="仿宋_GB2312" w:eastAsia="仿宋_GB2312" w:cs="仿宋_GB2312"/>
          <w:bCs/>
          <w:color w:val="000000"/>
          <w:kern w:val="0"/>
          <w:sz w:val="32"/>
          <w:szCs w:val="32"/>
        </w:rPr>
        <w:t>年中追加安排公务员医疗补助经费财政拨款预算。</w:t>
      </w:r>
    </w:p>
    <w:p>
      <w:pPr>
        <w:autoSpaceDE w:val="0"/>
        <w:autoSpaceDN w:val="0"/>
        <w:adjustRightInd w:val="0"/>
        <w:spacing w:line="580" w:lineRule="exact"/>
        <w:ind w:firstLine="640" w:firstLineChars="200"/>
        <w:rPr>
          <w:rFonts w:hint="eastAsia" w:ascii="仿宋_GB2312" w:eastAsia="仿宋_GB2312" w:cs="仿宋_GB2312"/>
          <w:bCs/>
          <w:color w:val="000000"/>
          <w:spacing w:val="20"/>
          <w:kern w:val="0"/>
          <w:sz w:val="32"/>
          <w:szCs w:val="32"/>
        </w:rPr>
      </w:pPr>
      <w:r>
        <w:rPr>
          <w:rFonts w:hint="eastAsia" w:ascii="仿宋_GB2312" w:eastAsia="仿宋_GB2312" w:cs="仿宋_GB2312"/>
          <w:bCs/>
          <w:color w:val="000000"/>
          <w:kern w:val="0"/>
          <w:sz w:val="32"/>
          <w:szCs w:val="32"/>
          <w:lang w:val="en-US" w:eastAsia="zh-CN"/>
        </w:rPr>
        <w:t>9.</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cs="仿宋_GB2312"/>
          <w:bCs/>
          <w:kern w:val="0"/>
          <w:sz w:val="32"/>
          <w:szCs w:val="32"/>
          <w:lang w:val="en-US" w:eastAsia="zh-CN"/>
        </w:rPr>
        <w:t>35.04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35.3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100.74</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color w:val="000000"/>
          <w:kern w:val="0"/>
          <w:sz w:val="32"/>
          <w:szCs w:val="32"/>
        </w:rPr>
        <w:t>人员支出增加</w:t>
      </w:r>
      <w:r>
        <w:rPr>
          <w:rFonts w:hint="eastAsia" w:ascii="仿宋_GB2312" w:eastAsia="仿宋_GB2312" w:cs="仿宋_GB2312"/>
          <w:bCs/>
          <w:color w:val="000000"/>
          <w:kern w:val="0"/>
          <w:sz w:val="32"/>
          <w:szCs w:val="32"/>
          <w:lang w:eastAsia="zh-CN"/>
        </w:rPr>
        <w:t>，</w:t>
      </w:r>
      <w:r>
        <w:rPr>
          <w:rFonts w:hint="eastAsia" w:ascii="仿宋_GB2312" w:eastAsia="仿宋_GB2312" w:cs="仿宋_GB2312"/>
          <w:bCs/>
          <w:color w:val="000000"/>
          <w:spacing w:val="20"/>
          <w:kern w:val="0"/>
          <w:sz w:val="32"/>
          <w:szCs w:val="32"/>
        </w:rPr>
        <w:t>年中追加安排部分财政拨款预算。</w:t>
      </w:r>
    </w:p>
    <w:p>
      <w:pPr>
        <w:autoSpaceDE w:val="0"/>
        <w:autoSpaceDN w:val="0"/>
        <w:adjustRightInd w:val="0"/>
        <w:spacing w:line="580" w:lineRule="exact"/>
        <w:ind w:left="638" w:leftChars="304" w:firstLine="0" w:firstLineChars="0"/>
        <w:jc w:val="left"/>
        <w:rPr>
          <w:rFonts w:hint="eastAsia" w:ascii="仿宋_GB2312" w:eastAsia="仿宋_GB2312" w:cs="仿宋_GB2312"/>
          <w:b/>
          <w:kern w:val="0"/>
          <w:sz w:val="32"/>
          <w:szCs w:val="32"/>
          <w:lang w:eastAsia="zh-CN"/>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w:t>
      </w:r>
      <w:r>
        <w:rPr>
          <w:rFonts w:hint="eastAsia" w:ascii="仿宋_GB2312" w:eastAsia="仿宋_GB2312" w:cs="仿宋_GB2312"/>
          <w:b/>
          <w:kern w:val="0"/>
          <w:sz w:val="32"/>
          <w:szCs w:val="32"/>
          <w:lang w:eastAsia="zh-CN"/>
        </w:rPr>
        <w:t>情</w:t>
      </w:r>
      <w:r>
        <w:rPr>
          <w:rFonts w:hint="eastAsia" w:ascii="仿宋_GB2312" w:eastAsia="仿宋_GB2312" w:cs="仿宋_GB2312"/>
          <w:b/>
          <w:kern w:val="0"/>
          <w:sz w:val="32"/>
          <w:szCs w:val="32"/>
        </w:rPr>
        <w:t>况</w:t>
      </w:r>
    </w:p>
    <w:p>
      <w:pPr>
        <w:autoSpaceDE w:val="0"/>
        <w:autoSpaceDN w:val="0"/>
        <w:adjustRightInd w:val="0"/>
        <w:spacing w:line="580" w:lineRule="exact"/>
        <w:ind w:left="638" w:leftChars="304" w:firstLine="0"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546.43</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495.97</w:t>
      </w:r>
      <w:r>
        <w:rPr>
          <w:rFonts w:hint="eastAsia" w:ascii="仿宋_GB2312" w:eastAsia="仿宋_GB2312" w:cs="仿宋_GB2312"/>
          <w:bCs/>
          <w:kern w:val="0"/>
          <w:sz w:val="32"/>
          <w:szCs w:val="32"/>
        </w:rPr>
        <w:t>万元，主要包括：基本工资、津贴补贴、奖金、伙食补助费、机关事业单位基本养老保险缴费、职业年金缴费、职工基本医疗保险缴费、公务员医疗补助缴费、其他社会保障缴费、住房公积金、其他工资福利支出、退休费、抚恤金、生活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50.46</w:t>
      </w:r>
      <w:r>
        <w:rPr>
          <w:rFonts w:hint="eastAsia" w:ascii="仿宋_GB2312" w:eastAsia="仿宋_GB2312" w:cs="仿宋_GB2312"/>
          <w:bCs/>
          <w:kern w:val="0"/>
          <w:sz w:val="32"/>
          <w:szCs w:val="32"/>
        </w:rPr>
        <w:t>万元，主要 包括：办公费、邮电费、物业管理费、差旅费、维修（护）费、工会经费、其他交通费用、其他商品和服务支出。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
          <w:bCs w:val="0"/>
          <w:kern w:val="0"/>
          <w:sz w:val="32"/>
          <w:szCs w:val="32"/>
        </w:rPr>
        <w:t xml:space="preserve"> </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本单位202</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年度“三公</w:t>
      </w:r>
      <w:r>
        <w:rPr>
          <w:rFonts w:hint="default"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经费财政拨款安排的“三公”经费支出0.00万元，完成年初预算的0.00%，与20</w:t>
      </w:r>
      <w:r>
        <w:rPr>
          <w:rFonts w:hint="eastAsia" w:ascii="仿宋_GB2312" w:hAnsi="仿宋_GB2312" w:eastAsia="仿宋_GB2312" w:cs="仿宋_GB2312"/>
          <w:b w:val="0"/>
          <w:bCs/>
          <w:sz w:val="32"/>
          <w:szCs w:val="32"/>
          <w:lang w:val="en-US" w:eastAsia="zh-CN"/>
        </w:rPr>
        <w:t>19</w:t>
      </w:r>
      <w:r>
        <w:rPr>
          <w:rFonts w:hint="eastAsia" w:ascii="仿宋_GB2312" w:hAnsi="仿宋_GB2312" w:eastAsia="仿宋_GB2312" w:cs="仿宋_GB2312"/>
          <w:b w:val="0"/>
          <w:bCs/>
          <w:sz w:val="32"/>
          <w:szCs w:val="32"/>
        </w:rPr>
        <w:t>年决算持平，无增减变动。其中：因公出国（境）费支出决算为0.00万元；公务用车购置及运行费支出决算为0.00万元；公务接待费支出决算为0.00万元。</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具体情况如下：</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（一）因公出国（境）费支出0.00万元，完成年初预算的0.00 %，与20</w:t>
      </w:r>
      <w:r>
        <w:rPr>
          <w:rFonts w:hint="eastAsia" w:ascii="仿宋_GB2312" w:hAnsi="仿宋_GB2312" w:eastAsia="仿宋_GB2312" w:cs="仿宋_GB2312"/>
          <w:b w:val="0"/>
          <w:bCs/>
          <w:sz w:val="32"/>
          <w:szCs w:val="32"/>
          <w:lang w:val="en-US" w:eastAsia="zh-CN"/>
        </w:rPr>
        <w:t>19</w:t>
      </w:r>
      <w:r>
        <w:rPr>
          <w:rFonts w:hint="eastAsia" w:ascii="仿宋_GB2312" w:hAnsi="仿宋_GB2312" w:eastAsia="仿宋_GB2312" w:cs="仿宋_GB2312"/>
          <w:b w:val="0"/>
          <w:bCs/>
          <w:sz w:val="32"/>
          <w:szCs w:val="32"/>
        </w:rPr>
        <w:t>年决算持平，无增减变动。全年使用财政拨款安排出国团组0个，参加其他单位组织的出国团组0个，全年因公出国（境）团组共计0个，累计0人次。</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（二）公务用车购置及运行费支出0.00万元，其中：</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公务用车购置支出0.00万元，完成年初预算的0.00%，与20</w:t>
      </w:r>
      <w:r>
        <w:rPr>
          <w:rFonts w:hint="eastAsia" w:ascii="仿宋_GB2312" w:hAnsi="仿宋_GB2312" w:eastAsia="仿宋_GB2312" w:cs="仿宋_GB2312"/>
          <w:b w:val="0"/>
          <w:bCs/>
          <w:sz w:val="32"/>
          <w:szCs w:val="32"/>
          <w:lang w:val="en-US" w:eastAsia="zh-CN"/>
        </w:rPr>
        <w:t>19</w:t>
      </w:r>
      <w:r>
        <w:rPr>
          <w:rFonts w:hint="eastAsia" w:ascii="仿宋_GB2312" w:hAnsi="仿宋_GB2312" w:eastAsia="仿宋_GB2312" w:cs="仿宋_GB2312"/>
          <w:b w:val="0"/>
          <w:bCs/>
          <w:sz w:val="32"/>
          <w:szCs w:val="32"/>
        </w:rPr>
        <w:t xml:space="preserve">年决算持平，无增减变动。购置了0辆公务用车。 </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公务用车运行支出0.00万元，完成年初预算的0.00%，与20</w:t>
      </w:r>
      <w:r>
        <w:rPr>
          <w:rFonts w:hint="eastAsia" w:ascii="仿宋_GB2312" w:hAnsi="仿宋_GB2312" w:eastAsia="仿宋_GB2312" w:cs="仿宋_GB2312"/>
          <w:b w:val="0"/>
          <w:bCs/>
          <w:sz w:val="32"/>
          <w:szCs w:val="32"/>
          <w:lang w:val="en-US" w:eastAsia="zh-CN"/>
        </w:rPr>
        <w:t>19</w:t>
      </w:r>
      <w:r>
        <w:rPr>
          <w:rFonts w:hint="eastAsia" w:ascii="仿宋_GB2312" w:hAnsi="仿宋_GB2312" w:eastAsia="仿宋_GB2312" w:cs="仿宋_GB2312"/>
          <w:b w:val="0"/>
          <w:bCs/>
          <w:sz w:val="32"/>
          <w:szCs w:val="32"/>
        </w:rPr>
        <w:t>年决算持平</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无增减变动</w:t>
      </w:r>
      <w:r>
        <w:rPr>
          <w:rFonts w:hint="eastAsia" w:ascii="仿宋_GB2312" w:hAnsi="仿宋_GB2312" w:eastAsia="仿宋_GB2312" w:cs="仿宋_GB2312"/>
          <w:b w:val="0"/>
          <w:bCs/>
          <w:sz w:val="32"/>
          <w:szCs w:val="32"/>
          <w:lang w:val="en-US" w:eastAsia="zh-CN"/>
        </w:rPr>
        <w:t>。</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年，柳州市非税收入管理中心开支财政拨款的公务用车保有量为0辆，全年运行费支出0.00万元，平均每辆0.00 万元。</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sz w:val="32"/>
          <w:szCs w:val="32"/>
        </w:rPr>
        <w:t>（三）公务接待费支出0.00万元，完成年初预算0.00 %，与20</w:t>
      </w:r>
      <w:r>
        <w:rPr>
          <w:rFonts w:hint="eastAsia" w:ascii="仿宋_GB2312" w:hAnsi="仿宋_GB2312" w:eastAsia="仿宋_GB2312" w:cs="仿宋_GB2312"/>
          <w:b w:val="0"/>
          <w:bCs/>
          <w:sz w:val="32"/>
          <w:szCs w:val="32"/>
          <w:lang w:val="en-US" w:eastAsia="zh-CN"/>
        </w:rPr>
        <w:t>19</w:t>
      </w:r>
      <w:r>
        <w:rPr>
          <w:rFonts w:hint="eastAsia" w:ascii="仿宋_GB2312" w:hAnsi="仿宋_GB2312" w:eastAsia="仿宋_GB2312" w:cs="仿宋_GB2312"/>
          <w:b w:val="0"/>
          <w:bCs/>
          <w:sz w:val="32"/>
          <w:szCs w:val="32"/>
        </w:rPr>
        <w:t>年决算持平，无增减变动。其中</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国内公务接待费支出0.00万元，国内公务接待0批次、0人次；国（境）外公务接待费支出0.00万元，国（境）外公务接待0批次、0人次。</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柳州市</w:t>
      </w:r>
      <w:r>
        <w:rPr>
          <w:rFonts w:hint="eastAsia" w:ascii="仿宋_GB2312" w:eastAsia="仿宋_GB2312" w:cs="仿宋_GB2312"/>
          <w:bCs/>
          <w:kern w:val="0"/>
          <w:sz w:val="32"/>
          <w:szCs w:val="32"/>
        </w:rPr>
        <w:t>非税收入管理局中心（柳州市民族经济发展资金管理中心）没有政府性基金收入，也没有政府性基金收入安排的支出，故</w:t>
      </w:r>
      <w:r>
        <w:rPr>
          <w:rFonts w:hint="eastAsia" w:ascii="仿宋_GB2312" w:eastAsia="仿宋_GB2312" w:cs="仿宋_GB2312"/>
          <w:bCs/>
          <w:kern w:val="0"/>
          <w:sz w:val="32"/>
          <w:szCs w:val="32"/>
          <w:lang w:eastAsia="zh-CN"/>
        </w:rPr>
        <w:t>此项无说明</w:t>
      </w:r>
      <w:r>
        <w:rPr>
          <w:rFonts w:hint="eastAsia" w:ascii="仿宋_GB2312" w:eastAsia="仿宋_GB2312" w:cs="仿宋_GB2312"/>
          <w:bCs/>
          <w:kern w:val="0"/>
          <w:sz w:val="32"/>
          <w:szCs w:val="32"/>
        </w:rPr>
        <w:t>。</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国有资本经营预算财政拨款支出情况说明</w:t>
      </w:r>
      <w:r>
        <w:rPr>
          <w:rFonts w:hint="eastAsia" w:ascii="仿宋_GB2312" w:eastAsia="仿宋_GB2312" w:cs="仿宋_GB2312"/>
          <w:b/>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eastAsia="zh-CN"/>
        </w:rPr>
        <w:t>柳州市</w:t>
      </w:r>
      <w:r>
        <w:rPr>
          <w:rFonts w:hint="eastAsia" w:ascii="仿宋_GB2312" w:eastAsia="仿宋_GB2312" w:cs="仿宋_GB2312"/>
          <w:bCs/>
          <w:kern w:val="0"/>
          <w:sz w:val="32"/>
          <w:szCs w:val="32"/>
          <w:highlight w:val="none"/>
        </w:rPr>
        <w:t>非税收入管理局中心（柳州市民族经济发展资金管理中心）没有国有资本经营预算收入，也没有国有资本经营预算安排的支出，故</w:t>
      </w:r>
      <w:r>
        <w:rPr>
          <w:rFonts w:hint="eastAsia" w:ascii="仿宋_GB2312" w:eastAsia="仿宋_GB2312" w:cs="仿宋_GB2312"/>
          <w:bCs/>
          <w:kern w:val="0"/>
          <w:sz w:val="32"/>
          <w:szCs w:val="32"/>
          <w:highlight w:val="none"/>
          <w:lang w:eastAsia="zh-CN"/>
        </w:rPr>
        <w:t>此项无说明</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rPr>
          <w:rFonts w:ascii="仿宋_GB2312" w:eastAsia="仿宋_GB2312" w:cs="仿宋_GB2312"/>
          <w:bCs/>
          <w:color w:val="000000"/>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color w:val="000000"/>
          <w:kern w:val="0"/>
          <w:sz w:val="32"/>
          <w:szCs w:val="32"/>
        </w:rPr>
        <w:t>根据财政预算管理要求，我</w:t>
      </w:r>
      <w:r>
        <w:rPr>
          <w:rFonts w:hint="eastAsia" w:ascii="仿宋_GB2312" w:eastAsia="仿宋_GB2312" w:cs="仿宋_GB2312"/>
          <w:bCs/>
          <w:color w:val="000000"/>
          <w:kern w:val="0"/>
          <w:sz w:val="32"/>
          <w:szCs w:val="32"/>
          <w:lang w:eastAsia="zh-CN"/>
        </w:rPr>
        <w:t>单位</w:t>
      </w:r>
      <w:r>
        <w:rPr>
          <w:rFonts w:hint="eastAsia" w:ascii="仿宋_GB2312" w:eastAsia="仿宋_GB2312" w:cs="仿宋_GB2312"/>
          <w:bCs/>
          <w:color w:val="000000"/>
          <w:kern w:val="0"/>
          <w:sz w:val="32"/>
          <w:szCs w:val="32"/>
        </w:rPr>
        <w:t>组织对2020年度一般公共预算项目支出全面开展绩效自评。其中，一级项目0个，二级项目</w:t>
      </w:r>
      <w:r>
        <w:rPr>
          <w:rFonts w:hint="eastAsia" w:ascii="仿宋_GB2312" w:eastAsia="仿宋_GB2312" w:cs="仿宋_GB2312"/>
          <w:bCs/>
          <w:color w:val="000000"/>
          <w:kern w:val="0"/>
          <w:sz w:val="32"/>
          <w:szCs w:val="32"/>
          <w:lang w:val="en-US" w:eastAsia="zh-CN"/>
        </w:rPr>
        <w:t>1</w:t>
      </w:r>
      <w:r>
        <w:rPr>
          <w:rFonts w:hint="eastAsia" w:ascii="仿宋_GB2312" w:eastAsia="仿宋_GB2312" w:cs="仿宋_GB2312"/>
          <w:bCs/>
          <w:color w:val="000000"/>
          <w:kern w:val="0"/>
          <w:sz w:val="32"/>
          <w:szCs w:val="32"/>
        </w:rPr>
        <w:t>个，共涉及预算资金</w:t>
      </w:r>
      <w:r>
        <w:rPr>
          <w:rFonts w:hint="eastAsia" w:ascii="仿宋_GB2312" w:eastAsia="仿宋_GB2312" w:cs="仿宋_GB2312"/>
          <w:bCs/>
          <w:color w:val="000000"/>
          <w:kern w:val="0"/>
          <w:sz w:val="32"/>
          <w:szCs w:val="32"/>
          <w:lang w:val="en-US" w:eastAsia="zh-CN"/>
        </w:rPr>
        <w:t>258</w:t>
      </w:r>
      <w:r>
        <w:rPr>
          <w:rFonts w:hint="eastAsia" w:ascii="仿宋_GB2312" w:eastAsia="仿宋_GB2312" w:cs="仿宋_GB2312"/>
          <w:bCs/>
          <w:color w:val="000000"/>
          <w:kern w:val="0"/>
          <w:sz w:val="32"/>
          <w:szCs w:val="32"/>
        </w:rPr>
        <w:t>万元，自评覆盖率达到100%。</w:t>
      </w:r>
    </w:p>
    <w:p>
      <w:pPr>
        <w:autoSpaceDE w:val="0"/>
        <w:autoSpaceDN w:val="0"/>
        <w:adjustRightInd w:val="0"/>
        <w:spacing w:line="580" w:lineRule="exact"/>
        <w:ind w:firstLine="640" w:firstLineChars="200"/>
        <w:rPr>
          <w:rFonts w:ascii="仿宋_GB2312" w:eastAsia="仿宋_GB2312" w:cs="仿宋_GB2312"/>
          <w:kern w:val="0"/>
          <w:sz w:val="32"/>
          <w:szCs w:val="32"/>
        </w:rPr>
      </w:pPr>
      <w:r>
        <w:rPr>
          <w:rFonts w:hint="eastAsia" w:ascii="仿宋_GB2312" w:eastAsia="仿宋_GB2312" w:cs="仿宋_GB2312"/>
          <w:bCs/>
          <w:kern w:val="0"/>
          <w:sz w:val="32"/>
          <w:szCs w:val="32"/>
        </w:rPr>
        <w:t>（二）</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票据印刷费用”项目自评综述：根据年初设定的绩效目标，项目自评得分97分。全年预算数为275万元，执行数为258万元，完成预算的94%。项目绩效目标完成情况：持续加强票据日常管理，为用票单位提供便捷、优质服务，确保财政票据供应充足有序，无断档、积压、浪费现象发生。进一步规范单位用票行为，加强对财政票据印制、使用、管理等监督检查工作。发现的主要问题：量化指标有待完善。下一步改进措施：设置更加科学完善的绩效指标，更好的做好项目预算绩效管理工作。</w:t>
      </w:r>
    </w:p>
    <w:p>
      <w:pPr>
        <w:autoSpaceDE w:val="0"/>
        <w:autoSpaceDN w:val="0"/>
        <w:adjustRightInd w:val="0"/>
        <w:spacing w:line="580" w:lineRule="exact"/>
        <w:jc w:val="left"/>
        <w:rPr>
          <w:rFonts w:hint="eastAsia" w:ascii="仿宋_GB2312" w:eastAsia="仿宋_GB2312" w:cs="仿宋_GB2312"/>
          <w:kern w:val="0"/>
          <w:sz w:val="32"/>
          <w:szCs w:val="32"/>
          <w:highlight w:val="none"/>
          <w:lang w:val="en-US" w:eastAsia="zh-CN"/>
        </w:rPr>
        <w:sectPr>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cs="仿宋_GB2312"/>
          <w:kern w:val="0"/>
          <w:sz w:val="32"/>
          <w:szCs w:val="32"/>
          <w:highlight w:val="none"/>
          <w:lang w:val="en-US" w:eastAsia="zh-CN"/>
        </w:rPr>
        <w:t xml:space="preserve">                                                </w:t>
      </w:r>
    </w:p>
    <w:p>
      <w:pPr>
        <w:autoSpaceDE w:val="0"/>
        <w:autoSpaceDN w:val="0"/>
        <w:adjustRightInd w:val="0"/>
        <w:spacing w:line="580" w:lineRule="exact"/>
        <w:jc w:val="left"/>
        <w:rPr>
          <w:rFonts w:hint="eastAsia" w:ascii="仿宋_GB2312" w:eastAsia="仿宋_GB2312" w:cs="仿宋_GB2312"/>
          <w:kern w:val="0"/>
          <w:sz w:val="32"/>
          <w:szCs w:val="32"/>
          <w:highlight w:val="none"/>
          <w:lang w:val="en-US" w:eastAsia="zh-CN"/>
        </w:rPr>
        <w:sectPr>
          <w:pgSz w:w="16838" w:h="11906" w:orient="landscape"/>
          <w:pgMar w:top="1797" w:right="1440" w:bottom="1797" w:left="1440" w:header="851" w:footer="992" w:gutter="0"/>
          <w:pgNumType w:fmt="numberInDash"/>
          <w:cols w:space="720" w:num="1"/>
          <w:docGrid w:type="lines" w:linePitch="312" w:charSpace="0"/>
        </w:sectPr>
      </w:pPr>
      <w:r>
        <w:pict>
          <v:shape id="_x0000_s1027" o:spid="_x0000_s1027" o:spt="75" type="#_x0000_t75" style="position:absolute;left:0pt;margin-left:22.8pt;margin-top:73.25pt;height:398.15pt;width:653.15pt;mso-position-vertical-relative:page;mso-wrap-distance-bottom:0pt;mso-wrap-distance-top:0pt;z-index:251659264;mso-width-relative:page;mso-height-relative:page;" o:ole="t" filled="f" o:preferrelative="t" stroked="f" coordsize="21600,21600">
            <v:path/>
            <v:fill on="f" focussize="0,0"/>
            <v:stroke on="f"/>
            <v:imagedata r:id="rId13" o:title=""/>
            <o:lock v:ext="edit" aspectratio="t"/>
            <w10:wrap type="topAndBottom"/>
          </v:shape>
          <o:OLEObject Type="Embed" ProgID="Excel.Sheet.12" ShapeID="_x0000_s1027" DrawAspect="Content" ObjectID="_1468075725" r:id="rId12">
            <o:LockedField>false</o:LockedField>
          </o:OLEObject>
        </w:pict>
      </w:r>
      <w:r>
        <w:rPr>
          <w:rFonts w:hint="eastAsia" w:ascii="仿宋_GB2312" w:eastAsia="仿宋_GB2312" w:cs="仿宋_GB2312"/>
          <w:kern w:val="0"/>
          <w:sz w:val="32"/>
          <w:szCs w:val="32"/>
          <w:highlight w:val="none"/>
          <w:lang w:val="en-US" w:eastAsia="zh-CN"/>
        </w:rP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val="en-US" w:eastAsia="zh-CN"/>
        </w:rPr>
        <w:t xml:space="preserve"> </w:t>
      </w: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50.46</w:t>
      </w:r>
      <w:r>
        <w:rPr>
          <w:rFonts w:hint="eastAsia" w:ascii="仿宋_GB2312" w:eastAsia="仿宋_GB2312" w:cs="仿宋_GB2312"/>
          <w:kern w:val="0"/>
          <w:sz w:val="32"/>
          <w:szCs w:val="32"/>
        </w:rPr>
        <w:t>万元，比2019年减少</w:t>
      </w:r>
      <w:r>
        <w:rPr>
          <w:rFonts w:hint="eastAsia" w:ascii="仿宋_GB2312" w:eastAsia="仿宋_GB2312" w:cs="仿宋_GB2312"/>
          <w:kern w:val="0"/>
          <w:sz w:val="32"/>
          <w:szCs w:val="32"/>
          <w:lang w:val="en-US" w:eastAsia="zh-CN"/>
        </w:rPr>
        <w:t>9.77</w:t>
      </w:r>
      <w:r>
        <w:rPr>
          <w:rFonts w:hint="eastAsia" w:ascii="仿宋_GB2312" w:eastAsia="仿宋_GB2312" w:cs="仿宋_GB2312"/>
          <w:kern w:val="0"/>
          <w:sz w:val="32"/>
          <w:szCs w:val="32"/>
        </w:rPr>
        <w:t>万元，下降</w:t>
      </w:r>
      <w:r>
        <w:rPr>
          <w:rFonts w:hint="eastAsia" w:ascii="仿宋_GB2312" w:eastAsia="仿宋_GB2312" w:cs="仿宋_GB2312"/>
          <w:kern w:val="0"/>
          <w:sz w:val="32"/>
          <w:szCs w:val="32"/>
          <w:lang w:val="en-US" w:eastAsia="zh-CN"/>
        </w:rPr>
        <w:t>16.22</w:t>
      </w:r>
      <w:r>
        <w:rPr>
          <w:rFonts w:hint="eastAsia" w:ascii="仿宋_GB2312" w:eastAsia="仿宋_GB2312" w:cs="仿宋_GB2312"/>
          <w:kern w:val="0"/>
          <w:sz w:val="32"/>
          <w:szCs w:val="32"/>
        </w:rPr>
        <w:t>%，减少的原因是落实过紧日子要求，压减机关运行经费开支。</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4.97</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4.97</w:t>
      </w:r>
      <w:r>
        <w:rPr>
          <w:rFonts w:hint="eastAsia" w:ascii="仿宋_GB2312" w:eastAsia="仿宋_GB2312" w:cs="仿宋_GB2312"/>
          <w:kern w:val="0"/>
          <w:sz w:val="32"/>
          <w:szCs w:val="32"/>
        </w:rPr>
        <w:t>万元、工程支出0万元、服务支出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共有车辆0辆，其中：公务用车0辆；执法执勤用车0辆；专业技术用车0辆；单价50万元以上通用设备0台（套），单价100万元以上专用设备0台（套）。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w:t>
      </w:r>
      <w:r>
        <w:rPr>
          <w:rFonts w:hint="eastAsia" w:ascii="仿宋_GB2312" w:eastAsia="仿宋_GB2312"/>
          <w:bCs/>
          <w:sz w:val="32"/>
          <w:szCs w:val="32"/>
          <w:lang w:eastAsia="zh-CN"/>
        </w:rPr>
        <w:t>、</w:t>
      </w:r>
      <w:r>
        <w:rPr>
          <w:rFonts w:hint="eastAsia" w:ascii="仿宋_GB2312" w:eastAsia="仿宋_GB2312"/>
          <w:bCs/>
          <w:sz w:val="32"/>
          <w:szCs w:val="32"/>
        </w:rPr>
        <w:t>“事业收入”、“经营收入”等以外的收入。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
        <w:rPr>
          <w:rFonts w:hint="eastAsia" w:ascii="仿宋_GB2312" w:eastAsia="仿宋_GB2312" w:cs="仿宋_GB2312"/>
          <w:b/>
          <w:kern w:val="0"/>
          <w:sz w:val="32"/>
          <w:szCs w:val="32"/>
          <w:lang w:val="en-US" w:eastAsia="zh-CN"/>
        </w:rPr>
        <w:t xml:space="preserve">                                                                       </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- 19 -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00172A27"/>
    <w:rsid w:val="00066CA3"/>
    <w:rsid w:val="0016643D"/>
    <w:rsid w:val="006C1367"/>
    <w:rsid w:val="00715385"/>
    <w:rsid w:val="009345D5"/>
    <w:rsid w:val="00E1350B"/>
    <w:rsid w:val="00F66C5B"/>
    <w:rsid w:val="049613C2"/>
    <w:rsid w:val="06E26A2D"/>
    <w:rsid w:val="0C1C0244"/>
    <w:rsid w:val="0E074DDF"/>
    <w:rsid w:val="0ED80F82"/>
    <w:rsid w:val="10EA5DF1"/>
    <w:rsid w:val="124204B5"/>
    <w:rsid w:val="12D95BCB"/>
    <w:rsid w:val="182962AB"/>
    <w:rsid w:val="19D073EB"/>
    <w:rsid w:val="1B9C22D4"/>
    <w:rsid w:val="1C4C4EDE"/>
    <w:rsid w:val="1CC31F67"/>
    <w:rsid w:val="1D4A5357"/>
    <w:rsid w:val="20EC2F15"/>
    <w:rsid w:val="2196167D"/>
    <w:rsid w:val="24D337DC"/>
    <w:rsid w:val="26460DBA"/>
    <w:rsid w:val="28145797"/>
    <w:rsid w:val="2B6F74EB"/>
    <w:rsid w:val="2C4219FE"/>
    <w:rsid w:val="31CC20AA"/>
    <w:rsid w:val="34020F86"/>
    <w:rsid w:val="39A63F06"/>
    <w:rsid w:val="3ED1439F"/>
    <w:rsid w:val="3FE209EA"/>
    <w:rsid w:val="460C793F"/>
    <w:rsid w:val="48374EDC"/>
    <w:rsid w:val="4C256E3D"/>
    <w:rsid w:val="4CB52F0F"/>
    <w:rsid w:val="4D121BFA"/>
    <w:rsid w:val="4ECB1FC1"/>
    <w:rsid w:val="4FCC4795"/>
    <w:rsid w:val="50272054"/>
    <w:rsid w:val="50487DB7"/>
    <w:rsid w:val="52572017"/>
    <w:rsid w:val="532F1F9A"/>
    <w:rsid w:val="5E995A3E"/>
    <w:rsid w:val="5F617053"/>
    <w:rsid w:val="61F64E75"/>
    <w:rsid w:val="6202153F"/>
    <w:rsid w:val="62163194"/>
    <w:rsid w:val="624D024D"/>
    <w:rsid w:val="63B41901"/>
    <w:rsid w:val="650E086A"/>
    <w:rsid w:val="65405839"/>
    <w:rsid w:val="680A39DC"/>
    <w:rsid w:val="6BAA0708"/>
    <w:rsid w:val="6FD92A3E"/>
    <w:rsid w:val="74F82156"/>
    <w:rsid w:val="76A70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8177</Words>
  <Characters>10945</Characters>
  <Lines>1</Lines>
  <Paragraphs>1</Paragraphs>
  <TotalTime>61</TotalTime>
  <ScaleCrop>false</ScaleCrop>
  <LinksUpToDate>false</LinksUpToDate>
  <CharactersWithSpaces>11524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2021-07-23T02:47:00Z</cp:lastPrinted>
  <dcterms:modified xsi:type="dcterms:W3CDTF">2022-09-09T09:26:30Z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EB8EE21B73DB4F52A7CCD2E0547425B5</vt:lpwstr>
  </property>
</Properties>
</file>