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kern w:val="0"/>
          <w:sz w:val="32"/>
          <w:szCs w:val="32"/>
        </w:rPr>
      </w:pPr>
    </w:p>
    <w:p>
      <w:pPr>
        <w:rPr>
          <w:rFonts w:ascii="黑体" w:eastAsia="黑体"/>
          <w:kern w:val="0"/>
          <w:sz w:val="72"/>
          <w:szCs w:val="72"/>
        </w:rPr>
      </w:pPr>
    </w:p>
    <w:p>
      <w:pPr>
        <w:rPr>
          <w:rFonts w:ascii="黑体" w:eastAsia="黑体"/>
          <w:kern w:val="0"/>
          <w:sz w:val="72"/>
          <w:szCs w:val="72"/>
        </w:rPr>
      </w:pPr>
    </w:p>
    <w:p>
      <w:pPr>
        <w:jc w:val="center"/>
        <w:rPr>
          <w:rFonts w:ascii="黑体" w:hAnsi="黑体" w:eastAsia="黑体"/>
          <w:color w:val="000000"/>
          <w:sz w:val="52"/>
          <w:szCs w:val="52"/>
        </w:rPr>
      </w:pPr>
      <w:r>
        <w:rPr>
          <w:rFonts w:hint="eastAsia" w:ascii="黑体" w:eastAsia="黑体" w:cs="黑体"/>
          <w:kern w:val="0"/>
          <w:sz w:val="52"/>
          <w:szCs w:val="52"/>
        </w:rPr>
        <w:t>柳州市</w:t>
      </w:r>
      <w:r>
        <w:rPr>
          <w:rFonts w:hint="eastAsia" w:ascii="黑体" w:hAnsi="黑体" w:eastAsia="黑体" w:cs="黑体"/>
          <w:color w:val="000000"/>
          <w:sz w:val="52"/>
          <w:szCs w:val="52"/>
        </w:rPr>
        <w:t>财政投资评审中心</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年度单位决算</w:t>
      </w: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jc w:val="cente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仿宋_GB2312" w:eastAsia="仿宋_GB2312"/>
          <w:b/>
          <w:bCs/>
          <w:sz w:val="32"/>
          <w:szCs w:val="32"/>
        </w:rPr>
      </w:pPr>
    </w:p>
    <w:p>
      <w:pPr>
        <w:ind w:firstLine="645"/>
        <w:rPr>
          <w:rFonts w:ascii="仿宋_GB2312" w:eastAsia="仿宋_GB2312"/>
          <w:b/>
          <w:bCs/>
          <w:sz w:val="32"/>
          <w:szCs w:val="32"/>
        </w:rPr>
      </w:pP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柳州市财政投资评审中心</w:t>
      </w:r>
      <w:r>
        <w:rPr>
          <w:rFonts w:hint="eastAsia" w:ascii="仿宋_GB2312" w:eastAsia="仿宋_GB2312" w:cs="仿宋_GB2312"/>
          <w:b/>
          <w:bCs/>
          <w:sz w:val="32"/>
          <w:szCs w:val="32"/>
        </w:rPr>
        <w:t>概况</w:t>
      </w:r>
    </w:p>
    <w:p>
      <w:pPr>
        <w:ind w:firstLine="645"/>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eastAsia="仿宋_GB2312"/>
          <w:sz w:val="32"/>
          <w:szCs w:val="32"/>
        </w:rPr>
      </w:pPr>
      <w:r>
        <w:rPr>
          <w:rFonts w:hint="eastAsia" w:ascii="仿宋_GB2312" w:eastAsia="仿宋_GB2312" w:cs="仿宋_GB2312"/>
          <w:sz w:val="32"/>
          <w:szCs w:val="32"/>
        </w:rPr>
        <w:t>二、单位决算单位构成</w:t>
      </w:r>
    </w:p>
    <w:p>
      <w:pPr>
        <w:ind w:firstLine="645"/>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柳州市财政投资评审中心</w:t>
      </w:r>
      <w:r>
        <w:rPr>
          <w:rFonts w:ascii="仿宋_GB2312" w:eastAsia="仿宋_GB2312" w:cs="仿宋_GB2312"/>
          <w:b/>
          <w:bCs/>
          <w:sz w:val="32"/>
          <w:szCs w:val="32"/>
        </w:rPr>
        <w:t>2020</w:t>
      </w:r>
      <w:r>
        <w:rPr>
          <w:rFonts w:hint="eastAsia" w:ascii="仿宋_GB2312" w:eastAsia="仿宋_GB2312" w:cs="仿宋_GB2312"/>
          <w:b/>
          <w:bCs/>
          <w:sz w:val="32"/>
          <w:szCs w:val="32"/>
        </w:rPr>
        <w:t>年单位决算报表</w:t>
      </w:r>
    </w:p>
    <w:p>
      <w:pPr>
        <w:ind w:left="645"/>
        <w:rPr>
          <w:rFonts w:ascii="仿宋_GB2312" w:eastAsia="仿宋_GB2312"/>
          <w:sz w:val="32"/>
          <w:szCs w:val="32"/>
        </w:rPr>
      </w:pPr>
      <w:r>
        <w:rPr>
          <w:rFonts w:hint="eastAsia" w:ascii="仿宋_GB2312" w:eastAsia="仿宋_GB2312" w:cs="仿宋_GB2312"/>
          <w:sz w:val="32"/>
          <w:szCs w:val="32"/>
        </w:rPr>
        <w:t>表一：收入支出决算总表</w:t>
      </w:r>
    </w:p>
    <w:p>
      <w:pPr>
        <w:ind w:left="645"/>
        <w:rPr>
          <w:rFonts w:ascii="仿宋_GB2312" w:eastAsia="仿宋_GB2312"/>
          <w:sz w:val="32"/>
          <w:szCs w:val="32"/>
        </w:rPr>
      </w:pPr>
      <w:r>
        <w:rPr>
          <w:rFonts w:hint="eastAsia" w:ascii="仿宋_GB2312" w:eastAsia="仿宋_GB2312" w:cs="仿宋_GB2312"/>
          <w:sz w:val="32"/>
          <w:szCs w:val="32"/>
        </w:rPr>
        <w:t>表二：收入决算表</w:t>
      </w:r>
    </w:p>
    <w:p>
      <w:pPr>
        <w:ind w:left="645"/>
        <w:rPr>
          <w:rFonts w:ascii="仿宋_GB2312" w:eastAsia="仿宋_GB2312"/>
          <w:sz w:val="32"/>
          <w:szCs w:val="32"/>
        </w:rPr>
      </w:pPr>
      <w:r>
        <w:rPr>
          <w:rFonts w:hint="eastAsia" w:ascii="仿宋_GB2312" w:eastAsia="仿宋_GB2312" w:cs="仿宋_GB2312"/>
          <w:sz w:val="32"/>
          <w:szCs w:val="32"/>
        </w:rPr>
        <w:t>表三：支出决算表</w:t>
      </w:r>
    </w:p>
    <w:p>
      <w:pPr>
        <w:ind w:left="645"/>
        <w:rPr>
          <w:rFonts w:ascii="仿宋_GB2312" w:eastAsia="仿宋_GB2312"/>
          <w:sz w:val="32"/>
          <w:szCs w:val="32"/>
        </w:rPr>
      </w:pPr>
      <w:r>
        <w:rPr>
          <w:rFonts w:hint="eastAsia" w:ascii="仿宋_GB2312" w:eastAsia="仿宋_GB2312" w:cs="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cs="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cs="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cs="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cs="仿宋_GB2312"/>
          <w:sz w:val="32"/>
          <w:szCs w:val="32"/>
        </w:rPr>
        <w:t>表八：政府性基金</w:t>
      </w:r>
      <w:r>
        <w:rPr>
          <w:rFonts w:hint="eastAsia" w:ascii="仿宋_GB2312" w:hAnsi="黑体" w:eastAsia="仿宋_GB2312" w:cs="仿宋_GB2312"/>
          <w:sz w:val="32"/>
          <w:szCs w:val="32"/>
        </w:rPr>
        <w:t>预算财政拨款</w:t>
      </w:r>
      <w:r>
        <w:rPr>
          <w:rFonts w:hint="eastAsia" w:ascii="仿宋_GB2312" w:eastAsia="仿宋_GB2312" w:cs="仿宋_GB2312"/>
          <w:sz w:val="32"/>
          <w:szCs w:val="32"/>
        </w:rPr>
        <w:t>收入支出决算表</w:t>
      </w:r>
    </w:p>
    <w:p>
      <w:pPr>
        <w:ind w:left="645"/>
        <w:rPr>
          <w:rFonts w:ascii="仿宋_GB2312" w:eastAsia="仿宋_GB2312"/>
          <w:sz w:val="32"/>
          <w:szCs w:val="32"/>
        </w:rPr>
      </w:pPr>
      <w:r>
        <w:rPr>
          <w:rFonts w:hint="eastAsia" w:ascii="仿宋_GB2312" w:eastAsia="仿宋_GB2312" w:cs="仿宋_GB2312"/>
          <w:sz w:val="32"/>
          <w:szCs w:val="32"/>
        </w:rPr>
        <w:t>表九：国有资本经营预算财政拨款支出决算表</w:t>
      </w:r>
    </w:p>
    <w:p>
      <w:pPr>
        <w:ind w:firstLine="645"/>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柳州市财政投资评审中心</w:t>
      </w:r>
      <w:r>
        <w:rPr>
          <w:rFonts w:ascii="仿宋_GB2312" w:eastAsia="仿宋_GB2312" w:cs="仿宋_GB2312"/>
          <w:b/>
          <w:bCs/>
          <w:sz w:val="32"/>
          <w:szCs w:val="32"/>
        </w:rPr>
        <w:t>2020</w:t>
      </w:r>
      <w:r>
        <w:rPr>
          <w:rFonts w:hint="eastAsia" w:ascii="仿宋_GB2312" w:eastAsia="仿宋_GB2312" w:cs="仿宋_GB2312"/>
          <w:b/>
          <w:bCs/>
          <w:sz w:val="32"/>
          <w:szCs w:val="32"/>
        </w:rPr>
        <w:t>年度单位决算情况说明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年度政府性基金预算财政拨款收入支出决算情况</w:t>
      </w:r>
    </w:p>
    <w:p>
      <w:pPr>
        <w:ind w:left="645"/>
        <w:rPr>
          <w:rFonts w:ascii="仿宋_GB2312" w:eastAsia="仿宋_GB2312"/>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年度预算绩效情况说明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十一、其他重要事项的情况说明</w:t>
      </w:r>
    </w:p>
    <w:p>
      <w:pPr>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ind w:firstLine="646"/>
        <w:jc w:val="center"/>
        <w:rPr>
          <w:rFonts w:ascii="仿宋_GB2312" w:eastAsia="仿宋_GB2312"/>
          <w:b/>
          <w:bCs/>
          <w:sz w:val="32"/>
          <w:szCs w:val="32"/>
        </w:rPr>
      </w:pPr>
      <w:r>
        <w:rPr>
          <w:rFonts w:ascii="仿宋_GB2312" w:eastAsia="仿宋_GB2312"/>
          <w:kern w:val="0"/>
          <w:sz w:val="32"/>
          <w:szCs w:val="32"/>
        </w:rPr>
        <w:br w:type="page"/>
      </w: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柳州市财政投资评审中心</w:t>
      </w:r>
      <w:r>
        <w:rPr>
          <w:rFonts w:hint="eastAsia" w:ascii="仿宋_GB2312" w:eastAsia="仿宋_GB2312" w:cs="仿宋_GB2312"/>
          <w:b/>
          <w:bCs/>
          <w:sz w:val="32"/>
          <w:szCs w:val="32"/>
        </w:rPr>
        <w:t>概况</w:t>
      </w:r>
    </w:p>
    <w:p>
      <w:pPr>
        <w:ind w:firstLine="646"/>
        <w:rPr>
          <w:rFonts w:ascii="仿宋_GB2312" w:eastAsia="仿宋_GB2312"/>
          <w:sz w:val="32"/>
          <w:szCs w:val="32"/>
        </w:rPr>
      </w:pPr>
      <w:r>
        <w:rPr>
          <w:rFonts w:hint="eastAsia" w:ascii="仿宋_GB2312" w:eastAsia="仿宋_GB2312" w:cs="仿宋_GB2312"/>
          <w:sz w:val="32"/>
          <w:szCs w:val="32"/>
        </w:rPr>
        <w:t>一、主要职能</w:t>
      </w:r>
    </w:p>
    <w:p>
      <w:pPr>
        <w:adjustRightInd w:val="0"/>
        <w:snapToGrid w:val="0"/>
        <w:spacing w:line="560" w:lineRule="exact"/>
        <w:ind w:right="-218" w:rightChars="-104" w:firstLine="643" w:firstLineChars="200"/>
        <w:rPr>
          <w:rFonts w:ascii="仿宋_GB2312" w:hAnsi="华文仿宋" w:eastAsia="仿宋_GB2312"/>
          <w:sz w:val="32"/>
          <w:szCs w:val="32"/>
        </w:rPr>
      </w:pPr>
      <w:r>
        <w:rPr>
          <w:rFonts w:hint="eastAsia" w:ascii="楷体_GB2312" w:hAnsi="华文仿宋" w:eastAsia="楷体_GB2312" w:cs="楷体_GB2312"/>
          <w:b/>
          <w:bCs/>
          <w:color w:val="000000"/>
          <w:kern w:val="0"/>
          <w:sz w:val="32"/>
          <w:szCs w:val="32"/>
        </w:rPr>
        <w:t>（一）</w:t>
      </w:r>
      <w:r>
        <w:rPr>
          <w:rFonts w:hint="eastAsia" w:ascii="仿宋_GB2312" w:eastAsia="仿宋_GB2312" w:cs="仿宋_GB2312"/>
          <w:kern w:val="0"/>
          <w:sz w:val="32"/>
          <w:szCs w:val="32"/>
        </w:rPr>
        <w:t>负责拟订市本级财政投资评审管理制度及有关规定。</w:t>
      </w:r>
    </w:p>
    <w:p>
      <w:pPr>
        <w:adjustRightInd w:val="0"/>
        <w:snapToGrid w:val="0"/>
        <w:spacing w:line="560" w:lineRule="exact"/>
        <w:ind w:right="-218" w:rightChars="-104" w:firstLine="643" w:firstLineChars="200"/>
        <w:rPr>
          <w:rFonts w:ascii="仿宋_GB2312" w:hAnsi="华文仿宋" w:eastAsia="仿宋_GB2312"/>
          <w:sz w:val="32"/>
          <w:szCs w:val="32"/>
        </w:rPr>
      </w:pPr>
      <w:r>
        <w:rPr>
          <w:rFonts w:hint="eastAsia" w:ascii="楷体_GB2312" w:hAnsi="华文仿宋" w:eastAsia="楷体_GB2312" w:cs="楷体_GB2312"/>
          <w:b/>
          <w:bCs/>
          <w:color w:val="000000"/>
          <w:kern w:val="0"/>
          <w:sz w:val="32"/>
          <w:szCs w:val="32"/>
        </w:rPr>
        <w:t>（二）</w:t>
      </w:r>
      <w:r>
        <w:rPr>
          <w:rFonts w:hint="eastAsia" w:ascii="仿宋_GB2312" w:eastAsia="仿宋_GB2312" w:cs="仿宋_GB2312"/>
          <w:kern w:val="0"/>
          <w:sz w:val="32"/>
          <w:szCs w:val="32"/>
        </w:rPr>
        <w:t>负责市本级部门项目支出预算评审工作，对项目预算支出的真实性、合理性、准确性进行评审。</w:t>
      </w:r>
    </w:p>
    <w:p>
      <w:pPr>
        <w:adjustRightInd w:val="0"/>
        <w:snapToGrid w:val="0"/>
        <w:spacing w:line="560" w:lineRule="exact"/>
        <w:ind w:right="-218" w:rightChars="-104" w:firstLine="630" w:firstLineChars="196"/>
        <w:rPr>
          <w:rFonts w:ascii="仿宋_GB2312" w:eastAsia="仿宋_GB2312"/>
          <w:kern w:val="0"/>
          <w:sz w:val="32"/>
          <w:szCs w:val="32"/>
        </w:rPr>
      </w:pPr>
      <w:r>
        <w:rPr>
          <w:rFonts w:hint="eastAsia" w:ascii="楷体_GB2312" w:hAnsi="华文仿宋" w:eastAsia="楷体_GB2312" w:cs="楷体_GB2312"/>
          <w:b/>
          <w:bCs/>
          <w:color w:val="000000"/>
          <w:kern w:val="0"/>
          <w:sz w:val="32"/>
          <w:szCs w:val="32"/>
        </w:rPr>
        <w:t>（三）</w:t>
      </w:r>
      <w:r>
        <w:rPr>
          <w:rFonts w:hint="eastAsia" w:ascii="仿宋_GB2312" w:eastAsia="仿宋_GB2312" w:cs="仿宋_GB2312"/>
          <w:kern w:val="0"/>
          <w:sz w:val="32"/>
          <w:szCs w:val="32"/>
        </w:rPr>
        <w:t>负责市本级财政投资项目（含中央、自治区财政安排用于市本级建设项目）工程的概（预）算、预算控制价、竣工决（结）算的评审工作，对项目资金支出的真实性、合理性、准确性进行评审。</w:t>
      </w:r>
    </w:p>
    <w:p>
      <w:pPr>
        <w:adjustRightInd w:val="0"/>
        <w:snapToGrid w:val="0"/>
        <w:spacing w:line="560" w:lineRule="exact"/>
        <w:ind w:right="-218" w:rightChars="-104" w:firstLine="643" w:firstLineChars="200"/>
        <w:rPr>
          <w:rFonts w:ascii="仿宋_GB2312" w:eastAsia="仿宋_GB2312"/>
          <w:kern w:val="0"/>
          <w:sz w:val="32"/>
          <w:szCs w:val="32"/>
        </w:rPr>
      </w:pPr>
      <w:r>
        <w:rPr>
          <w:rFonts w:hint="eastAsia" w:ascii="楷体_GB2312" w:hAnsi="华文仿宋" w:eastAsia="楷体_GB2312" w:cs="楷体_GB2312"/>
          <w:b/>
          <w:bCs/>
          <w:color w:val="000000"/>
          <w:kern w:val="0"/>
          <w:sz w:val="32"/>
          <w:szCs w:val="32"/>
        </w:rPr>
        <w:t>（四）</w:t>
      </w:r>
      <w:r>
        <w:rPr>
          <w:rFonts w:hint="eastAsia" w:ascii="仿宋_GB2312" w:eastAsia="仿宋_GB2312" w:cs="仿宋_GB2312"/>
          <w:kern w:val="0"/>
          <w:sz w:val="32"/>
          <w:szCs w:val="32"/>
        </w:rPr>
        <w:t>负责对市本级财政投资重大建设项目预决算情况进行跟踪评审。</w:t>
      </w:r>
    </w:p>
    <w:p>
      <w:pPr>
        <w:autoSpaceDE w:val="0"/>
        <w:autoSpaceDN w:val="0"/>
        <w:adjustRightInd w:val="0"/>
        <w:spacing w:line="560" w:lineRule="exact"/>
        <w:ind w:firstLine="630" w:firstLineChars="196"/>
        <w:jc w:val="left"/>
        <w:rPr>
          <w:rFonts w:ascii="仿宋_GB2312" w:eastAsia="仿宋_GB2312"/>
          <w:kern w:val="0"/>
          <w:sz w:val="32"/>
          <w:szCs w:val="32"/>
        </w:rPr>
      </w:pPr>
      <w:r>
        <w:rPr>
          <w:rFonts w:hint="eastAsia" w:ascii="楷体_GB2312" w:hAnsi="华文仿宋" w:eastAsia="楷体_GB2312" w:cs="楷体_GB2312"/>
          <w:b/>
          <w:bCs/>
          <w:color w:val="000000"/>
          <w:kern w:val="0"/>
          <w:sz w:val="32"/>
          <w:szCs w:val="32"/>
        </w:rPr>
        <w:t>（五）</w:t>
      </w:r>
      <w:r>
        <w:rPr>
          <w:rFonts w:hint="eastAsia" w:ascii="仿宋_GB2312" w:eastAsia="仿宋_GB2312" w:cs="仿宋_GB2312"/>
          <w:kern w:val="0"/>
          <w:sz w:val="32"/>
          <w:szCs w:val="32"/>
        </w:rPr>
        <w:t>负责对市本级政府各直属投资公司、市土地交易储备中心政府投资项目的集体土地征地拆迁结算评审工作。</w:t>
      </w:r>
    </w:p>
    <w:p>
      <w:pPr>
        <w:autoSpaceDE w:val="0"/>
        <w:autoSpaceDN w:val="0"/>
        <w:adjustRightInd w:val="0"/>
        <w:spacing w:line="560" w:lineRule="exact"/>
        <w:ind w:firstLine="643" w:firstLineChars="200"/>
        <w:jc w:val="left"/>
        <w:rPr>
          <w:rFonts w:ascii="仿宋_GB2312" w:eastAsia="仿宋_GB2312"/>
          <w:kern w:val="0"/>
          <w:sz w:val="32"/>
          <w:szCs w:val="32"/>
        </w:rPr>
      </w:pPr>
      <w:r>
        <w:rPr>
          <w:rFonts w:hint="eastAsia" w:ascii="楷体_GB2312" w:hAnsi="华文仿宋" w:eastAsia="楷体_GB2312" w:cs="楷体_GB2312"/>
          <w:b/>
          <w:bCs/>
          <w:color w:val="000000"/>
          <w:kern w:val="0"/>
          <w:sz w:val="32"/>
          <w:szCs w:val="32"/>
        </w:rPr>
        <w:t>（六）</w:t>
      </w:r>
      <w:r>
        <w:rPr>
          <w:rFonts w:hint="eastAsia" w:ascii="仿宋_GB2312" w:eastAsia="仿宋_GB2312" w:cs="仿宋_GB2312"/>
          <w:kern w:val="0"/>
          <w:sz w:val="32"/>
          <w:szCs w:val="32"/>
        </w:rPr>
        <w:t>负责指导县区财政投资项目评审业务工作，组织开展全市财政投资评审项目评审业务培训。</w:t>
      </w:r>
    </w:p>
    <w:p>
      <w:pPr>
        <w:autoSpaceDE w:val="0"/>
        <w:autoSpaceDN w:val="0"/>
        <w:adjustRightInd w:val="0"/>
        <w:spacing w:line="560" w:lineRule="exact"/>
        <w:ind w:firstLine="643" w:firstLineChars="200"/>
        <w:jc w:val="left"/>
        <w:rPr>
          <w:rFonts w:ascii="仿宋_GB2312" w:eastAsia="仿宋_GB2312"/>
          <w:kern w:val="0"/>
          <w:sz w:val="32"/>
          <w:szCs w:val="32"/>
        </w:rPr>
      </w:pPr>
      <w:r>
        <w:rPr>
          <w:rFonts w:hint="eastAsia" w:ascii="楷体_GB2312" w:hAnsi="华文仿宋" w:eastAsia="楷体_GB2312" w:cs="楷体_GB2312"/>
          <w:b/>
          <w:bCs/>
          <w:color w:val="000000"/>
          <w:kern w:val="0"/>
          <w:sz w:val="32"/>
          <w:szCs w:val="32"/>
        </w:rPr>
        <w:t>（七）</w:t>
      </w:r>
      <w:r>
        <w:rPr>
          <w:rFonts w:hint="eastAsia" w:ascii="仿宋_GB2312" w:eastAsia="仿宋_GB2312" w:cs="仿宋_GB2312"/>
          <w:kern w:val="0"/>
          <w:sz w:val="32"/>
          <w:szCs w:val="32"/>
        </w:rPr>
        <w:t>完成主管部门交办的其他任务。</w:t>
      </w:r>
    </w:p>
    <w:p>
      <w:pPr>
        <w:ind w:firstLine="646"/>
        <w:rPr>
          <w:rFonts w:ascii="仿宋_GB2312" w:eastAsia="仿宋_GB2312"/>
          <w:sz w:val="32"/>
          <w:szCs w:val="32"/>
        </w:rPr>
      </w:pPr>
      <w:r>
        <w:rPr>
          <w:rFonts w:hint="eastAsia" w:ascii="仿宋_GB2312" w:eastAsia="仿宋_GB2312" w:cs="仿宋_GB2312"/>
          <w:sz w:val="32"/>
          <w:szCs w:val="32"/>
        </w:rPr>
        <w:t>二、单位决算单位构成</w:t>
      </w:r>
    </w:p>
    <w:p>
      <w:pPr>
        <w:ind w:firstLine="645"/>
        <w:rPr>
          <w:rFonts w:ascii="仿宋_GB2312" w:eastAsia="仿宋_GB2312"/>
          <w:sz w:val="32"/>
          <w:szCs w:val="32"/>
        </w:rPr>
      </w:pPr>
      <w:r>
        <w:rPr>
          <w:rFonts w:hint="eastAsia" w:ascii="仿宋_GB2312" w:eastAsia="仿宋_GB2312" w:cs="仿宋_GB2312"/>
          <w:sz w:val="32"/>
          <w:szCs w:val="32"/>
        </w:rPr>
        <w:t>本单位仅有柳州市财政投资评审中心一个单位构成</w:t>
      </w:r>
    </w:p>
    <w:p>
      <w:pPr>
        <w:jc w:val="center"/>
      </w:pPr>
    </w:p>
    <w:p/>
    <w:p/>
    <w:p/>
    <w:p/>
    <w:p/>
    <w:p/>
    <w:p/>
    <w:p/>
    <w:p>
      <w:pPr>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柳州市财政投资评审中心</w:t>
      </w:r>
      <w:r>
        <w:rPr>
          <w:rFonts w:ascii="仿宋_GB2312" w:eastAsia="仿宋_GB2312" w:cs="仿宋_GB2312"/>
          <w:b/>
          <w:bCs/>
          <w:sz w:val="32"/>
          <w:szCs w:val="32"/>
        </w:rPr>
        <w:t>2020</w:t>
      </w:r>
      <w:r>
        <w:rPr>
          <w:rFonts w:hint="eastAsia" w:ascii="仿宋_GB2312" w:eastAsia="仿宋_GB2312" w:cs="仿宋_GB2312"/>
          <w:b/>
          <w:bCs/>
          <w:sz w:val="32"/>
          <w:szCs w:val="32"/>
        </w:rPr>
        <w:t>年单位决算报表</w:t>
      </w:r>
    </w:p>
    <w:tbl>
      <w:tblPr>
        <w:tblStyle w:val="5"/>
        <w:tblW w:w="10080" w:type="dxa"/>
        <w:jc w:val="center"/>
        <w:tblLayout w:type="autofit"/>
        <w:tblCellMar>
          <w:top w:w="0" w:type="dxa"/>
          <w:left w:w="108" w:type="dxa"/>
          <w:bottom w:w="0" w:type="dxa"/>
          <w:right w:w="108" w:type="dxa"/>
        </w:tblCellMar>
      </w:tblPr>
      <w:tblGrid>
        <w:gridCol w:w="3167"/>
        <w:gridCol w:w="701"/>
        <w:gridCol w:w="1158"/>
        <w:gridCol w:w="2650"/>
        <w:gridCol w:w="478"/>
        <w:gridCol w:w="325"/>
        <w:gridCol w:w="136"/>
        <w:gridCol w:w="1465"/>
      </w:tblGrid>
      <w:tr>
        <w:tblPrEx>
          <w:tblCellMar>
            <w:top w:w="0" w:type="dxa"/>
            <w:left w:w="108" w:type="dxa"/>
            <w:bottom w:w="0" w:type="dxa"/>
            <w:right w:w="108" w:type="dxa"/>
          </w:tblCellMar>
        </w:tblPrEx>
        <w:trPr>
          <w:trHeight w:val="205" w:hRule="atLeast"/>
          <w:jc w:val="center"/>
        </w:trPr>
        <w:tc>
          <w:tcPr>
            <w:tcW w:w="10080" w:type="dxa"/>
            <w:gridSpan w:val="8"/>
            <w:tcBorders>
              <w:top w:val="nil"/>
              <w:left w:val="nil"/>
              <w:bottom w:val="nil"/>
              <w:right w:val="nil"/>
            </w:tcBorders>
            <w:noWrap/>
            <w:vAlign w:val="bottom"/>
          </w:tcPr>
          <w:p>
            <w:pPr>
              <w:widowControl/>
              <w:jc w:val="center"/>
              <w:rPr>
                <w:rFonts w:ascii="Arial" w:hAnsi="Arial" w:cs="Arial"/>
                <w:color w:val="000000"/>
                <w:kern w:val="0"/>
                <w:sz w:val="20"/>
                <w:szCs w:val="20"/>
              </w:rPr>
            </w:pPr>
            <w:bookmarkStart w:id="0" w:name="_GoBack"/>
            <w:r>
              <w:rPr>
                <w:rFonts w:hint="eastAsia" w:ascii="宋体" w:hAnsi="宋体" w:cs="宋体"/>
                <w:color w:val="000000"/>
                <w:kern w:val="0"/>
                <w:sz w:val="30"/>
                <w:szCs w:val="30"/>
              </w:rPr>
              <w:t>表一：收入支出决算总表</w:t>
            </w:r>
          </w:p>
        </w:tc>
      </w:tr>
      <w:tr>
        <w:tblPrEx>
          <w:tblCellMar>
            <w:top w:w="0" w:type="dxa"/>
            <w:left w:w="108" w:type="dxa"/>
            <w:bottom w:w="0" w:type="dxa"/>
            <w:right w:w="108" w:type="dxa"/>
          </w:tblCellMar>
        </w:tblPrEx>
        <w:trPr>
          <w:trHeight w:val="134" w:hRule="atLeast"/>
          <w:jc w:val="center"/>
        </w:trPr>
        <w:tc>
          <w:tcPr>
            <w:tcW w:w="316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5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03"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01" w:type="dxa"/>
            <w:gridSpan w:val="2"/>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178" w:hRule="atLeast"/>
          <w:jc w:val="center"/>
        </w:trPr>
        <w:tc>
          <w:tcPr>
            <w:tcW w:w="3167" w:type="dxa"/>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7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5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03"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01" w:type="dxa"/>
            <w:gridSpan w:val="2"/>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162" w:hRule="atLeast"/>
          <w:jc w:val="center"/>
        </w:trPr>
        <w:tc>
          <w:tcPr>
            <w:tcW w:w="50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收入</w:t>
            </w:r>
          </w:p>
        </w:tc>
        <w:tc>
          <w:tcPr>
            <w:tcW w:w="5054"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支出</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ind w:left="-73" w:leftChars="-35" w:firstLine="74" w:firstLineChars="34"/>
              <w:jc w:val="center"/>
              <w:rPr>
                <w:rFonts w:ascii="宋体"/>
                <w:color w:val="000000"/>
                <w:kern w:val="0"/>
                <w:sz w:val="22"/>
              </w:rPr>
            </w:pPr>
            <w:r>
              <w:rPr>
                <w:rFonts w:hint="eastAsia" w:ascii="宋体" w:hAnsi="宋体" w:cs="宋体"/>
                <w:color w:val="000000"/>
                <w:kern w:val="0"/>
                <w:sz w:val="22"/>
                <w:szCs w:val="22"/>
              </w:rPr>
              <w:t>项目</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行次</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金额</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行次</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　</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　</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一、一般公共预算财政拨款收入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1,271.68</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一、一般公共服务支出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32</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二、政府性基金预算财政拨款收入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二、外交支出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33</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三、国有资本经营预算财政拨款收入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三、国防支出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34</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四、上级补助收入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四、公共安全支出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35</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五、事业收入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五、教育支出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36</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六、经营收入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6</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六、科学技术支出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37</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七、附属单位上缴收入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7</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七、文化旅游体育与传媒支出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38</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八、其他收入</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8</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八、社会保障和就业支出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39</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34.90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9</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九、卫生健康支出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40</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18.25</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10</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十、节能环保支出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41</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11</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十一、城乡社区支出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42</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12</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十二、农林水支出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43</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13</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十三、交通运输支出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44</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14</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十四、资源勘探工业信息等支出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45</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15</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十五、商业服务业等支出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46</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16</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十六、金融支出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47</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17</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十七、援助其他地区支出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48</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18</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十八、自然资源海洋气象等支出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49</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19</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十九、住房保障支出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50</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18.59</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20</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二十、粮油物资储备支出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51</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21</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二十一、国有资本经营预算支出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52</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22</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二十二、灾害防治及应急管理支出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53</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23</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二十三、其他支出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54</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0.02</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0"/>
                <w:szCs w:val="20"/>
              </w:rPr>
            </w:pPr>
            <w:r>
              <w:rPr>
                <w:rFonts w:ascii="宋体" w:hAnsi="宋体" w:cs="宋体"/>
                <w:color w:val="000000"/>
                <w:kern w:val="0"/>
                <w:sz w:val="20"/>
                <w:szCs w:val="20"/>
              </w:rPr>
              <w:t>24</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0"/>
                <w:szCs w:val="20"/>
              </w:rPr>
            </w:pPr>
            <w:r>
              <w:rPr>
                <w:rFonts w:hint="eastAsia" w:ascii="宋体" w:hAnsi="宋体" w:cs="宋体"/>
                <w:color w:val="000000"/>
                <w:kern w:val="0"/>
                <w:sz w:val="20"/>
                <w:szCs w:val="20"/>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二十四、债务还本支出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55</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0"/>
                <w:szCs w:val="20"/>
              </w:rPr>
            </w:pPr>
            <w:r>
              <w:rPr>
                <w:rFonts w:ascii="宋体" w:hAnsi="宋体" w:cs="宋体"/>
                <w:color w:val="000000"/>
                <w:kern w:val="0"/>
                <w:sz w:val="20"/>
                <w:szCs w:val="20"/>
              </w:rPr>
              <w:t>25</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0"/>
                <w:szCs w:val="20"/>
              </w:rPr>
            </w:pPr>
            <w:r>
              <w:rPr>
                <w:rFonts w:hint="eastAsia" w:ascii="宋体" w:hAnsi="宋体" w:cs="宋体"/>
                <w:color w:val="000000"/>
                <w:kern w:val="0"/>
                <w:sz w:val="20"/>
                <w:szCs w:val="20"/>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二十五、债务付息支出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56</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0"/>
                <w:szCs w:val="20"/>
              </w:rPr>
            </w:pPr>
            <w:r>
              <w:rPr>
                <w:rFonts w:ascii="宋体" w:hAnsi="宋体" w:cs="宋体"/>
                <w:color w:val="000000"/>
                <w:kern w:val="0"/>
                <w:sz w:val="20"/>
                <w:szCs w:val="20"/>
              </w:rPr>
              <w:t>26</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0"/>
                <w:szCs w:val="20"/>
              </w:rPr>
            </w:pPr>
            <w:r>
              <w:rPr>
                <w:rFonts w:hint="eastAsia" w:ascii="宋体" w:hAnsi="宋体" w:cs="宋体"/>
                <w:color w:val="000000"/>
                <w:kern w:val="0"/>
                <w:sz w:val="20"/>
                <w:szCs w:val="20"/>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二十六、抗疫特别国债安排的支出</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57</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本年收入合计</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27</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1,271.87</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本年支出合计</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58</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1,233.22</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使用非财政拨款结余</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28</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结余分配</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59</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年初结转和结余</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29</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0.40</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年末结转和结余</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60</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39.05</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30</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61</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2" w:hRule="atLeast"/>
          <w:jc w:val="center"/>
        </w:trPr>
        <w:tc>
          <w:tcPr>
            <w:tcW w:w="316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总计</w:t>
            </w:r>
          </w:p>
        </w:tc>
        <w:tc>
          <w:tcPr>
            <w:tcW w:w="701"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31</w:t>
            </w:r>
          </w:p>
        </w:tc>
        <w:tc>
          <w:tcPr>
            <w:tcW w:w="11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1,272.27</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总计</w:t>
            </w:r>
          </w:p>
        </w:tc>
        <w:tc>
          <w:tcPr>
            <w:tcW w:w="4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62</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1,272.27</w:t>
            </w:r>
          </w:p>
        </w:tc>
      </w:tr>
      <w:tr>
        <w:tblPrEx>
          <w:tblCellMar>
            <w:top w:w="0" w:type="dxa"/>
            <w:left w:w="108" w:type="dxa"/>
            <w:bottom w:w="0" w:type="dxa"/>
            <w:right w:w="108" w:type="dxa"/>
          </w:tblCellMar>
        </w:tblPrEx>
        <w:trPr>
          <w:trHeight w:val="162" w:hRule="atLeast"/>
          <w:jc w:val="center"/>
        </w:trPr>
        <w:tc>
          <w:tcPr>
            <w:tcW w:w="10080" w:type="dxa"/>
            <w:gridSpan w:val="8"/>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注：本表反映单位本年度的总收支和年末结转结余情况。</w:t>
            </w:r>
          </w:p>
        </w:tc>
      </w:tr>
      <w:bookmarkEnd w:id="0"/>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tbl>
      <w:tblPr>
        <w:tblStyle w:val="5"/>
        <w:tblW w:w="14434" w:type="dxa"/>
        <w:jc w:val="center"/>
        <w:tblLayout w:type="autofit"/>
        <w:tblCellMar>
          <w:top w:w="0" w:type="dxa"/>
          <w:left w:w="108" w:type="dxa"/>
          <w:bottom w:w="0" w:type="dxa"/>
          <w:right w:w="108" w:type="dxa"/>
        </w:tblCellMar>
      </w:tblPr>
      <w:tblGrid>
        <w:gridCol w:w="328"/>
        <w:gridCol w:w="328"/>
        <w:gridCol w:w="331"/>
        <w:gridCol w:w="3204"/>
        <w:gridCol w:w="1463"/>
        <w:gridCol w:w="1463"/>
        <w:gridCol w:w="1463"/>
        <w:gridCol w:w="1463"/>
        <w:gridCol w:w="1463"/>
        <w:gridCol w:w="1463"/>
        <w:gridCol w:w="1465"/>
      </w:tblGrid>
      <w:tr>
        <w:tblPrEx>
          <w:tblCellMar>
            <w:top w:w="0" w:type="dxa"/>
            <w:left w:w="108" w:type="dxa"/>
            <w:bottom w:w="0" w:type="dxa"/>
            <w:right w:w="108" w:type="dxa"/>
          </w:tblCellMar>
        </w:tblPrEx>
        <w:trPr>
          <w:trHeight w:val="372" w:hRule="atLeast"/>
          <w:jc w:val="center"/>
        </w:trPr>
        <w:tc>
          <w:tcPr>
            <w:tcW w:w="14434" w:type="dxa"/>
            <w:gridSpan w:val="11"/>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表二：收入决算表</w:t>
            </w:r>
          </w:p>
        </w:tc>
      </w:tr>
      <w:tr>
        <w:tblPrEx>
          <w:tblCellMar>
            <w:top w:w="0" w:type="dxa"/>
            <w:left w:w="108" w:type="dxa"/>
            <w:bottom w:w="0" w:type="dxa"/>
            <w:right w:w="108" w:type="dxa"/>
          </w:tblCellMar>
        </w:tblPrEx>
        <w:trPr>
          <w:trHeight w:val="242" w:hRule="atLeast"/>
          <w:jc w:val="center"/>
        </w:trPr>
        <w:tc>
          <w:tcPr>
            <w:tcW w:w="32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2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2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5"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42" w:hRule="atLeast"/>
          <w:jc w:val="center"/>
        </w:trPr>
        <w:tc>
          <w:tcPr>
            <w:tcW w:w="4191" w:type="dxa"/>
            <w:gridSpan w:val="4"/>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928" w:type="dxa"/>
            <w:gridSpan w:val="2"/>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94" w:hRule="atLeast"/>
          <w:jc w:val="center"/>
        </w:trPr>
        <w:tc>
          <w:tcPr>
            <w:tcW w:w="41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本年收入合计</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财政拨款收入</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上级补助收入</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事业收入</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经营收入</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附属单位上缴收入</w:t>
            </w:r>
          </w:p>
        </w:tc>
        <w:tc>
          <w:tcPr>
            <w:tcW w:w="146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12" w:hRule="atLeast"/>
          <w:jc w:val="center"/>
        </w:trPr>
        <w:tc>
          <w:tcPr>
            <w:tcW w:w="98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功能分类科目编码</w:t>
            </w:r>
          </w:p>
        </w:tc>
        <w:tc>
          <w:tcPr>
            <w:tcW w:w="3204"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320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320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46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94" w:hRule="atLeast"/>
          <w:jc w:val="center"/>
        </w:trPr>
        <w:tc>
          <w:tcPr>
            <w:tcW w:w="41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1463"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1463"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463"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463"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463"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5</w:t>
            </w:r>
          </w:p>
        </w:tc>
        <w:tc>
          <w:tcPr>
            <w:tcW w:w="1463"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6</w:t>
            </w:r>
          </w:p>
        </w:tc>
        <w:tc>
          <w:tcPr>
            <w:tcW w:w="1465"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294" w:hRule="atLeast"/>
          <w:jc w:val="center"/>
        </w:trPr>
        <w:tc>
          <w:tcPr>
            <w:tcW w:w="41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14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1,271.87</w:t>
            </w:r>
          </w:p>
        </w:tc>
        <w:tc>
          <w:tcPr>
            <w:tcW w:w="14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1,271.68</w:t>
            </w:r>
          </w:p>
        </w:tc>
        <w:tc>
          <w:tcPr>
            <w:tcW w:w="14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c>
          <w:tcPr>
            <w:tcW w:w="14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c>
          <w:tcPr>
            <w:tcW w:w="14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c>
          <w:tcPr>
            <w:tcW w:w="14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c>
          <w:tcPr>
            <w:tcW w:w="14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0.20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一般公共服务支出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249.10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249.10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财政事务</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249.10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249.10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2010601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219.19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219.19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2010602</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29.91</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29.91</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社会保障和就业支出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36.13</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36.13</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行政事业单位养老支出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36.13</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36.13</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2080505</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24.34</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24.34</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2080506</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11.58</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11.58</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卫生健康支出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行政事业单位医疗</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2101101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2101103</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城乡社区支出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950.00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950.00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21203</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城乡社区公共设施</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950.00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950.00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2120399</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950.00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950.00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住房保障支出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22102</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住房改革支出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2210201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18.19</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229</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其他支出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22999</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其他支出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r>
      <w:tr>
        <w:tblPrEx>
          <w:tblCellMar>
            <w:top w:w="0" w:type="dxa"/>
            <w:left w:w="108" w:type="dxa"/>
            <w:bottom w:w="0" w:type="dxa"/>
            <w:right w:w="108" w:type="dxa"/>
          </w:tblCellMar>
        </w:tblPrEx>
        <w:trPr>
          <w:trHeight w:val="294"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2299901</w:t>
            </w:r>
          </w:p>
        </w:tc>
        <w:tc>
          <w:tcPr>
            <w:tcW w:w="320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3"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65"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r>
      <w:tr>
        <w:tblPrEx>
          <w:tblCellMar>
            <w:top w:w="0" w:type="dxa"/>
            <w:left w:w="108" w:type="dxa"/>
            <w:bottom w:w="0" w:type="dxa"/>
            <w:right w:w="108" w:type="dxa"/>
          </w:tblCellMar>
        </w:tblPrEx>
        <w:trPr>
          <w:trHeight w:val="294" w:hRule="atLeast"/>
          <w:jc w:val="center"/>
        </w:trPr>
        <w:tc>
          <w:tcPr>
            <w:tcW w:w="14434" w:type="dxa"/>
            <w:gridSpan w:val="11"/>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注：本表反映单位本年度取得的各项收入情况。</w:t>
            </w:r>
          </w:p>
        </w:tc>
      </w:tr>
    </w:tbl>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tbl>
      <w:tblPr>
        <w:tblStyle w:val="5"/>
        <w:tblW w:w="14787" w:type="dxa"/>
        <w:jc w:val="center"/>
        <w:tblLayout w:type="autofit"/>
        <w:tblCellMar>
          <w:top w:w="0" w:type="dxa"/>
          <w:left w:w="108" w:type="dxa"/>
          <w:bottom w:w="0" w:type="dxa"/>
          <w:right w:w="108" w:type="dxa"/>
        </w:tblCellMar>
      </w:tblPr>
      <w:tblGrid>
        <w:gridCol w:w="332"/>
        <w:gridCol w:w="332"/>
        <w:gridCol w:w="333"/>
        <w:gridCol w:w="3686"/>
        <w:gridCol w:w="1684"/>
        <w:gridCol w:w="1684"/>
        <w:gridCol w:w="1684"/>
        <w:gridCol w:w="1684"/>
        <w:gridCol w:w="1684"/>
        <w:gridCol w:w="1684"/>
      </w:tblGrid>
      <w:tr>
        <w:tblPrEx>
          <w:tblCellMar>
            <w:top w:w="0" w:type="dxa"/>
            <w:left w:w="108" w:type="dxa"/>
            <w:bottom w:w="0" w:type="dxa"/>
            <w:right w:w="108" w:type="dxa"/>
          </w:tblCellMar>
        </w:tblPrEx>
        <w:trPr>
          <w:trHeight w:val="322" w:hRule="atLeast"/>
          <w:jc w:val="center"/>
        </w:trPr>
        <w:tc>
          <w:tcPr>
            <w:tcW w:w="14787" w:type="dxa"/>
            <w:gridSpan w:val="10"/>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表三：支出决算表</w:t>
            </w:r>
          </w:p>
        </w:tc>
      </w:tr>
      <w:tr>
        <w:tblPrEx>
          <w:tblCellMar>
            <w:top w:w="0" w:type="dxa"/>
            <w:left w:w="108" w:type="dxa"/>
            <w:bottom w:w="0" w:type="dxa"/>
            <w:right w:w="108" w:type="dxa"/>
          </w:tblCellMar>
        </w:tblPrEx>
        <w:trPr>
          <w:trHeight w:val="211" w:hRule="atLeast"/>
          <w:jc w:val="center"/>
        </w:trPr>
        <w:tc>
          <w:tcPr>
            <w:tcW w:w="3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68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11" w:hRule="atLeast"/>
          <w:jc w:val="center"/>
        </w:trPr>
        <w:tc>
          <w:tcPr>
            <w:tcW w:w="4683" w:type="dxa"/>
            <w:gridSpan w:val="4"/>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4"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55" w:hRule="atLeast"/>
          <w:jc w:val="center"/>
        </w:trPr>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本年支出合计</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基本支出</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项目支出</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上缴上级支出</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经营支出</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12" w:hRule="atLeast"/>
          <w:jc w:val="center"/>
        </w:trPr>
        <w:tc>
          <w:tcPr>
            <w:tcW w:w="99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功能分类科目编码</w:t>
            </w:r>
          </w:p>
        </w:tc>
        <w:tc>
          <w:tcPr>
            <w:tcW w:w="368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99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368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99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368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55" w:hRule="atLeast"/>
          <w:jc w:val="center"/>
        </w:trPr>
        <w:tc>
          <w:tcPr>
            <w:tcW w:w="468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255" w:hRule="atLeast"/>
          <w:jc w:val="center"/>
        </w:trPr>
        <w:tc>
          <w:tcPr>
            <w:tcW w:w="468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16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1,233.22</w:t>
            </w:r>
          </w:p>
        </w:tc>
        <w:tc>
          <w:tcPr>
            <w:tcW w:w="16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283.49</w:t>
            </w:r>
          </w:p>
        </w:tc>
        <w:tc>
          <w:tcPr>
            <w:tcW w:w="16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949.74</w:t>
            </w:r>
          </w:p>
        </w:tc>
        <w:tc>
          <w:tcPr>
            <w:tcW w:w="16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c>
          <w:tcPr>
            <w:tcW w:w="16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c>
          <w:tcPr>
            <w:tcW w:w="16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ascii="宋体" w:cs="宋体"/>
                <w:b/>
                <w:bCs/>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一般公共服务支出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财政事务</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2010601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203.48</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203.48</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2010602</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社会保障和就业支出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行政事业单位养老支出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2080505</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23.13</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23.13</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2080506</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11.57</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11.57</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卫生健康支出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行政事业单位医疗</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2101101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2101103</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城乡社区支出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21203</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城乡社区公共设施</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2120399</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住房保障支出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22102</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住房改革支出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2210201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229</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其他支出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0.02</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0.02</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22999</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其他支出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0.02</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0.02</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99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2299901</w:t>
            </w:r>
          </w:p>
        </w:tc>
        <w:tc>
          <w:tcPr>
            <w:tcW w:w="368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0.02</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0.02</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68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55" w:hRule="atLeast"/>
          <w:jc w:val="center"/>
        </w:trPr>
        <w:tc>
          <w:tcPr>
            <w:tcW w:w="14787" w:type="dxa"/>
            <w:gridSpan w:val="10"/>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注：本表反映单位本年度各项支出情况。</w:t>
            </w:r>
          </w:p>
        </w:tc>
      </w:tr>
    </w:tbl>
    <w:p/>
    <w:p/>
    <w:p/>
    <w:p/>
    <w:p/>
    <w:p/>
    <w:p/>
    <w:p/>
    <w:p/>
    <w:p/>
    <w:p/>
    <w:p/>
    <w:p/>
    <w:p/>
    <w:p/>
    <w:p/>
    <w:p/>
    <w:p/>
    <w:p/>
    <w:tbl>
      <w:tblPr>
        <w:tblStyle w:val="5"/>
        <w:tblW w:w="14233" w:type="dxa"/>
        <w:jc w:val="center"/>
        <w:tblLayout w:type="autofit"/>
        <w:tblCellMar>
          <w:top w:w="0" w:type="dxa"/>
          <w:left w:w="108" w:type="dxa"/>
          <w:bottom w:w="0" w:type="dxa"/>
          <w:right w:w="108" w:type="dxa"/>
        </w:tblCellMar>
      </w:tblPr>
      <w:tblGrid>
        <w:gridCol w:w="2808"/>
        <w:gridCol w:w="497"/>
        <w:gridCol w:w="1439"/>
        <w:gridCol w:w="3134"/>
        <w:gridCol w:w="497"/>
        <w:gridCol w:w="1439"/>
        <w:gridCol w:w="1439"/>
        <w:gridCol w:w="1439"/>
        <w:gridCol w:w="1541"/>
      </w:tblGrid>
      <w:tr>
        <w:trPr>
          <w:trHeight w:val="269" w:hRule="atLeast"/>
          <w:jc w:val="center"/>
        </w:trPr>
        <w:tc>
          <w:tcPr>
            <w:tcW w:w="14233" w:type="dxa"/>
            <w:gridSpan w:val="9"/>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表四：财政拨款收入支出决算总表</w:t>
            </w:r>
          </w:p>
        </w:tc>
      </w:tr>
      <w:tr>
        <w:tblPrEx>
          <w:tblCellMar>
            <w:top w:w="0" w:type="dxa"/>
            <w:left w:w="108" w:type="dxa"/>
            <w:bottom w:w="0" w:type="dxa"/>
            <w:right w:w="108" w:type="dxa"/>
          </w:tblCellMar>
        </w:tblPrEx>
        <w:trPr>
          <w:trHeight w:val="176" w:hRule="atLeast"/>
          <w:jc w:val="center"/>
        </w:trPr>
        <w:tc>
          <w:tcPr>
            <w:tcW w:w="280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9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1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9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41"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176" w:hRule="atLeast"/>
          <w:jc w:val="center"/>
        </w:trPr>
        <w:tc>
          <w:tcPr>
            <w:tcW w:w="3305"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部门：柳州市财政投资评审中心</w:t>
            </w: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1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9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41"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13" w:hRule="atLeast"/>
          <w:jc w:val="center"/>
        </w:trPr>
        <w:tc>
          <w:tcPr>
            <w:tcW w:w="4744"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9489" w:type="dxa"/>
            <w:gridSpan w:val="6"/>
            <w:tcBorders>
              <w:top w:val="single" w:color="000000" w:sz="4" w:space="0"/>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312" w:hRule="atLeast"/>
          <w:jc w:val="center"/>
        </w:trPr>
        <w:tc>
          <w:tcPr>
            <w:tcW w:w="2808" w:type="dxa"/>
            <w:vMerge w:val="restart"/>
            <w:tcBorders>
              <w:top w:val="nil"/>
              <w:left w:val="single" w:color="000000" w:sz="4" w:space="0"/>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497"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行次</w:t>
            </w:r>
          </w:p>
        </w:tc>
        <w:tc>
          <w:tcPr>
            <w:tcW w:w="1439"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金额</w:t>
            </w:r>
          </w:p>
        </w:tc>
        <w:tc>
          <w:tcPr>
            <w:tcW w:w="3134"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497"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行次</w:t>
            </w:r>
          </w:p>
        </w:tc>
        <w:tc>
          <w:tcPr>
            <w:tcW w:w="1439" w:type="dxa"/>
            <w:vMerge w:val="restart"/>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1439"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一般公共预算财政拨款</w:t>
            </w:r>
          </w:p>
        </w:tc>
        <w:tc>
          <w:tcPr>
            <w:tcW w:w="1439"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政府性基金预算财政拨款</w:t>
            </w:r>
          </w:p>
        </w:tc>
        <w:tc>
          <w:tcPr>
            <w:tcW w:w="1541"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国有资本经营预算财政拨款</w:t>
            </w:r>
          </w:p>
        </w:tc>
      </w:tr>
      <w:tr>
        <w:tblPrEx>
          <w:tblCellMar>
            <w:top w:w="0" w:type="dxa"/>
            <w:left w:w="108" w:type="dxa"/>
            <w:bottom w:w="0" w:type="dxa"/>
            <w:right w:w="108" w:type="dxa"/>
          </w:tblCellMar>
        </w:tblPrEx>
        <w:trPr>
          <w:trHeight w:val="424" w:hRule="atLeast"/>
          <w:jc w:val="center"/>
        </w:trPr>
        <w:tc>
          <w:tcPr>
            <w:tcW w:w="2808" w:type="dxa"/>
            <w:vMerge w:val="continue"/>
            <w:tcBorders>
              <w:top w:val="nil"/>
              <w:left w:val="single" w:color="000000" w:sz="4" w:space="0"/>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497"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43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313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497"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43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43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43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54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一、一般公共预算财政拨款</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1,271.68</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一、一般公共服务支出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二、政府性基金预算财政拨款</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二、外交支出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三、国有资本经营财政拨款</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三、国防支出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四、公共安全支出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36</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五、教育支出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6</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六、科学技术支出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38</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七、文化旅游体育与传媒支出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8</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八、社会保障和就业支出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九、卫生健康支出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十、节能环保支出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十一、城乡社区支出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十二、农林水支出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十三、交通运输支出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十四、资源勘探工业信息等支出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46</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十五、商业服务业等支出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16</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十六、金融支出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48</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十七、援助其他地区支出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49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18</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十八、自然资源海洋气象等支出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十九、住房保障支出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二十、粮油物资储备支出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二十一、国有资本经营预算支出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二十二、灾害防治及应急管理支出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二十三、其他支出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二十四、债务还本支出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56</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25</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二十五、债务付息支出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26</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二十六、抗疫特别国债安排的支出</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58</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本年收入合计</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1,271.68</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本年支出合计</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59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1,233.20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1,233.20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年初财政拨款结转和结余</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28</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0.40</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年末财政拨款结转和结余</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60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38.87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38.87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一般公共预算财政拨款</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29</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0.40</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61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30</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62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国有资本经营预算财政拨款</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31</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63</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3" w:hRule="atLeast"/>
          <w:jc w:val="center"/>
        </w:trPr>
        <w:tc>
          <w:tcPr>
            <w:tcW w:w="2808" w:type="dxa"/>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总计</w:t>
            </w:r>
          </w:p>
        </w:tc>
        <w:tc>
          <w:tcPr>
            <w:tcW w:w="497" w:type="dxa"/>
            <w:tcBorders>
              <w:top w:val="nil"/>
              <w:left w:val="nil"/>
              <w:bottom w:val="single" w:color="000000" w:sz="8"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32</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1,272.07</w:t>
            </w:r>
          </w:p>
        </w:tc>
        <w:tc>
          <w:tcPr>
            <w:tcW w:w="3134"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总计</w:t>
            </w:r>
          </w:p>
        </w:tc>
        <w:tc>
          <w:tcPr>
            <w:tcW w:w="497"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64</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1,272.07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1,272.07</w:t>
            </w:r>
          </w:p>
        </w:tc>
        <w:tc>
          <w:tcPr>
            <w:tcW w:w="1439"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154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3" w:hRule="atLeast"/>
          <w:jc w:val="center"/>
        </w:trPr>
        <w:tc>
          <w:tcPr>
            <w:tcW w:w="14233" w:type="dxa"/>
            <w:gridSpan w:val="9"/>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注：本表反映单位本年度一般公共预算财政拨款、政府性基金预算财政拨款和国有资本经营预算财政拨款的总收支和年末结转结余情况。</w:t>
            </w:r>
          </w:p>
          <w:p>
            <w:pPr>
              <w:widowControl/>
              <w:jc w:val="left"/>
              <w:rPr>
                <w:rFonts w:ascii="宋体"/>
                <w:color w:val="000000"/>
                <w:kern w:val="0"/>
                <w:sz w:val="20"/>
                <w:szCs w:val="20"/>
              </w:rPr>
            </w:pPr>
            <w:r>
              <w:rPr>
                <w:rFonts w:hint="eastAsia" w:ascii="宋体" w:hAnsi="宋体" w:cs="宋体"/>
                <w:color w:val="000000"/>
                <w:kern w:val="0"/>
                <w:sz w:val="20"/>
                <w:szCs w:val="20"/>
              </w:rPr>
              <w:t>　</w:t>
            </w:r>
          </w:p>
        </w:tc>
      </w:tr>
    </w:tbl>
    <w:p/>
    <w:p/>
    <w:tbl>
      <w:tblPr>
        <w:tblStyle w:val="5"/>
        <w:tblW w:w="13527" w:type="dxa"/>
        <w:jc w:val="center"/>
        <w:tblLayout w:type="autofit"/>
        <w:tblCellMar>
          <w:top w:w="0" w:type="dxa"/>
          <w:left w:w="108" w:type="dxa"/>
          <w:bottom w:w="0" w:type="dxa"/>
          <w:right w:w="108" w:type="dxa"/>
        </w:tblCellMar>
      </w:tblPr>
      <w:tblGrid>
        <w:gridCol w:w="392"/>
        <w:gridCol w:w="392"/>
        <w:gridCol w:w="392"/>
        <w:gridCol w:w="4539"/>
        <w:gridCol w:w="2604"/>
        <w:gridCol w:w="2604"/>
        <w:gridCol w:w="2604"/>
      </w:tblGrid>
      <w:tr>
        <w:tblPrEx>
          <w:tblCellMar>
            <w:top w:w="0" w:type="dxa"/>
            <w:left w:w="108" w:type="dxa"/>
            <w:bottom w:w="0" w:type="dxa"/>
            <w:right w:w="108" w:type="dxa"/>
          </w:tblCellMar>
        </w:tblPrEx>
        <w:trPr>
          <w:trHeight w:val="304" w:hRule="atLeast"/>
          <w:jc w:val="center"/>
        </w:trPr>
        <w:tc>
          <w:tcPr>
            <w:tcW w:w="13525" w:type="dxa"/>
            <w:gridSpan w:val="7"/>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表五：一般公共预算财政拨款支出决算表</w:t>
            </w:r>
          </w:p>
        </w:tc>
      </w:tr>
      <w:tr>
        <w:tblPrEx>
          <w:tblCellMar>
            <w:top w:w="0" w:type="dxa"/>
            <w:left w:w="108" w:type="dxa"/>
            <w:bottom w:w="0" w:type="dxa"/>
            <w:right w:w="108" w:type="dxa"/>
          </w:tblCellMar>
        </w:tblPrEx>
        <w:trPr>
          <w:trHeight w:val="199" w:hRule="atLeast"/>
          <w:jc w:val="center"/>
        </w:trPr>
        <w:tc>
          <w:tcPr>
            <w:tcW w:w="39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9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9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5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04"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05</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199" w:hRule="atLeast"/>
          <w:jc w:val="center"/>
        </w:trPr>
        <w:tc>
          <w:tcPr>
            <w:tcW w:w="5714" w:type="dxa"/>
            <w:gridSpan w:val="4"/>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26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04"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40" w:hRule="atLeast"/>
          <w:jc w:val="center"/>
        </w:trPr>
        <w:tc>
          <w:tcPr>
            <w:tcW w:w="5714" w:type="dxa"/>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7811" w:type="dxa"/>
            <w:gridSpan w:val="3"/>
            <w:tcBorders>
              <w:top w:val="single" w:color="000000" w:sz="4" w:space="0"/>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本年支出</w:t>
            </w:r>
          </w:p>
        </w:tc>
      </w:tr>
      <w:tr>
        <w:tblPrEx>
          <w:tblCellMar>
            <w:top w:w="0" w:type="dxa"/>
            <w:left w:w="108" w:type="dxa"/>
            <w:bottom w:w="0" w:type="dxa"/>
            <w:right w:w="108" w:type="dxa"/>
          </w:tblCellMar>
        </w:tblPrEx>
        <w:trPr>
          <w:trHeight w:val="312" w:hRule="atLeast"/>
          <w:jc w:val="center"/>
        </w:trPr>
        <w:tc>
          <w:tcPr>
            <w:tcW w:w="1175"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功能分类科目编码</w:t>
            </w:r>
          </w:p>
        </w:tc>
        <w:tc>
          <w:tcPr>
            <w:tcW w:w="4539" w:type="dxa"/>
            <w:vMerge w:val="restart"/>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2604"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小计</w:t>
            </w:r>
          </w:p>
        </w:tc>
        <w:tc>
          <w:tcPr>
            <w:tcW w:w="2604"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基本支出</w:t>
            </w:r>
          </w:p>
        </w:tc>
        <w:tc>
          <w:tcPr>
            <w:tcW w:w="2604"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175"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453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60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60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60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1175"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453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60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60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604"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40" w:hRule="atLeast"/>
          <w:jc w:val="center"/>
        </w:trPr>
        <w:tc>
          <w:tcPr>
            <w:tcW w:w="5714" w:type="dxa"/>
            <w:gridSpan w:val="4"/>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2604"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2604"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2604"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240" w:hRule="atLeast"/>
          <w:jc w:val="center"/>
        </w:trPr>
        <w:tc>
          <w:tcPr>
            <w:tcW w:w="5714" w:type="dxa"/>
            <w:gridSpan w:val="4"/>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2604"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1,233.20</w:t>
            </w:r>
          </w:p>
        </w:tc>
        <w:tc>
          <w:tcPr>
            <w:tcW w:w="2604"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283.47</w:t>
            </w:r>
          </w:p>
        </w:tc>
        <w:tc>
          <w:tcPr>
            <w:tcW w:w="2604"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b/>
                <w:bCs/>
                <w:color w:val="000000"/>
                <w:kern w:val="0"/>
                <w:sz w:val="22"/>
              </w:rPr>
            </w:pPr>
            <w:r>
              <w:rPr>
                <w:rFonts w:ascii="宋体" w:hAnsi="宋体" w:cs="宋体"/>
                <w:b/>
                <w:bCs/>
                <w:color w:val="000000"/>
                <w:kern w:val="0"/>
                <w:sz w:val="22"/>
                <w:szCs w:val="22"/>
              </w:rPr>
              <w:t>949.74</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一般公共服务支出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财政事务</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211.73</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2010601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203.48</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203.48</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2010602</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社会保障和就业支出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行政事业单位养老支出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34.90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2080505</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23.13</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23.13</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2080506</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11.57</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11.57</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卫生健康支出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行政事业单位医疗</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18.25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2101101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2101103</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城乡社区支出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21203</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城乡社区公共设施</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2120399</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949.74</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住房保障支出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22102</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住房改革支出</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175"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2210201</w:t>
            </w:r>
          </w:p>
        </w:tc>
        <w:tc>
          <w:tcPr>
            <w:tcW w:w="4539"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2604"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40" w:hRule="atLeast"/>
          <w:jc w:val="center"/>
        </w:trPr>
        <w:tc>
          <w:tcPr>
            <w:tcW w:w="13525" w:type="dxa"/>
            <w:gridSpan w:val="7"/>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注：本表反映单位本年度一般公共预算财政拨款支出情况。</w:t>
            </w:r>
          </w:p>
        </w:tc>
      </w:tr>
    </w:tbl>
    <w:p/>
    <w:p/>
    <w:p/>
    <w:p/>
    <w:p/>
    <w:p/>
    <w:p/>
    <w:p/>
    <w:p/>
    <w:p/>
    <w:p/>
    <w:p/>
    <w:p/>
    <w:p/>
    <w:p/>
    <w:p/>
    <w:p/>
    <w:p/>
    <w:p/>
    <w:p/>
    <w:p/>
    <w:p/>
    <w:p/>
    <w:tbl>
      <w:tblPr>
        <w:tblStyle w:val="5"/>
        <w:tblW w:w="14967" w:type="dxa"/>
        <w:jc w:val="center"/>
        <w:tblLayout w:type="autofit"/>
        <w:tblCellMar>
          <w:top w:w="0" w:type="dxa"/>
          <w:left w:w="108" w:type="dxa"/>
          <w:bottom w:w="0" w:type="dxa"/>
          <w:right w:w="108" w:type="dxa"/>
        </w:tblCellMar>
      </w:tblPr>
      <w:tblGrid>
        <w:gridCol w:w="810"/>
        <w:gridCol w:w="3212"/>
        <w:gridCol w:w="1643"/>
        <w:gridCol w:w="809"/>
        <w:gridCol w:w="2537"/>
        <w:gridCol w:w="1643"/>
        <w:gridCol w:w="809"/>
        <w:gridCol w:w="2353"/>
        <w:gridCol w:w="1151"/>
      </w:tblGrid>
      <w:tr>
        <w:tblPrEx>
          <w:tblCellMar>
            <w:top w:w="0" w:type="dxa"/>
            <w:left w:w="108" w:type="dxa"/>
            <w:bottom w:w="0" w:type="dxa"/>
            <w:right w:w="108" w:type="dxa"/>
          </w:tblCellMar>
        </w:tblPrEx>
        <w:trPr>
          <w:trHeight w:val="267" w:hRule="atLeast"/>
          <w:jc w:val="center"/>
        </w:trPr>
        <w:tc>
          <w:tcPr>
            <w:tcW w:w="14967" w:type="dxa"/>
            <w:gridSpan w:val="9"/>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表六：一般公共预算财政拨款基本支出决算表</w:t>
            </w:r>
          </w:p>
        </w:tc>
      </w:tr>
      <w:tr>
        <w:tblPrEx>
          <w:tblCellMar>
            <w:top w:w="0" w:type="dxa"/>
            <w:left w:w="108" w:type="dxa"/>
            <w:bottom w:w="0" w:type="dxa"/>
            <w:right w:w="108" w:type="dxa"/>
          </w:tblCellMar>
        </w:tblPrEx>
        <w:trPr>
          <w:trHeight w:val="175" w:hRule="atLeast"/>
          <w:jc w:val="center"/>
        </w:trPr>
        <w:tc>
          <w:tcPr>
            <w:tcW w:w="81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21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53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35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1" w:type="dxa"/>
            <w:tcBorders>
              <w:top w:val="nil"/>
              <w:left w:val="nil"/>
              <w:bottom w:val="nil"/>
              <w:right w:val="nil"/>
            </w:tcBorders>
            <w:noWrap/>
            <w:vAlign w:val="bottom"/>
          </w:tcPr>
          <w:p>
            <w:pPr>
              <w:widowControl/>
              <w:jc w:val="right"/>
              <w:rPr>
                <w:rFonts w:ascii="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175" w:hRule="atLeast"/>
          <w:jc w:val="center"/>
        </w:trPr>
        <w:tc>
          <w:tcPr>
            <w:tcW w:w="4022" w:type="dxa"/>
            <w:gridSpan w:val="2"/>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16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53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504" w:type="dxa"/>
            <w:gridSpan w:val="2"/>
            <w:tcBorders>
              <w:top w:val="nil"/>
              <w:left w:val="nil"/>
              <w:bottom w:val="nil"/>
              <w:right w:val="nil"/>
            </w:tcBorders>
            <w:noWrap/>
            <w:vAlign w:val="bottom"/>
          </w:tcPr>
          <w:p>
            <w:pPr>
              <w:widowControl/>
              <w:jc w:val="right"/>
              <w:rPr>
                <w:rFonts w:ascii="宋体"/>
                <w:color w:val="000000"/>
                <w:kern w:val="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210" w:hRule="atLeast"/>
          <w:jc w:val="center"/>
        </w:trPr>
        <w:tc>
          <w:tcPr>
            <w:tcW w:w="5665"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人员经费</w:t>
            </w:r>
          </w:p>
        </w:tc>
        <w:tc>
          <w:tcPr>
            <w:tcW w:w="9302" w:type="dxa"/>
            <w:gridSpan w:val="6"/>
            <w:tcBorders>
              <w:top w:val="single" w:color="000000" w:sz="4" w:space="0"/>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810" w:type="dxa"/>
            <w:vMerge w:val="restart"/>
            <w:tcBorders>
              <w:top w:val="nil"/>
              <w:left w:val="single" w:color="000000" w:sz="4" w:space="0"/>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科目编码</w:t>
            </w:r>
          </w:p>
        </w:tc>
        <w:tc>
          <w:tcPr>
            <w:tcW w:w="3212"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1643"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决算数</w:t>
            </w:r>
          </w:p>
        </w:tc>
        <w:tc>
          <w:tcPr>
            <w:tcW w:w="809"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科目编码</w:t>
            </w:r>
          </w:p>
        </w:tc>
        <w:tc>
          <w:tcPr>
            <w:tcW w:w="2537"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1643"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决算数</w:t>
            </w:r>
          </w:p>
        </w:tc>
        <w:tc>
          <w:tcPr>
            <w:tcW w:w="809"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科目编码</w:t>
            </w:r>
          </w:p>
        </w:tc>
        <w:tc>
          <w:tcPr>
            <w:tcW w:w="2353"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1151"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312" w:hRule="atLeast"/>
          <w:jc w:val="center"/>
        </w:trPr>
        <w:tc>
          <w:tcPr>
            <w:tcW w:w="810" w:type="dxa"/>
            <w:vMerge w:val="continue"/>
            <w:tcBorders>
              <w:top w:val="nil"/>
              <w:left w:val="single" w:color="000000" w:sz="4" w:space="0"/>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3212"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643"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80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537"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643"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809"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353"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115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工资福利支出</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243.25</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商品和服务支出</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39.88</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307</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债务利息及费用支出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30101</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基本工资</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52.58</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30201</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4.45</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30701</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国内债务付息</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30102</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津贴补贴</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43.70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30202</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印刷费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0.72</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30702</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国外债务付息</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30103</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74.56</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30203</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咨询费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资本性支出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0.14</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30106</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伙食补助费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30204</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手续费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31001</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房屋建筑物购建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30107</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绩效工资</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30205</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水费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31002</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办公设备购置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0.14</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30108</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23.13</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30206</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电费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31003</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专用设备购置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30109</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职业年金缴费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11.57</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30207</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邮电费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2.29</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31005</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基础设施建设</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30110</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职工基本医疗保险缴费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10.05</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30208</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取暖费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31006</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大型修缮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30111</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公务员医疗补助缴费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8.20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30209</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物业管理费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31007</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信息网络及软件购置更新</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30112</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其他社会保障缴费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0.87</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30211</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差旅费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31008</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物资储备</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30113</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18.59</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30212</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因公出国（境）费用</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31009</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土地补偿</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30114</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30213</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维修（护）费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7.01</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31010</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安置补助</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30199</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其他工资福利支出</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30214</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租赁费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31011</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地上附着物和青苗补偿</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对个人和家庭的补助</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30215</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会议费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31012</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拆迁补偿</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30301</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离休费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30216</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培训费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31013</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公务用车购置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30302</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退休费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0.20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30217</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公务接待费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31019</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其他交通工具购置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30303</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退职（役）费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30218</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专用材料费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31021</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文物和陈列品购置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30304</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抚恤金</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30224</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被装购置费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31022</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无形资产购置</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30305</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生活补助</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30225</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专用燃料费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31099</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其他资本性支出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30306</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救济费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30226</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劳务费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399</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其他支出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30307</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医疗费补助</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30227</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委托业务费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39906</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赠与</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30308</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助学金</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30228</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工会经费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2.90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39907</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国家赔偿费用支出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30309</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奖励金</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30229</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福利费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39908</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对民间非营利组织和群众性自治组织补贴</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30310</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个人农业生产补贴</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30231</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公务用车运行维护费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39999</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30311</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代缴社会保险费</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30239</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其他交通费用</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12.83</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30399</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其他对个人和家庭的补助</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30240</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税金及附加费用</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0" w:hRule="atLeast"/>
          <w:jc w:val="center"/>
        </w:trPr>
        <w:tc>
          <w:tcPr>
            <w:tcW w:w="810" w:type="dxa"/>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212"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30299</w:t>
            </w:r>
          </w:p>
        </w:tc>
        <w:tc>
          <w:tcPr>
            <w:tcW w:w="2537"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其他商品和服务支出</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8.68</w:t>
            </w:r>
          </w:p>
        </w:tc>
        <w:tc>
          <w:tcPr>
            <w:tcW w:w="809"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2353"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0" w:hRule="atLeast"/>
          <w:jc w:val="center"/>
        </w:trPr>
        <w:tc>
          <w:tcPr>
            <w:tcW w:w="4022" w:type="dxa"/>
            <w:gridSpan w:val="2"/>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人员经费合计</w:t>
            </w:r>
          </w:p>
        </w:tc>
        <w:tc>
          <w:tcPr>
            <w:tcW w:w="1643"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243.45</w:t>
            </w:r>
          </w:p>
        </w:tc>
        <w:tc>
          <w:tcPr>
            <w:tcW w:w="8151" w:type="dxa"/>
            <w:gridSpan w:val="5"/>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公用经费合计</w:t>
            </w:r>
          </w:p>
        </w:tc>
        <w:tc>
          <w:tcPr>
            <w:tcW w:w="115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ascii="宋体" w:hAnsi="宋体" w:cs="宋体"/>
                <w:color w:val="000000"/>
                <w:kern w:val="0"/>
                <w:sz w:val="22"/>
                <w:szCs w:val="22"/>
              </w:rPr>
              <w:t>40.02</w:t>
            </w:r>
          </w:p>
        </w:tc>
      </w:tr>
      <w:tr>
        <w:tblPrEx>
          <w:tblCellMar>
            <w:top w:w="0" w:type="dxa"/>
            <w:left w:w="108" w:type="dxa"/>
            <w:bottom w:w="0" w:type="dxa"/>
            <w:right w:w="108" w:type="dxa"/>
          </w:tblCellMar>
        </w:tblPrEx>
        <w:trPr>
          <w:trHeight w:val="210" w:hRule="atLeast"/>
          <w:jc w:val="center"/>
        </w:trPr>
        <w:tc>
          <w:tcPr>
            <w:tcW w:w="14967" w:type="dxa"/>
            <w:gridSpan w:val="9"/>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注：本表反映单位本年度一般公共预算财政拨款基本支出明细情况。</w:t>
            </w:r>
          </w:p>
        </w:tc>
      </w:tr>
    </w:tbl>
    <w:p>
      <w:pPr>
        <w:sectPr>
          <w:footerReference r:id="rId9" w:type="default"/>
          <w:pgSz w:w="16838" w:h="11906" w:orient="landscape"/>
          <w:pgMar w:top="1377" w:right="1440" w:bottom="1797" w:left="1440" w:header="851" w:footer="992" w:gutter="0"/>
          <w:pgNumType w:fmt="numberInDash"/>
          <w:cols w:space="720" w:num="1"/>
          <w:docGrid w:type="lines" w:linePitch="312" w:charSpace="0"/>
        </w:sectPr>
      </w:pPr>
    </w:p>
    <w:tbl>
      <w:tblPr>
        <w:tblStyle w:val="5"/>
        <w:tblW w:w="14794" w:type="dxa"/>
        <w:jc w:val="center"/>
        <w:tblLayout w:type="autofit"/>
        <w:tblCellMar>
          <w:top w:w="0" w:type="dxa"/>
          <w:left w:w="108" w:type="dxa"/>
          <w:bottom w:w="0" w:type="dxa"/>
          <w:right w:w="108" w:type="dxa"/>
        </w:tblCellMar>
      </w:tblPr>
      <w:tblGrid>
        <w:gridCol w:w="1232"/>
        <w:gridCol w:w="1232"/>
        <w:gridCol w:w="1232"/>
        <w:gridCol w:w="1232"/>
        <w:gridCol w:w="1232"/>
        <w:gridCol w:w="1232"/>
        <w:gridCol w:w="1232"/>
        <w:gridCol w:w="1232"/>
        <w:gridCol w:w="1232"/>
        <w:gridCol w:w="1232"/>
        <w:gridCol w:w="1232"/>
        <w:gridCol w:w="1242"/>
      </w:tblGrid>
      <w:tr>
        <w:tblPrEx>
          <w:tblCellMar>
            <w:top w:w="0" w:type="dxa"/>
            <w:left w:w="108" w:type="dxa"/>
            <w:bottom w:w="0" w:type="dxa"/>
            <w:right w:w="108" w:type="dxa"/>
          </w:tblCellMar>
        </w:tblPrEx>
        <w:trPr>
          <w:trHeight w:val="503" w:hRule="atLeast"/>
          <w:jc w:val="center"/>
        </w:trPr>
        <w:tc>
          <w:tcPr>
            <w:tcW w:w="14794" w:type="dxa"/>
            <w:gridSpan w:val="12"/>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44"/>
                <w:szCs w:val="44"/>
              </w:rPr>
              <w:t>表七：一般公共预算财政拨款“三公”经费支出决算表</w:t>
            </w:r>
          </w:p>
        </w:tc>
      </w:tr>
      <w:tr>
        <w:tblPrEx>
          <w:tblCellMar>
            <w:top w:w="0" w:type="dxa"/>
            <w:left w:w="108" w:type="dxa"/>
            <w:bottom w:w="0" w:type="dxa"/>
            <w:right w:w="108" w:type="dxa"/>
          </w:tblCellMar>
        </w:tblPrEx>
        <w:trPr>
          <w:trHeight w:val="238" w:hRule="atLeast"/>
          <w:jc w:val="center"/>
        </w:trPr>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42"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38" w:hRule="atLeast"/>
          <w:jc w:val="center"/>
        </w:trPr>
        <w:tc>
          <w:tcPr>
            <w:tcW w:w="3696" w:type="dxa"/>
            <w:gridSpan w:val="3"/>
            <w:tcBorders>
              <w:top w:val="nil"/>
              <w:left w:val="nil"/>
              <w:bottom w:val="nil"/>
              <w:right w:val="nil"/>
            </w:tcBorders>
            <w:noWrap/>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部门：柳州市财政投资评审中心</w:t>
            </w: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474" w:type="dxa"/>
            <w:gridSpan w:val="2"/>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87" w:hRule="atLeast"/>
          <w:jc w:val="center"/>
        </w:trPr>
        <w:tc>
          <w:tcPr>
            <w:tcW w:w="7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预算数</w:t>
            </w:r>
          </w:p>
        </w:tc>
        <w:tc>
          <w:tcPr>
            <w:tcW w:w="7402"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87" w:hRule="atLeast"/>
          <w:jc w:val="center"/>
        </w:trPr>
        <w:tc>
          <w:tcPr>
            <w:tcW w:w="123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12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因公出国（境）费</w:t>
            </w:r>
          </w:p>
        </w:tc>
        <w:tc>
          <w:tcPr>
            <w:tcW w:w="369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公务用车购置及运行费</w:t>
            </w:r>
          </w:p>
        </w:tc>
        <w:tc>
          <w:tcPr>
            <w:tcW w:w="12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公务接待费</w:t>
            </w:r>
          </w:p>
        </w:tc>
        <w:tc>
          <w:tcPr>
            <w:tcW w:w="12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12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因公出国（境）费</w:t>
            </w:r>
          </w:p>
        </w:tc>
        <w:tc>
          <w:tcPr>
            <w:tcW w:w="369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公务用车购置及运行费</w:t>
            </w:r>
          </w:p>
        </w:tc>
        <w:tc>
          <w:tcPr>
            <w:tcW w:w="124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73" w:hRule="atLeast"/>
          <w:jc w:val="center"/>
        </w:trPr>
        <w:tc>
          <w:tcPr>
            <w:tcW w:w="123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23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小计</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公务用车购置费</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公务用车运行费</w:t>
            </w:r>
          </w:p>
        </w:tc>
        <w:tc>
          <w:tcPr>
            <w:tcW w:w="123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23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23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小计</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公务用车购置费</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公务用车运行费</w:t>
            </w:r>
          </w:p>
        </w:tc>
        <w:tc>
          <w:tcPr>
            <w:tcW w:w="124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87" w:hRule="atLeast"/>
          <w:jc w:val="center"/>
        </w:trPr>
        <w:tc>
          <w:tcPr>
            <w:tcW w:w="123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5</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6</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7</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8</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9</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10</w:t>
            </w:r>
          </w:p>
        </w:tc>
        <w:tc>
          <w:tcPr>
            <w:tcW w:w="123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11</w:t>
            </w:r>
          </w:p>
        </w:tc>
        <w:tc>
          <w:tcPr>
            <w:tcW w:w="1242" w:type="dxa"/>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287" w:hRule="atLeast"/>
          <w:jc w:val="center"/>
        </w:trPr>
        <w:tc>
          <w:tcPr>
            <w:tcW w:w="1232"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0.56</w:t>
            </w: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ascii="宋体" w:hAnsi="宋体" w:cs="宋体"/>
                <w:color w:val="000000"/>
                <w:kern w:val="0"/>
                <w:sz w:val="22"/>
                <w:szCs w:val="22"/>
              </w:rPr>
              <w:t>0.56</w:t>
            </w: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2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73" w:hRule="atLeast"/>
          <w:jc w:val="center"/>
        </w:trPr>
        <w:tc>
          <w:tcPr>
            <w:tcW w:w="14794" w:type="dxa"/>
            <w:gridSpan w:val="12"/>
            <w:tcBorders>
              <w:top w:val="nil"/>
              <w:left w:val="nil"/>
              <w:bottom w:val="nil"/>
              <w:right w:val="nil"/>
            </w:tcBorders>
            <w:vAlign w:val="center"/>
          </w:tcPr>
          <w:p>
            <w:pPr>
              <w:widowControl/>
              <w:jc w:val="left"/>
              <w:rPr>
                <w:rFonts w:ascii="宋体"/>
                <w:color w:val="000000"/>
                <w:kern w:val="0"/>
                <w:sz w:val="22"/>
              </w:rPr>
            </w:pPr>
            <w:r>
              <w:rPr>
                <w:rFonts w:hint="eastAsia" w:ascii="宋体" w:hAnsi="宋体" w:cs="宋体"/>
                <w:color w:val="000000"/>
                <w:kern w:val="0"/>
                <w:sz w:val="22"/>
                <w:szCs w:val="22"/>
              </w:rPr>
              <w:t>注：本表反映单位本年度“三公”经费支出预决算情况。其中，预算数为“三公”经费全年预算数，反映按规定程序调整后的预算数；决算数是包括当年一般公共预算财政拨款和以前年度结转资金安排的实际支出。</w:t>
            </w:r>
          </w:p>
        </w:tc>
      </w:tr>
    </w:tbl>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tbl>
      <w:tblPr>
        <w:tblStyle w:val="5"/>
        <w:tblW w:w="14600" w:type="dxa"/>
        <w:jc w:val="center"/>
        <w:tblLayout w:type="autofit"/>
        <w:tblCellMar>
          <w:top w:w="0" w:type="dxa"/>
          <w:left w:w="108" w:type="dxa"/>
          <w:bottom w:w="0" w:type="dxa"/>
          <w:right w:w="108" w:type="dxa"/>
        </w:tblCellMar>
      </w:tblPr>
      <w:tblGrid>
        <w:gridCol w:w="330"/>
        <w:gridCol w:w="330"/>
        <w:gridCol w:w="330"/>
        <w:gridCol w:w="3824"/>
        <w:gridCol w:w="1631"/>
        <w:gridCol w:w="1631"/>
        <w:gridCol w:w="1631"/>
        <w:gridCol w:w="1631"/>
        <w:gridCol w:w="1631"/>
        <w:gridCol w:w="1631"/>
      </w:tblGrid>
      <w:tr>
        <w:tblPrEx>
          <w:tblCellMar>
            <w:top w:w="0" w:type="dxa"/>
            <w:left w:w="108" w:type="dxa"/>
            <w:bottom w:w="0" w:type="dxa"/>
            <w:right w:w="108" w:type="dxa"/>
          </w:tblCellMar>
        </w:tblPrEx>
        <w:trPr>
          <w:trHeight w:val="374" w:hRule="atLeast"/>
          <w:jc w:val="center"/>
        </w:trPr>
        <w:tc>
          <w:tcPr>
            <w:tcW w:w="14598" w:type="dxa"/>
            <w:gridSpan w:val="10"/>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表八：政府性基金预算财政拨款收入支出决算表</w:t>
            </w:r>
          </w:p>
        </w:tc>
      </w:tr>
      <w:tr>
        <w:tblPrEx>
          <w:tblCellMar>
            <w:top w:w="0" w:type="dxa"/>
            <w:left w:w="108" w:type="dxa"/>
            <w:bottom w:w="0" w:type="dxa"/>
            <w:right w:w="108" w:type="dxa"/>
          </w:tblCellMar>
        </w:tblPrEx>
        <w:trPr>
          <w:trHeight w:val="245" w:hRule="atLeast"/>
          <w:jc w:val="center"/>
        </w:trPr>
        <w:tc>
          <w:tcPr>
            <w:tcW w:w="3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82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45" w:hRule="atLeast"/>
          <w:jc w:val="center"/>
        </w:trPr>
        <w:tc>
          <w:tcPr>
            <w:tcW w:w="4814" w:type="dxa"/>
            <w:gridSpan w:val="4"/>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31"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96" w:hRule="atLeast"/>
          <w:jc w:val="center"/>
        </w:trPr>
        <w:tc>
          <w:tcPr>
            <w:tcW w:w="48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163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年初结转和结余</w:t>
            </w:r>
          </w:p>
        </w:tc>
        <w:tc>
          <w:tcPr>
            <w:tcW w:w="163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本年收入</w:t>
            </w:r>
          </w:p>
        </w:tc>
        <w:tc>
          <w:tcPr>
            <w:tcW w:w="489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本年支出</w:t>
            </w:r>
          </w:p>
        </w:tc>
        <w:tc>
          <w:tcPr>
            <w:tcW w:w="163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功能分类科目编码</w:t>
            </w:r>
          </w:p>
        </w:tc>
        <w:tc>
          <w:tcPr>
            <w:tcW w:w="3824"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小计</w:t>
            </w:r>
          </w:p>
        </w:tc>
        <w:tc>
          <w:tcPr>
            <w:tcW w:w="163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基本支出</w:t>
            </w:r>
          </w:p>
        </w:tc>
        <w:tc>
          <w:tcPr>
            <w:tcW w:w="163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color w:val="000000"/>
                <w:kern w:val="0"/>
                <w:sz w:val="22"/>
              </w:rPr>
            </w:pPr>
            <w:r>
              <w:rPr>
                <w:rFonts w:hint="eastAsia" w:ascii="宋体" w:hAnsi="宋体" w:cs="宋体"/>
                <w:color w:val="000000"/>
                <w:kern w:val="0"/>
                <w:sz w:val="22"/>
                <w:szCs w:val="22"/>
              </w:rPr>
              <w:t>项目支出</w:t>
            </w: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382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382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c>
          <w:tcPr>
            <w:tcW w:w="16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96" w:hRule="atLeast"/>
          <w:jc w:val="center"/>
        </w:trPr>
        <w:tc>
          <w:tcPr>
            <w:tcW w:w="481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5</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296" w:hRule="atLeast"/>
          <w:jc w:val="center"/>
        </w:trPr>
        <w:tc>
          <w:tcPr>
            <w:tcW w:w="481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99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82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99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82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99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82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99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3824"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163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jc w:val="center"/>
        </w:trPr>
        <w:tc>
          <w:tcPr>
            <w:tcW w:w="14598" w:type="dxa"/>
            <w:gridSpan w:val="10"/>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注：本单位没有政府性基金预算财政拨款收入，也没有政府性基金预算财政拨款安排的支出，故本表无数据</w:t>
            </w:r>
          </w:p>
        </w:tc>
      </w:tr>
    </w:tbl>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tbl>
      <w:tblPr>
        <w:tblStyle w:val="5"/>
        <w:tblW w:w="13519" w:type="dxa"/>
        <w:jc w:val="center"/>
        <w:tblLayout w:type="autofit"/>
        <w:tblCellMar>
          <w:top w:w="0" w:type="dxa"/>
          <w:left w:w="108" w:type="dxa"/>
          <w:bottom w:w="0" w:type="dxa"/>
          <w:right w:w="108" w:type="dxa"/>
        </w:tblCellMar>
      </w:tblPr>
      <w:tblGrid>
        <w:gridCol w:w="460"/>
        <w:gridCol w:w="460"/>
        <w:gridCol w:w="460"/>
        <w:gridCol w:w="5326"/>
        <w:gridCol w:w="2271"/>
        <w:gridCol w:w="2271"/>
        <w:gridCol w:w="2271"/>
      </w:tblGrid>
      <w:tr>
        <w:tblPrEx>
          <w:tblCellMar>
            <w:top w:w="0" w:type="dxa"/>
            <w:left w:w="108" w:type="dxa"/>
            <w:bottom w:w="0" w:type="dxa"/>
            <w:right w:w="108" w:type="dxa"/>
          </w:tblCellMar>
        </w:tblPrEx>
        <w:trPr>
          <w:trHeight w:val="288" w:hRule="atLeast"/>
          <w:jc w:val="center"/>
        </w:trPr>
        <w:tc>
          <w:tcPr>
            <w:tcW w:w="13519" w:type="dxa"/>
            <w:gridSpan w:val="7"/>
            <w:tcBorders>
              <w:top w:val="nil"/>
              <w:left w:val="nil"/>
              <w:bottom w:val="nil"/>
              <w:right w:val="nil"/>
            </w:tcBorders>
            <w:noWrap/>
            <w:vAlign w:val="bottom"/>
          </w:tcPr>
          <w:p>
            <w:pPr>
              <w:widowControl/>
              <w:jc w:val="center"/>
              <w:rPr>
                <w:rFonts w:ascii="Arial" w:hAnsi="Arial" w:cs="Arial"/>
                <w:color w:val="000000"/>
                <w:kern w:val="0"/>
                <w:sz w:val="20"/>
                <w:szCs w:val="20"/>
              </w:rPr>
            </w:pPr>
            <w:r>
              <w:rPr>
                <w:rFonts w:hint="eastAsia" w:ascii="宋体" w:hAnsi="宋体" w:cs="宋体"/>
                <w:color w:val="000000"/>
                <w:kern w:val="0"/>
                <w:sz w:val="30"/>
                <w:szCs w:val="30"/>
              </w:rPr>
              <w:t>表九：国有资本经营预算财政拨款支出决算表</w:t>
            </w:r>
          </w:p>
        </w:tc>
      </w:tr>
      <w:tr>
        <w:tblPrEx>
          <w:tblCellMar>
            <w:top w:w="0" w:type="dxa"/>
            <w:left w:w="108" w:type="dxa"/>
            <w:bottom w:w="0" w:type="dxa"/>
            <w:right w:w="108" w:type="dxa"/>
          </w:tblCellMar>
        </w:tblPrEx>
        <w:trPr>
          <w:trHeight w:val="188" w:hRule="atLeast"/>
          <w:jc w:val="center"/>
        </w:trPr>
        <w:tc>
          <w:tcPr>
            <w:tcW w:w="4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32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7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7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71"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188" w:hRule="atLeast"/>
          <w:jc w:val="center"/>
        </w:trPr>
        <w:tc>
          <w:tcPr>
            <w:tcW w:w="6706" w:type="dxa"/>
            <w:gridSpan w:val="4"/>
            <w:tcBorders>
              <w:top w:val="nil"/>
              <w:left w:val="nil"/>
              <w:bottom w:val="nil"/>
              <w:right w:val="nil"/>
            </w:tcBorders>
            <w:noWrap/>
            <w:vAlign w:val="bottom"/>
          </w:tcPr>
          <w:p>
            <w:pPr>
              <w:widowControl/>
              <w:jc w:val="left"/>
              <w:rPr>
                <w:rFonts w:ascii="宋体"/>
                <w:color w:val="000000"/>
                <w:kern w:val="0"/>
                <w:sz w:val="20"/>
                <w:szCs w:val="20"/>
              </w:rPr>
            </w:pPr>
            <w:r>
              <w:rPr>
                <w:rFonts w:hint="eastAsia" w:ascii="宋体" w:hAnsi="宋体" w:cs="宋体"/>
                <w:color w:val="000000"/>
                <w:kern w:val="0"/>
                <w:sz w:val="20"/>
                <w:szCs w:val="20"/>
              </w:rPr>
              <w:t>部门：柳州市财政投资评审中心</w:t>
            </w:r>
          </w:p>
        </w:tc>
        <w:tc>
          <w:tcPr>
            <w:tcW w:w="227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7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71" w:type="dxa"/>
            <w:tcBorders>
              <w:top w:val="nil"/>
              <w:left w:val="nil"/>
              <w:bottom w:val="nil"/>
              <w:right w:val="nil"/>
            </w:tcBorders>
            <w:noWrap/>
            <w:vAlign w:val="bottom"/>
          </w:tcPr>
          <w:p>
            <w:pPr>
              <w:widowControl/>
              <w:jc w:val="right"/>
              <w:rPr>
                <w:rFonts w:ascii="宋体"/>
                <w:color w:val="000000"/>
                <w:kern w:val="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27" w:hRule="atLeast"/>
          <w:jc w:val="center"/>
        </w:trPr>
        <w:tc>
          <w:tcPr>
            <w:tcW w:w="6706" w:type="dxa"/>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项目</w:t>
            </w:r>
          </w:p>
        </w:tc>
        <w:tc>
          <w:tcPr>
            <w:tcW w:w="6813" w:type="dxa"/>
            <w:gridSpan w:val="3"/>
            <w:tcBorders>
              <w:top w:val="single" w:color="000000" w:sz="4" w:space="0"/>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本年支出</w:t>
            </w:r>
          </w:p>
        </w:tc>
      </w:tr>
      <w:tr>
        <w:tblPrEx>
          <w:tblCellMar>
            <w:top w:w="0" w:type="dxa"/>
            <w:left w:w="108" w:type="dxa"/>
            <w:bottom w:w="0" w:type="dxa"/>
            <w:right w:w="108" w:type="dxa"/>
          </w:tblCellMar>
        </w:tblPrEx>
        <w:trPr>
          <w:trHeight w:val="312" w:hRule="atLeast"/>
          <w:jc w:val="center"/>
        </w:trPr>
        <w:tc>
          <w:tcPr>
            <w:tcW w:w="1380"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功能分类科目编码</w:t>
            </w:r>
          </w:p>
        </w:tc>
        <w:tc>
          <w:tcPr>
            <w:tcW w:w="5326" w:type="dxa"/>
            <w:vMerge w:val="restart"/>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科目名称</w:t>
            </w:r>
          </w:p>
        </w:tc>
        <w:tc>
          <w:tcPr>
            <w:tcW w:w="2271"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2271"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基本支出</w:t>
            </w:r>
          </w:p>
        </w:tc>
        <w:tc>
          <w:tcPr>
            <w:tcW w:w="2271" w:type="dxa"/>
            <w:vMerge w:val="restart"/>
            <w:tcBorders>
              <w:top w:val="nil"/>
              <w:left w:val="nil"/>
              <w:bottom w:val="single" w:color="000000" w:sz="4" w:space="0"/>
              <w:right w:val="single" w:color="000000" w:sz="4" w:space="0"/>
            </w:tcBorders>
            <w:shd w:val="clear" w:color="FFFFFF" w:fill="auto"/>
            <w:vAlign w:val="center"/>
          </w:tcPr>
          <w:p>
            <w:pPr>
              <w:widowControl/>
              <w:jc w:val="center"/>
              <w:rPr>
                <w:rFonts w:ascii="宋体"/>
                <w:color w:val="000000"/>
                <w:kern w:val="0"/>
                <w:sz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380"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5326"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27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27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27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312" w:hRule="atLeast"/>
          <w:jc w:val="center"/>
        </w:trPr>
        <w:tc>
          <w:tcPr>
            <w:tcW w:w="1380"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5326"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27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27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c>
          <w:tcPr>
            <w:tcW w:w="2271" w:type="dxa"/>
            <w:vMerge w:val="continue"/>
            <w:tcBorders>
              <w:top w:val="nil"/>
              <w:left w:val="nil"/>
              <w:bottom w:val="single" w:color="000000" w:sz="4" w:space="0"/>
              <w:right w:val="single" w:color="000000" w:sz="4" w:space="0"/>
            </w:tcBorders>
            <w:shd w:val="clear" w:color="FFFFFF" w:fill="auto"/>
            <w:vAlign w:val="center"/>
          </w:tcPr>
          <w:p>
            <w:pPr>
              <w:widowControl/>
              <w:jc w:val="left"/>
              <w:rPr>
                <w:rFonts w:ascii="宋体"/>
                <w:color w:val="000000"/>
                <w:kern w:val="0"/>
                <w:sz w:val="22"/>
              </w:rPr>
            </w:pPr>
          </w:p>
        </w:tc>
      </w:tr>
      <w:tr>
        <w:tblPrEx>
          <w:tblCellMar>
            <w:top w:w="0" w:type="dxa"/>
            <w:left w:w="108" w:type="dxa"/>
            <w:bottom w:w="0" w:type="dxa"/>
            <w:right w:w="108" w:type="dxa"/>
          </w:tblCellMar>
        </w:tblPrEx>
        <w:trPr>
          <w:trHeight w:val="227" w:hRule="atLeast"/>
          <w:jc w:val="center"/>
        </w:trPr>
        <w:tc>
          <w:tcPr>
            <w:tcW w:w="6706" w:type="dxa"/>
            <w:gridSpan w:val="4"/>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栏次</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227" w:hRule="atLeast"/>
          <w:jc w:val="center"/>
        </w:trPr>
        <w:tc>
          <w:tcPr>
            <w:tcW w:w="6706" w:type="dxa"/>
            <w:gridSpan w:val="4"/>
            <w:tcBorders>
              <w:top w:val="nil"/>
              <w:left w:val="single" w:color="000000" w:sz="4" w:space="0"/>
              <w:bottom w:val="single" w:color="000000" w:sz="4" w:space="0"/>
              <w:right w:val="single" w:color="000000" w:sz="4" w:space="0"/>
            </w:tcBorders>
            <w:shd w:val="clear" w:color="FFFFFF" w:fill="auto"/>
            <w:noWrap/>
            <w:vAlign w:val="center"/>
          </w:tcPr>
          <w:p>
            <w:pPr>
              <w:widowControl/>
              <w:jc w:val="center"/>
              <w:rPr>
                <w:rFonts w:ascii="宋体"/>
                <w:color w:val="000000"/>
                <w:kern w:val="0"/>
                <w:sz w:val="22"/>
              </w:rPr>
            </w:pPr>
            <w:r>
              <w:rPr>
                <w:rFonts w:hint="eastAsia" w:ascii="宋体" w:hAnsi="宋体" w:cs="宋体"/>
                <w:color w:val="000000"/>
                <w:kern w:val="0"/>
                <w:sz w:val="22"/>
                <w:szCs w:val="22"/>
              </w:rPr>
              <w:t>合计</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b/>
                <w:bCs/>
                <w:color w:val="000000"/>
                <w:kern w:val="0"/>
                <w:sz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227" w:hRule="atLeast"/>
          <w:jc w:val="center"/>
        </w:trPr>
        <w:tc>
          <w:tcPr>
            <w:tcW w:w="1380" w:type="dxa"/>
            <w:gridSpan w:val="3"/>
            <w:tcBorders>
              <w:top w:val="nil"/>
              <w:left w:val="single" w:color="000000" w:sz="4" w:space="0"/>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5326" w:type="dxa"/>
            <w:tcBorders>
              <w:top w:val="nil"/>
              <w:left w:val="nil"/>
              <w:bottom w:val="single" w:color="000000" w:sz="4" w:space="0"/>
              <w:right w:val="single" w:color="000000" w:sz="4" w:space="0"/>
            </w:tcBorders>
            <w:shd w:val="clear" w:color="FFFFFF" w:fill="auto"/>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shd w:val="clear" w:color="FFFFFF" w:fill="auto"/>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27" w:hRule="atLeast"/>
          <w:jc w:val="center"/>
        </w:trPr>
        <w:tc>
          <w:tcPr>
            <w:tcW w:w="138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532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27" w:hRule="atLeast"/>
          <w:jc w:val="center"/>
        </w:trPr>
        <w:tc>
          <w:tcPr>
            <w:tcW w:w="138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5326" w:type="dxa"/>
            <w:tcBorders>
              <w:top w:val="nil"/>
              <w:left w:val="nil"/>
              <w:bottom w:val="single" w:color="000000" w:sz="4" w:space="0"/>
              <w:right w:val="single" w:color="000000" w:sz="4" w:space="0"/>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c>
          <w:tcPr>
            <w:tcW w:w="2271" w:type="dxa"/>
            <w:tcBorders>
              <w:top w:val="nil"/>
              <w:left w:val="nil"/>
              <w:bottom w:val="single" w:color="000000" w:sz="4" w:space="0"/>
              <w:right w:val="single" w:color="000000" w:sz="4" w:space="0"/>
            </w:tcBorders>
            <w:noWrap/>
            <w:vAlign w:val="center"/>
          </w:tcPr>
          <w:p>
            <w:pPr>
              <w:widowControl/>
              <w:jc w:val="right"/>
              <w:rPr>
                <w:rFonts w:ascii="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27" w:hRule="atLeast"/>
          <w:jc w:val="center"/>
        </w:trPr>
        <w:tc>
          <w:tcPr>
            <w:tcW w:w="13519" w:type="dxa"/>
            <w:gridSpan w:val="7"/>
            <w:tcBorders>
              <w:top w:val="nil"/>
              <w:left w:val="nil"/>
              <w:bottom w:val="nil"/>
              <w:right w:val="nil"/>
            </w:tcBorders>
            <w:noWrap/>
            <w:vAlign w:val="center"/>
          </w:tcPr>
          <w:p>
            <w:pPr>
              <w:widowControl/>
              <w:jc w:val="left"/>
              <w:rPr>
                <w:rFonts w:ascii="宋体"/>
                <w:color w:val="000000"/>
                <w:kern w:val="0"/>
                <w:sz w:val="22"/>
              </w:rPr>
            </w:pPr>
            <w:r>
              <w:rPr>
                <w:rFonts w:hint="eastAsia" w:ascii="宋体" w:hAnsi="宋体" w:cs="宋体"/>
                <w:color w:val="000000"/>
                <w:kern w:val="0"/>
                <w:sz w:val="22"/>
                <w:szCs w:val="22"/>
              </w:rPr>
              <w:t>注：本单位没有国有资本经营财政拨款收入，也没有没有国有资本经营拨款安排的支出，故本表无数据</w:t>
            </w:r>
          </w:p>
        </w:tc>
      </w:tr>
    </w:tbl>
    <w:p>
      <w:pPr>
        <w:spacing w:line="560" w:lineRule="exact"/>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柳州市财政投资评审中心</w:t>
      </w:r>
      <w:r>
        <w:rPr>
          <w:rFonts w:ascii="仿宋_GB2312" w:eastAsia="仿宋_GB2312" w:cs="仿宋_GB2312"/>
          <w:b/>
          <w:bCs/>
          <w:sz w:val="32"/>
          <w:szCs w:val="32"/>
        </w:rPr>
        <w:t>2020</w:t>
      </w:r>
      <w:r>
        <w:rPr>
          <w:rFonts w:hint="eastAsia" w:ascii="仿宋_GB2312" w:eastAsia="仿宋_GB2312" w:cs="仿宋_GB2312"/>
          <w:b/>
          <w:bCs/>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一、</w:t>
      </w:r>
      <w:r>
        <w:rPr>
          <w:rFonts w:eastAsia="仿宋_GB2312"/>
          <w:b/>
          <w:bCs/>
          <w:kern w:val="0"/>
          <w:sz w:val="32"/>
          <w:szCs w:val="32"/>
        </w:rPr>
        <w:t>2020</w:t>
      </w:r>
      <w:r>
        <w:rPr>
          <w:rFonts w:hint="eastAsia" w:ascii="仿宋_GB2312" w:eastAsia="仿宋_GB2312" w:cs="仿宋_GB2312"/>
          <w:b/>
          <w:bCs/>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年度收入总计</w:t>
      </w:r>
      <w:r>
        <w:rPr>
          <w:rFonts w:ascii="仿宋_GB2312" w:eastAsia="仿宋_GB2312" w:cs="仿宋_GB2312"/>
          <w:kern w:val="0"/>
          <w:sz w:val="32"/>
          <w:szCs w:val="32"/>
        </w:rPr>
        <w:t>1272.27</w:t>
      </w:r>
      <w:r>
        <w:rPr>
          <w:rFonts w:hint="eastAsia" w:ascii="仿宋_GB2312" w:eastAsia="仿宋_GB2312" w:cs="仿宋_GB2312"/>
          <w:kern w:val="0"/>
          <w:sz w:val="32"/>
          <w:szCs w:val="32"/>
        </w:rPr>
        <w:t>万元，支出总计</w:t>
      </w:r>
      <w:r>
        <w:rPr>
          <w:rFonts w:ascii="仿宋_GB2312" w:eastAsia="仿宋_GB2312" w:cs="仿宋_GB2312"/>
          <w:kern w:val="0"/>
          <w:sz w:val="32"/>
          <w:szCs w:val="32"/>
        </w:rPr>
        <w:t>1272.27</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年相比，收、支分别增加</w:t>
      </w:r>
      <w:r>
        <w:rPr>
          <w:rFonts w:ascii="仿宋_GB2312" w:eastAsia="仿宋_GB2312" w:cs="仿宋_GB2312"/>
          <w:kern w:val="0"/>
          <w:sz w:val="32"/>
          <w:szCs w:val="32"/>
        </w:rPr>
        <w:t>168.28</w:t>
      </w:r>
      <w:r>
        <w:rPr>
          <w:rFonts w:hint="eastAsia" w:ascii="仿宋_GB2312" w:eastAsia="仿宋_GB2312" w:cs="仿宋_GB2312"/>
          <w:kern w:val="0"/>
          <w:sz w:val="32"/>
          <w:szCs w:val="32"/>
        </w:rPr>
        <w:t>万元、</w:t>
      </w:r>
      <w:r>
        <w:rPr>
          <w:rFonts w:ascii="仿宋_GB2312" w:eastAsia="仿宋_GB2312" w:cs="仿宋_GB2312"/>
          <w:kern w:val="0"/>
          <w:sz w:val="32"/>
          <w:szCs w:val="32"/>
        </w:rPr>
        <w:t>168.28</w:t>
      </w:r>
      <w:r>
        <w:rPr>
          <w:rFonts w:hint="eastAsia" w:ascii="仿宋_GB2312" w:eastAsia="仿宋_GB2312" w:cs="仿宋_GB2312"/>
          <w:kern w:val="0"/>
          <w:sz w:val="32"/>
          <w:szCs w:val="32"/>
        </w:rPr>
        <w:t>万元；分别增长</w:t>
      </w:r>
      <w:r>
        <w:rPr>
          <w:rFonts w:ascii="仿宋_GB2312" w:eastAsia="仿宋_GB2312" w:cs="仿宋_GB2312"/>
          <w:kern w:val="0"/>
          <w:sz w:val="32"/>
          <w:szCs w:val="32"/>
        </w:rPr>
        <w:t>15.89%</w:t>
      </w:r>
      <w:r>
        <w:rPr>
          <w:rFonts w:hint="eastAsia" w:ascii="仿宋_GB2312" w:eastAsia="仿宋_GB2312" w:cs="仿宋_GB2312"/>
          <w:kern w:val="0"/>
          <w:sz w:val="32"/>
          <w:szCs w:val="32"/>
        </w:rPr>
        <w:t>、</w:t>
      </w:r>
      <w:r>
        <w:rPr>
          <w:rFonts w:ascii="仿宋_GB2312" w:eastAsia="仿宋_GB2312" w:cs="仿宋_GB2312"/>
          <w:kern w:val="0"/>
          <w:sz w:val="32"/>
          <w:szCs w:val="32"/>
        </w:rPr>
        <w:t>15.89%</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二、</w:t>
      </w:r>
      <w:r>
        <w:rPr>
          <w:rFonts w:eastAsia="仿宋_GB2312"/>
          <w:b/>
          <w:bCs/>
          <w:kern w:val="0"/>
          <w:sz w:val="32"/>
          <w:szCs w:val="32"/>
        </w:rPr>
        <w:t>2020</w:t>
      </w:r>
      <w:r>
        <w:rPr>
          <w:rFonts w:hint="eastAsia" w:ascii="仿宋_GB2312" w:eastAsia="仿宋_GB2312" w:cs="仿宋_GB2312"/>
          <w:b/>
          <w:bCs/>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本年收入总计</w:t>
      </w:r>
      <w:r>
        <w:rPr>
          <w:rFonts w:ascii="仿宋_GB2312" w:eastAsia="仿宋_GB2312" w:cs="仿宋_GB2312"/>
          <w:kern w:val="0"/>
          <w:sz w:val="32"/>
          <w:szCs w:val="32"/>
        </w:rPr>
        <w:t>1271.87</w:t>
      </w:r>
      <w:r>
        <w:rPr>
          <w:rFonts w:hint="eastAsia" w:ascii="仿宋_GB2312" w:eastAsia="仿宋_GB2312" w:cs="仿宋_GB2312"/>
          <w:kern w:val="0"/>
          <w:sz w:val="32"/>
          <w:szCs w:val="32"/>
        </w:rPr>
        <w:t>万元</w:t>
      </w:r>
      <w:r>
        <w:rPr>
          <w:rFonts w:ascii="仿宋_GB2312" w:eastAsia="仿宋_GB2312"/>
          <w:kern w:val="0"/>
          <w:sz w:val="32"/>
          <w:szCs w:val="32"/>
        </w:rPr>
        <w:t> </w:t>
      </w:r>
      <w:r>
        <w:rPr>
          <w:rFonts w:hint="eastAsia" w:ascii="仿宋_GB2312" w:eastAsia="仿宋_GB2312" w:cs="仿宋_GB2312"/>
          <w:kern w:val="0"/>
          <w:sz w:val="32"/>
          <w:szCs w:val="32"/>
        </w:rPr>
        <w:t>，其中：一般公共预算财政拨款收入</w:t>
      </w:r>
      <w:r>
        <w:rPr>
          <w:rFonts w:ascii="仿宋_GB2312" w:eastAsia="仿宋_GB2312" w:cs="仿宋_GB2312"/>
          <w:kern w:val="0"/>
          <w:sz w:val="32"/>
          <w:szCs w:val="32"/>
        </w:rPr>
        <w:t>1271.68</w:t>
      </w:r>
      <w:r>
        <w:rPr>
          <w:rFonts w:hint="eastAsia" w:ascii="仿宋_GB2312" w:eastAsia="仿宋_GB2312" w:cs="仿宋_GB2312"/>
          <w:kern w:val="0"/>
          <w:sz w:val="32"/>
          <w:szCs w:val="32"/>
        </w:rPr>
        <w:t>万元；占比</w:t>
      </w:r>
      <w:r>
        <w:rPr>
          <w:rFonts w:ascii="仿宋_GB2312" w:eastAsia="仿宋_GB2312" w:cs="仿宋_GB2312"/>
          <w:kern w:val="0"/>
          <w:sz w:val="32"/>
          <w:szCs w:val="32"/>
        </w:rPr>
        <w:t>99.99%</w:t>
      </w:r>
      <w:r>
        <w:rPr>
          <w:rFonts w:ascii="仿宋_GB2312" w:eastAsia="仿宋_GB2312"/>
          <w:kern w:val="0"/>
          <w:sz w:val="32"/>
          <w:szCs w:val="32"/>
        </w:rPr>
        <w:t> </w:t>
      </w:r>
      <w:r>
        <w:rPr>
          <w:rFonts w:hint="eastAsia" w:ascii="仿宋_GB2312" w:eastAsia="仿宋_GB2312" w:cs="仿宋_GB2312"/>
          <w:kern w:val="0"/>
          <w:sz w:val="32"/>
          <w:szCs w:val="32"/>
        </w:rPr>
        <w:t>；其他收入</w:t>
      </w:r>
      <w:r>
        <w:rPr>
          <w:rFonts w:ascii="仿宋_GB2312" w:eastAsia="仿宋_GB2312" w:cs="仿宋_GB2312"/>
          <w:kern w:val="0"/>
          <w:sz w:val="32"/>
          <w:szCs w:val="32"/>
        </w:rPr>
        <w:t>0.2</w:t>
      </w:r>
      <w:r>
        <w:rPr>
          <w:rFonts w:hint="eastAsia" w:ascii="仿宋_GB2312" w:eastAsia="仿宋_GB2312" w:cs="仿宋_GB2312"/>
          <w:kern w:val="0"/>
          <w:sz w:val="32"/>
          <w:szCs w:val="32"/>
        </w:rPr>
        <w:t>万元，占比</w:t>
      </w:r>
      <w:r>
        <w:rPr>
          <w:rFonts w:ascii="仿宋_GB2312" w:eastAsia="仿宋_GB2312" w:cs="仿宋_GB2312"/>
          <w:kern w:val="0"/>
          <w:sz w:val="32"/>
          <w:szCs w:val="32"/>
        </w:rPr>
        <w:t>0.01%</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三、</w:t>
      </w:r>
      <w:r>
        <w:rPr>
          <w:rFonts w:eastAsia="仿宋_GB2312"/>
          <w:b/>
          <w:bCs/>
          <w:kern w:val="0"/>
          <w:sz w:val="32"/>
          <w:szCs w:val="32"/>
        </w:rPr>
        <w:t>2020</w:t>
      </w:r>
      <w:r>
        <w:rPr>
          <w:rFonts w:hint="eastAsia" w:ascii="仿宋_GB2312" w:eastAsia="仿宋_GB2312" w:cs="仿宋_GB2312"/>
          <w:b/>
          <w:bCs/>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本年支出合计</w:t>
      </w:r>
      <w:r>
        <w:rPr>
          <w:rFonts w:ascii="仿宋_GB2312" w:eastAsia="仿宋_GB2312" w:cs="仿宋_GB2312"/>
          <w:kern w:val="0"/>
          <w:sz w:val="32"/>
          <w:szCs w:val="32"/>
        </w:rPr>
        <w:t>1233.22</w:t>
      </w:r>
      <w:r>
        <w:rPr>
          <w:rFonts w:hint="eastAsia" w:ascii="仿宋_GB2312" w:eastAsia="仿宋_GB2312" w:cs="仿宋_GB2312"/>
          <w:kern w:val="0"/>
          <w:sz w:val="32"/>
          <w:szCs w:val="32"/>
        </w:rPr>
        <w:t>万元，其中：基本支出</w:t>
      </w:r>
      <w:r>
        <w:rPr>
          <w:rFonts w:ascii="仿宋_GB2312" w:eastAsia="仿宋_GB2312" w:cs="仿宋_GB2312"/>
          <w:kern w:val="0"/>
          <w:sz w:val="32"/>
          <w:szCs w:val="32"/>
        </w:rPr>
        <w:t>283.49</w:t>
      </w:r>
      <w:r>
        <w:rPr>
          <w:rFonts w:hint="eastAsia" w:ascii="仿宋_GB2312" w:eastAsia="仿宋_GB2312" w:cs="仿宋_GB2312"/>
          <w:kern w:val="0"/>
          <w:sz w:val="32"/>
          <w:szCs w:val="32"/>
        </w:rPr>
        <w:t>万元，占</w:t>
      </w:r>
      <w:r>
        <w:rPr>
          <w:rFonts w:ascii="仿宋_GB2312" w:eastAsia="仿宋_GB2312" w:cs="仿宋_GB2312"/>
          <w:kern w:val="0"/>
          <w:sz w:val="32"/>
          <w:szCs w:val="32"/>
        </w:rPr>
        <w:t>22.99%</w:t>
      </w:r>
      <w:r>
        <w:rPr>
          <w:rFonts w:hint="eastAsia" w:ascii="仿宋_GB2312" w:eastAsia="仿宋_GB2312" w:cs="仿宋_GB2312"/>
          <w:kern w:val="0"/>
          <w:sz w:val="32"/>
          <w:szCs w:val="32"/>
        </w:rPr>
        <w:t>；项目支出</w:t>
      </w:r>
      <w:r>
        <w:rPr>
          <w:rFonts w:ascii="仿宋_GB2312" w:eastAsia="仿宋_GB2312" w:cs="仿宋_GB2312"/>
          <w:kern w:val="0"/>
          <w:sz w:val="32"/>
          <w:szCs w:val="32"/>
        </w:rPr>
        <w:t>949.74</w:t>
      </w:r>
      <w:r>
        <w:rPr>
          <w:rFonts w:hint="eastAsia" w:ascii="仿宋_GB2312" w:eastAsia="仿宋_GB2312" w:cs="仿宋_GB2312"/>
          <w:kern w:val="0"/>
          <w:sz w:val="32"/>
          <w:szCs w:val="32"/>
        </w:rPr>
        <w:t>万元，占</w:t>
      </w:r>
      <w:r>
        <w:rPr>
          <w:rFonts w:ascii="仿宋_GB2312" w:eastAsia="仿宋_GB2312" w:cs="仿宋_GB2312"/>
          <w:kern w:val="0"/>
          <w:sz w:val="32"/>
          <w:szCs w:val="32"/>
        </w:rPr>
        <w:t>77.01%</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四、</w:t>
      </w:r>
      <w:r>
        <w:rPr>
          <w:rFonts w:eastAsia="仿宋_GB2312"/>
          <w:b/>
          <w:bCs/>
          <w:kern w:val="0"/>
          <w:sz w:val="32"/>
          <w:szCs w:val="32"/>
        </w:rPr>
        <w:t>2020</w:t>
      </w:r>
      <w:r>
        <w:rPr>
          <w:rFonts w:hint="eastAsia" w:ascii="仿宋_GB2312" w:eastAsia="仿宋_GB2312" w:cs="仿宋_GB2312"/>
          <w:b/>
          <w:bCs/>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年度财政拨款收、支总决算</w:t>
      </w:r>
      <w:r>
        <w:rPr>
          <w:rFonts w:ascii="仿宋_GB2312" w:eastAsia="仿宋_GB2312" w:cs="仿宋_GB2312"/>
          <w:kern w:val="0"/>
          <w:sz w:val="32"/>
          <w:szCs w:val="32"/>
        </w:rPr>
        <w:t>1272.07</w:t>
      </w:r>
      <w:r>
        <w:rPr>
          <w:rFonts w:hint="eastAsia" w:ascii="仿宋_GB2312" w:eastAsia="仿宋_GB2312" w:cs="仿宋_GB2312"/>
          <w:kern w:val="0"/>
          <w:sz w:val="32"/>
          <w:szCs w:val="32"/>
        </w:rPr>
        <w:t>万元、</w:t>
      </w:r>
      <w:r>
        <w:rPr>
          <w:rFonts w:ascii="仿宋_GB2312" w:eastAsia="仿宋_GB2312" w:cs="仿宋_GB2312"/>
          <w:kern w:val="0"/>
          <w:sz w:val="32"/>
          <w:szCs w:val="32"/>
        </w:rPr>
        <w:t>1272.07</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年相比，财政拨款收、支总计各增加</w:t>
      </w:r>
      <w:r>
        <w:rPr>
          <w:rFonts w:ascii="仿宋_GB2312" w:eastAsia="仿宋_GB2312" w:cs="仿宋_GB2312"/>
          <w:kern w:val="0"/>
          <w:sz w:val="32"/>
          <w:szCs w:val="32"/>
        </w:rPr>
        <w:t>214.12</w:t>
      </w:r>
      <w:r>
        <w:rPr>
          <w:rFonts w:hint="eastAsia" w:ascii="仿宋_GB2312" w:eastAsia="仿宋_GB2312" w:cs="仿宋_GB2312"/>
          <w:kern w:val="0"/>
          <w:sz w:val="32"/>
          <w:szCs w:val="32"/>
        </w:rPr>
        <w:t>万元、</w:t>
      </w:r>
      <w:r>
        <w:rPr>
          <w:rFonts w:ascii="仿宋_GB2312" w:eastAsia="仿宋_GB2312" w:cs="仿宋_GB2312"/>
          <w:kern w:val="0"/>
          <w:sz w:val="32"/>
          <w:szCs w:val="32"/>
        </w:rPr>
        <w:t>214.12</w:t>
      </w:r>
      <w:r>
        <w:rPr>
          <w:rFonts w:hint="eastAsia" w:ascii="仿宋_GB2312" w:eastAsia="仿宋_GB2312" w:cs="仿宋_GB2312"/>
          <w:kern w:val="0"/>
          <w:sz w:val="32"/>
          <w:szCs w:val="32"/>
        </w:rPr>
        <w:t>万元，增长</w:t>
      </w:r>
      <w:r>
        <w:rPr>
          <w:rFonts w:ascii="仿宋_GB2312" w:eastAsia="仿宋_GB2312" w:cs="仿宋_GB2312"/>
          <w:kern w:val="0"/>
          <w:sz w:val="32"/>
          <w:szCs w:val="32"/>
        </w:rPr>
        <w:t>20.24%</w:t>
      </w:r>
      <w:r>
        <w:rPr>
          <w:rFonts w:hint="eastAsia" w:ascii="仿宋_GB2312" w:eastAsia="仿宋_GB2312" w:cs="仿宋_GB2312"/>
          <w:kern w:val="0"/>
          <w:sz w:val="32"/>
          <w:szCs w:val="32"/>
        </w:rPr>
        <w:t>、</w:t>
      </w:r>
      <w:r>
        <w:rPr>
          <w:rFonts w:ascii="仿宋_GB2312" w:eastAsia="仿宋_GB2312" w:cs="仿宋_GB2312"/>
          <w:kern w:val="0"/>
          <w:sz w:val="32"/>
          <w:szCs w:val="32"/>
        </w:rPr>
        <w:t>20.24%</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eastAsia="仿宋_GB2312"/>
          <w:b/>
          <w:bCs/>
          <w:kern w:val="0"/>
          <w:sz w:val="32"/>
          <w:szCs w:val="32"/>
        </w:rPr>
      </w:pPr>
      <w:r>
        <w:rPr>
          <w:rFonts w:hint="eastAsia" w:ascii="仿宋_GB2312" w:eastAsia="仿宋_GB2312" w:cs="仿宋_GB2312"/>
          <w:b/>
          <w:bCs/>
          <w:kern w:val="0"/>
          <w:sz w:val="32"/>
          <w:szCs w:val="32"/>
        </w:rPr>
        <w:t>五、</w:t>
      </w:r>
      <w:r>
        <w:rPr>
          <w:rFonts w:eastAsia="仿宋_GB2312"/>
          <w:b/>
          <w:bCs/>
          <w:kern w:val="0"/>
          <w:sz w:val="32"/>
          <w:szCs w:val="32"/>
        </w:rPr>
        <w:t>2020</w:t>
      </w:r>
      <w:r>
        <w:rPr>
          <w:rFonts w:hint="eastAsia" w:eastAsia="仿宋_GB2312" w:cs="仿宋_GB2312"/>
          <w:b/>
          <w:bCs/>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1233.2</w:t>
      </w:r>
      <w:r>
        <w:rPr>
          <w:rFonts w:hint="eastAsia" w:ascii="仿宋_GB2312" w:eastAsia="仿宋_GB2312" w:cs="仿宋_GB2312"/>
          <w:kern w:val="0"/>
          <w:sz w:val="32"/>
          <w:szCs w:val="32"/>
        </w:rPr>
        <w:t>万元，占本年支出合计的</w:t>
      </w:r>
      <w:r>
        <w:rPr>
          <w:rFonts w:ascii="仿宋_GB2312" w:eastAsia="仿宋_GB2312" w:cs="仿宋_GB2312"/>
          <w:kern w:val="0"/>
          <w:sz w:val="32"/>
          <w:szCs w:val="32"/>
        </w:rPr>
        <w:t>99.99%</w:t>
      </w:r>
      <w:r>
        <w:rPr>
          <w:rFonts w:hint="eastAsia" w:ascii="仿宋_GB2312" w:eastAsia="仿宋_GB2312" w:cs="仿宋_GB2312"/>
          <w:kern w:val="0"/>
          <w:sz w:val="32"/>
          <w:szCs w:val="32"/>
        </w:rPr>
        <w:t>。与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年相比，财政拨款支出增加</w:t>
      </w:r>
      <w:r>
        <w:rPr>
          <w:rFonts w:ascii="仿宋_GB2312" w:eastAsia="仿宋_GB2312" w:cs="仿宋_GB2312"/>
          <w:kern w:val="0"/>
          <w:sz w:val="32"/>
          <w:szCs w:val="32"/>
        </w:rPr>
        <w:t>211.37</w:t>
      </w:r>
      <w:r>
        <w:rPr>
          <w:rFonts w:hint="eastAsia" w:ascii="仿宋_GB2312" w:eastAsia="仿宋_GB2312" w:cs="仿宋_GB2312"/>
          <w:kern w:val="0"/>
          <w:sz w:val="32"/>
          <w:szCs w:val="32"/>
        </w:rPr>
        <w:t>万元，增加</w:t>
      </w:r>
      <w:r>
        <w:rPr>
          <w:rFonts w:ascii="仿宋_GB2312" w:eastAsia="仿宋_GB2312" w:cs="仿宋_GB2312"/>
          <w:kern w:val="0"/>
          <w:sz w:val="32"/>
          <w:szCs w:val="32"/>
        </w:rPr>
        <w:t>20.69%</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（二）财政拨款支出决算结构情况</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1233.2</w:t>
      </w:r>
      <w:r>
        <w:rPr>
          <w:rFonts w:hint="eastAsia" w:ascii="仿宋_GB2312" w:eastAsia="仿宋_GB2312" w:cs="仿宋_GB2312"/>
          <w:kern w:val="0"/>
          <w:sz w:val="32"/>
          <w:szCs w:val="32"/>
        </w:rPr>
        <w:t>万元，主要用于以下方面：一般公共服务（类）支出</w:t>
      </w:r>
      <w:r>
        <w:rPr>
          <w:rFonts w:ascii="仿宋_GB2312" w:eastAsia="仿宋_GB2312" w:cs="仿宋_GB2312"/>
          <w:kern w:val="0"/>
          <w:sz w:val="32"/>
          <w:szCs w:val="32"/>
        </w:rPr>
        <w:t>211.73</w:t>
      </w:r>
      <w:r>
        <w:rPr>
          <w:rFonts w:hint="eastAsia" w:ascii="仿宋_GB2312" w:eastAsia="仿宋_GB2312" w:cs="仿宋_GB2312"/>
          <w:kern w:val="0"/>
          <w:sz w:val="32"/>
          <w:szCs w:val="32"/>
        </w:rPr>
        <w:t>万元，占</w:t>
      </w:r>
      <w:r>
        <w:rPr>
          <w:rFonts w:ascii="仿宋_GB2312" w:eastAsia="仿宋_GB2312" w:cs="仿宋_GB2312"/>
          <w:kern w:val="0"/>
          <w:sz w:val="32"/>
          <w:szCs w:val="32"/>
        </w:rPr>
        <w:t>17.17%</w:t>
      </w:r>
      <w:r>
        <w:rPr>
          <w:rFonts w:hint="eastAsia" w:ascii="仿宋_GB2312" w:eastAsia="仿宋_GB2312" w:cs="仿宋_GB2312"/>
          <w:kern w:val="0"/>
          <w:sz w:val="32"/>
          <w:szCs w:val="32"/>
        </w:rPr>
        <w:t>；社会保障和就业（类）支出</w:t>
      </w:r>
      <w:r>
        <w:rPr>
          <w:rFonts w:ascii="仿宋_GB2312" w:eastAsia="仿宋_GB2312" w:cs="仿宋_GB2312"/>
          <w:kern w:val="0"/>
          <w:sz w:val="32"/>
          <w:szCs w:val="32"/>
        </w:rPr>
        <w:t>34.9</w:t>
      </w:r>
      <w:r>
        <w:rPr>
          <w:rFonts w:hint="eastAsia" w:ascii="仿宋_GB2312" w:eastAsia="仿宋_GB2312" w:cs="仿宋_GB2312"/>
          <w:kern w:val="0"/>
          <w:sz w:val="32"/>
          <w:szCs w:val="32"/>
        </w:rPr>
        <w:t>万元，占</w:t>
      </w:r>
      <w:r>
        <w:rPr>
          <w:rFonts w:ascii="仿宋_GB2312" w:eastAsia="仿宋_GB2312" w:cs="仿宋_GB2312"/>
          <w:kern w:val="0"/>
          <w:sz w:val="32"/>
          <w:szCs w:val="32"/>
        </w:rPr>
        <w:t>2.83%</w:t>
      </w:r>
      <w:r>
        <w:rPr>
          <w:rFonts w:hint="eastAsia" w:ascii="仿宋_GB2312" w:eastAsia="仿宋_GB2312" w:cs="仿宋_GB2312"/>
          <w:kern w:val="0"/>
          <w:sz w:val="32"/>
          <w:szCs w:val="32"/>
        </w:rPr>
        <w:t>；卫生健康（类）支出</w:t>
      </w:r>
      <w:r>
        <w:rPr>
          <w:rFonts w:ascii="仿宋_GB2312" w:eastAsia="仿宋_GB2312" w:cs="仿宋_GB2312"/>
          <w:kern w:val="0"/>
          <w:sz w:val="32"/>
          <w:szCs w:val="32"/>
        </w:rPr>
        <w:t>18.25</w:t>
      </w:r>
      <w:r>
        <w:rPr>
          <w:rFonts w:hint="eastAsia" w:ascii="仿宋_GB2312" w:eastAsia="仿宋_GB2312" w:cs="仿宋_GB2312"/>
          <w:kern w:val="0"/>
          <w:sz w:val="32"/>
          <w:szCs w:val="32"/>
        </w:rPr>
        <w:t>万元，占</w:t>
      </w:r>
      <w:r>
        <w:rPr>
          <w:rFonts w:ascii="仿宋_GB2312" w:eastAsia="仿宋_GB2312" w:cs="仿宋_GB2312"/>
          <w:kern w:val="0"/>
          <w:sz w:val="32"/>
          <w:szCs w:val="32"/>
        </w:rPr>
        <w:t>1.48%</w:t>
      </w:r>
      <w:r>
        <w:rPr>
          <w:rFonts w:hint="eastAsia" w:ascii="仿宋_GB2312" w:eastAsia="仿宋_GB2312" w:cs="仿宋_GB2312"/>
          <w:kern w:val="0"/>
          <w:sz w:val="32"/>
          <w:szCs w:val="32"/>
        </w:rPr>
        <w:t>；城乡社区（类）支出</w:t>
      </w:r>
      <w:r>
        <w:rPr>
          <w:rFonts w:ascii="仿宋_GB2312" w:eastAsia="仿宋_GB2312" w:cs="仿宋_GB2312"/>
          <w:kern w:val="0"/>
          <w:sz w:val="32"/>
          <w:szCs w:val="32"/>
        </w:rPr>
        <w:t>949.74</w:t>
      </w:r>
      <w:r>
        <w:rPr>
          <w:rFonts w:hint="eastAsia" w:ascii="仿宋_GB2312" w:eastAsia="仿宋_GB2312" w:cs="仿宋_GB2312"/>
          <w:kern w:val="0"/>
          <w:sz w:val="32"/>
          <w:szCs w:val="32"/>
        </w:rPr>
        <w:t>万元，占</w:t>
      </w:r>
      <w:r>
        <w:rPr>
          <w:rFonts w:ascii="仿宋_GB2312" w:eastAsia="仿宋_GB2312" w:cs="仿宋_GB2312"/>
          <w:kern w:val="0"/>
          <w:sz w:val="32"/>
          <w:szCs w:val="32"/>
        </w:rPr>
        <w:t>77.01%</w:t>
      </w:r>
      <w:r>
        <w:rPr>
          <w:rFonts w:hint="eastAsia" w:ascii="仿宋_GB2312" w:eastAsia="仿宋_GB2312" w:cs="仿宋_GB2312"/>
          <w:kern w:val="0"/>
          <w:sz w:val="32"/>
          <w:szCs w:val="32"/>
        </w:rPr>
        <w:t>；住房保障（类）支出</w:t>
      </w:r>
      <w:r>
        <w:rPr>
          <w:rFonts w:ascii="仿宋_GB2312" w:eastAsia="仿宋_GB2312" w:cs="仿宋_GB2312"/>
          <w:kern w:val="0"/>
          <w:sz w:val="32"/>
          <w:szCs w:val="32"/>
        </w:rPr>
        <w:t>18.59</w:t>
      </w:r>
      <w:r>
        <w:rPr>
          <w:rFonts w:hint="eastAsia" w:ascii="仿宋_GB2312" w:eastAsia="仿宋_GB2312" w:cs="仿宋_GB2312"/>
          <w:kern w:val="0"/>
          <w:sz w:val="32"/>
          <w:szCs w:val="32"/>
        </w:rPr>
        <w:t>万元，占</w:t>
      </w:r>
      <w:r>
        <w:rPr>
          <w:rFonts w:ascii="仿宋_GB2312" w:eastAsia="仿宋_GB2312" w:cs="仿宋_GB2312"/>
          <w:kern w:val="0"/>
          <w:sz w:val="32"/>
          <w:szCs w:val="32"/>
        </w:rPr>
        <w:t>1.51%</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年度财政拨款支出年初预算为</w:t>
      </w:r>
      <w:r>
        <w:rPr>
          <w:rFonts w:ascii="仿宋_GB2312" w:eastAsia="仿宋_GB2312" w:cs="仿宋_GB2312"/>
          <w:kern w:val="0"/>
          <w:sz w:val="32"/>
          <w:szCs w:val="32"/>
        </w:rPr>
        <w:t>970.28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1233.2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127.1%</w:t>
      </w:r>
      <w:r>
        <w:rPr>
          <w:rFonts w:hint="eastAsia" w:ascii="仿宋_GB2312" w:eastAsia="仿宋_GB2312" w:cs="仿宋_GB2312"/>
          <w:kern w:val="0"/>
          <w:sz w:val="32"/>
          <w:szCs w:val="32"/>
        </w:rPr>
        <w:t>。决算数大于预算数的主要原因：一是年中追加安排财政拨款支出预算，涉及项目有城乡社区支出、社会保障和就业（类）支出、卫生健康（类）支出等；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一般公共服务（类）财政事务（款）行政运行（项）。</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年初预算为</w:t>
      </w:r>
      <w:r>
        <w:rPr>
          <w:rFonts w:ascii="仿宋_GB2312" w:eastAsia="仿宋_GB2312" w:cs="仿宋_GB2312"/>
          <w:kern w:val="0"/>
          <w:sz w:val="32"/>
          <w:szCs w:val="32"/>
        </w:rPr>
        <w:t>171.03</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203.48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118.97%</w:t>
      </w:r>
      <w:r>
        <w:rPr>
          <w:rFonts w:hint="eastAsia" w:ascii="仿宋_GB2312" w:eastAsia="仿宋_GB2312" w:cs="仿宋_GB2312"/>
          <w:kern w:val="0"/>
          <w:sz w:val="32"/>
          <w:szCs w:val="32"/>
        </w:rPr>
        <w:t>。决算数大于预算数的主要原因是人员绩效及工资调整。</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一般公共服务（类）财政事务（款）一般行政管理事</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务（项）。年初预算为</w:t>
      </w:r>
      <w:r>
        <w:rPr>
          <w:rFonts w:ascii="仿宋_GB2312" w:eastAsia="仿宋_GB2312" w:cs="仿宋_GB2312"/>
          <w:kern w:val="0"/>
          <w:sz w:val="32"/>
          <w:szCs w:val="32"/>
        </w:rPr>
        <w:t>29.91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8.25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27.58%</w:t>
      </w:r>
      <w:r>
        <w:rPr>
          <w:rFonts w:hint="eastAsia" w:ascii="仿宋_GB2312" w:eastAsia="仿宋_GB2312" w:cs="仿宋_GB2312"/>
          <w:kern w:val="0"/>
          <w:sz w:val="32"/>
          <w:szCs w:val="32"/>
        </w:rPr>
        <w:t>。决算数小于预算数的主要原因是减少办公用品及设备购置。</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会保障和就业（类）行政事业单位养老（款）机关事业单位基本养老保险缴费（项）。年初预算为</w:t>
      </w:r>
      <w:r>
        <w:rPr>
          <w:rFonts w:ascii="仿宋_GB2312" w:eastAsia="仿宋_GB2312" w:cs="仿宋_GB2312"/>
          <w:kern w:val="0"/>
          <w:sz w:val="32"/>
          <w:szCs w:val="32"/>
        </w:rPr>
        <w:t>23.17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23.13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99.83%</w:t>
      </w:r>
      <w:r>
        <w:rPr>
          <w:rFonts w:hint="eastAsia" w:ascii="仿宋_GB2312" w:eastAsia="仿宋_GB2312" w:cs="仿宋_GB2312"/>
          <w:kern w:val="0"/>
          <w:sz w:val="32"/>
          <w:szCs w:val="32"/>
        </w:rPr>
        <w:t>。决算数小于预算数的主要原因是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年有新增退休人员。</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会保障和就业（类）行政事业单位养老（款）职业年金缴费（项）。年初预算为</w:t>
      </w:r>
      <w:r>
        <w:rPr>
          <w:rFonts w:ascii="仿宋_GB2312" w:eastAsia="仿宋_GB2312" w:cs="仿宋_GB2312"/>
          <w:kern w:val="0"/>
          <w:sz w:val="32"/>
          <w:szCs w:val="32"/>
        </w:rPr>
        <w:t>11.58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11.57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99.91%</w:t>
      </w:r>
      <w:r>
        <w:rPr>
          <w:rFonts w:hint="eastAsia" w:ascii="仿宋_GB2312" w:eastAsia="仿宋_GB2312" w:cs="仿宋_GB2312"/>
          <w:kern w:val="0"/>
          <w:sz w:val="32"/>
          <w:szCs w:val="32"/>
        </w:rPr>
        <w:t>。决算数小于预算数的主要原因是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年有新增退休人员。</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会保障和就业（类）行政事业单位养老（款）行政单位离退休（项）。年初预算为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。决算数大于预算数的主要原因是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年有新增退休人员。</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卫生健康（类）行政事业单位医疗（款）行政单位医疗（项）。年初预算为</w:t>
      </w:r>
      <w:r>
        <w:rPr>
          <w:rFonts w:ascii="仿宋_GB2312" w:eastAsia="仿宋_GB2312" w:cs="仿宋_GB2312"/>
          <w:kern w:val="0"/>
          <w:sz w:val="32"/>
          <w:szCs w:val="32"/>
        </w:rPr>
        <w:t>10.86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10.05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82.54%</w:t>
      </w:r>
      <w:r>
        <w:rPr>
          <w:rFonts w:hint="eastAsia" w:ascii="仿宋_GB2312" w:eastAsia="仿宋_GB2312" w:cs="仿宋_GB2312"/>
          <w:kern w:val="0"/>
          <w:sz w:val="32"/>
          <w:szCs w:val="32"/>
        </w:rPr>
        <w:t>。决算数大于预算数的主要原因是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年有新增退休人员。</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卫生健康（类）行政事业单位医疗（款）公务员医疗补助（项）。年初预算为</w:t>
      </w:r>
      <w:r>
        <w:rPr>
          <w:rFonts w:ascii="仿宋_GB2312" w:eastAsia="仿宋_GB2312" w:cs="仿宋_GB2312"/>
          <w:kern w:val="0"/>
          <w:sz w:val="32"/>
          <w:szCs w:val="32"/>
        </w:rPr>
        <w:t>6.35</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8.2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129.13%</w:t>
      </w:r>
      <w:r>
        <w:rPr>
          <w:rFonts w:hint="eastAsia" w:ascii="仿宋_GB2312" w:eastAsia="仿宋_GB2312" w:cs="仿宋_GB2312"/>
          <w:kern w:val="0"/>
          <w:sz w:val="32"/>
          <w:szCs w:val="32"/>
        </w:rPr>
        <w:t>。决算数大于预算数的主要原因是社保基数调整。</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城乡社区（类）城乡社区公共设施（款）其他城乡社区公共设施（项）。年初预算为</w:t>
      </w:r>
      <w:r>
        <w:rPr>
          <w:rFonts w:ascii="仿宋_GB2312" w:eastAsia="仿宋_GB2312" w:cs="仿宋_GB2312"/>
          <w:kern w:val="0"/>
          <w:sz w:val="32"/>
          <w:szCs w:val="32"/>
        </w:rPr>
        <w:t>700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949.74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135.68%</w:t>
      </w:r>
      <w:r>
        <w:rPr>
          <w:rFonts w:hint="eastAsia" w:ascii="仿宋_GB2312" w:eastAsia="仿宋_GB2312" w:cs="仿宋_GB2312"/>
          <w:kern w:val="0"/>
          <w:sz w:val="32"/>
          <w:szCs w:val="32"/>
        </w:rPr>
        <w:t>。决算数大于预算数的主要原因是年末追加财政拨款支出预算。</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9.</w:t>
      </w:r>
      <w:r>
        <w:rPr>
          <w:rFonts w:hint="eastAsia" w:ascii="仿宋_GB2312" w:eastAsia="仿宋_GB2312" w:cs="仿宋_GB2312"/>
          <w:kern w:val="0"/>
          <w:sz w:val="32"/>
          <w:szCs w:val="32"/>
        </w:rPr>
        <w:t>住房保障（类）住房改革（款）住房公积金（项）。年初预算为</w:t>
      </w:r>
      <w:r>
        <w:rPr>
          <w:rFonts w:ascii="仿宋_GB2312" w:eastAsia="仿宋_GB2312" w:cs="仿宋_GB2312"/>
          <w:kern w:val="0"/>
          <w:sz w:val="32"/>
          <w:szCs w:val="32"/>
        </w:rPr>
        <w:t>17.38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18.59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106.96%</w:t>
      </w:r>
      <w:r>
        <w:rPr>
          <w:rFonts w:hint="eastAsia" w:ascii="仿宋_GB2312" w:eastAsia="仿宋_GB2312" w:cs="仿宋_GB2312"/>
          <w:kern w:val="0"/>
          <w:sz w:val="32"/>
          <w:szCs w:val="32"/>
        </w:rPr>
        <w:t>。决算数大于预算数的主要原因是公积金基数调整。</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六、</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年度财政拨款基本支出</w:t>
      </w:r>
      <w:r>
        <w:rPr>
          <w:rFonts w:ascii="仿宋_GB2312" w:eastAsia="仿宋_GB2312" w:cs="仿宋_GB2312"/>
          <w:kern w:val="0"/>
          <w:sz w:val="32"/>
          <w:szCs w:val="32"/>
        </w:rPr>
        <w:t>283.47</w:t>
      </w:r>
      <w:r>
        <w:rPr>
          <w:rFonts w:hint="eastAsia" w:ascii="仿宋_GB2312" w:eastAsia="仿宋_GB2312" w:cs="仿宋_GB2312"/>
          <w:kern w:val="0"/>
          <w:sz w:val="32"/>
          <w:szCs w:val="32"/>
        </w:rPr>
        <w:t>万元，其中：</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人员经费</w:t>
      </w:r>
      <w:r>
        <w:rPr>
          <w:rFonts w:ascii="仿宋_GB2312" w:eastAsia="仿宋_GB2312" w:cs="仿宋_GB2312"/>
          <w:kern w:val="0"/>
          <w:sz w:val="32"/>
          <w:szCs w:val="32"/>
        </w:rPr>
        <w:t>243.45</w:t>
      </w:r>
      <w:r>
        <w:rPr>
          <w:rFonts w:hint="eastAsia" w:ascii="仿宋_GB2312" w:eastAsia="仿宋_GB2312" w:cs="仿宋_GB2312"/>
          <w:kern w:val="0"/>
          <w:sz w:val="32"/>
          <w:szCs w:val="32"/>
        </w:rPr>
        <w:t>万元，主要包括：基本工资、津贴补贴、奖金、机关事业单位基本养老保险缴费、职业年金缴费、其他社会保障缴费、离休费、退休费、医疗费、住房公积金。</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公用经费</w:t>
      </w:r>
      <w:r>
        <w:rPr>
          <w:rFonts w:ascii="仿宋_GB2312" w:eastAsia="仿宋_GB2312" w:cs="仿宋_GB2312"/>
          <w:kern w:val="0"/>
          <w:sz w:val="32"/>
          <w:szCs w:val="32"/>
        </w:rPr>
        <w:t>40.02</w:t>
      </w:r>
      <w:r>
        <w:rPr>
          <w:rFonts w:hint="eastAsia" w:ascii="仿宋_GB2312" w:eastAsia="仿宋_GB2312" w:cs="仿宋_GB2312"/>
          <w:kern w:val="0"/>
          <w:sz w:val="32"/>
          <w:szCs w:val="32"/>
        </w:rPr>
        <w:t>万元，主要包括：办公费、印刷费、邮电费、差旅费、维</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修（护）费、工会经费、其他交通费用、其他商品和服务支出、办公设备购置。</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年度一般公共预算财政拨款“三公”</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经费支出决算情况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（一）“三公”经费财政拨款支出决算总体情况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年度“三公”经费财政拨款支出预算为</w:t>
      </w:r>
      <w:r>
        <w:rPr>
          <w:rFonts w:ascii="仿宋_GB2312" w:eastAsia="仿宋_GB2312" w:cs="仿宋_GB2312"/>
          <w:kern w:val="0"/>
          <w:sz w:val="32"/>
          <w:szCs w:val="32"/>
        </w:rPr>
        <w:t>0.56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0%</w:t>
      </w:r>
      <w:r>
        <w:rPr>
          <w:rFonts w:hint="eastAsia" w:ascii="仿宋_GB2312" w:eastAsia="仿宋_GB2312" w:cs="仿宋_GB2312"/>
          <w:kern w:val="0"/>
          <w:sz w:val="32"/>
          <w:szCs w:val="32"/>
        </w:rPr>
        <w:t>。</w:t>
      </w: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年度“三公”经费财政拨款支出决算数比</w:t>
      </w:r>
      <w:r>
        <w:rPr>
          <w:rFonts w:ascii="仿宋_GB2312" w:eastAsia="仿宋_GB2312" w:cs="仿宋_GB2312"/>
          <w:kern w:val="0"/>
          <w:sz w:val="32"/>
          <w:szCs w:val="32"/>
        </w:rPr>
        <w:t>2019</w:t>
      </w:r>
      <w:r>
        <w:rPr>
          <w:rFonts w:hint="eastAsia" w:ascii="仿宋_GB2312" w:eastAsia="仿宋_GB2312" w:cs="仿宋_GB2312"/>
          <w:kern w:val="0"/>
          <w:sz w:val="32"/>
          <w:szCs w:val="32"/>
        </w:rPr>
        <w:t>年减少</w:t>
      </w:r>
      <w:r>
        <w:rPr>
          <w:rFonts w:ascii="仿宋_GB2312" w:eastAsia="仿宋_GB2312" w:cs="仿宋_GB2312"/>
          <w:kern w:val="0"/>
          <w:sz w:val="32"/>
          <w:szCs w:val="32"/>
        </w:rPr>
        <w:t>0.07</w:t>
      </w:r>
      <w:r>
        <w:rPr>
          <w:rFonts w:hint="eastAsia" w:ascii="仿宋_GB2312" w:eastAsia="仿宋_GB2312" w:cs="仿宋_GB2312"/>
          <w:kern w:val="0"/>
          <w:sz w:val="32"/>
          <w:szCs w:val="32"/>
        </w:rPr>
        <w:t>万元，下降</w:t>
      </w:r>
      <w:r>
        <w:rPr>
          <w:rFonts w:ascii="仿宋_GB2312" w:eastAsia="仿宋_GB2312" w:cs="仿宋_GB2312"/>
          <w:kern w:val="0"/>
          <w:sz w:val="32"/>
          <w:szCs w:val="32"/>
        </w:rPr>
        <w:t>100%</w:t>
      </w:r>
      <w:r>
        <w:rPr>
          <w:rFonts w:hint="eastAsia" w:ascii="仿宋_GB2312" w:eastAsia="仿宋_GB2312" w:cs="仿宋_GB2312"/>
          <w:kern w:val="0"/>
          <w:sz w:val="32"/>
          <w:szCs w:val="32"/>
        </w:rPr>
        <w:t>，其中：因公出国（境）费支出决算减少</w:t>
      </w:r>
      <w:r>
        <w:rPr>
          <w:rFonts w:ascii="仿宋_GB2312" w:eastAsia="仿宋_GB2312" w:cs="仿宋_GB2312"/>
          <w:kern w:val="0"/>
          <w:sz w:val="32"/>
          <w:szCs w:val="32"/>
        </w:rPr>
        <w:t>0</w:t>
      </w:r>
      <w:r>
        <w:rPr>
          <w:rFonts w:hint="eastAsia" w:ascii="仿宋_GB2312" w:eastAsia="仿宋_GB2312" w:cs="仿宋_GB2312"/>
          <w:kern w:val="0"/>
          <w:sz w:val="32"/>
          <w:szCs w:val="32"/>
        </w:rPr>
        <w:t>万元，下降</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；公务用车购置及运行支出决算减少</w:t>
      </w:r>
      <w:r>
        <w:rPr>
          <w:rFonts w:ascii="仿宋_GB2312" w:eastAsia="仿宋_GB2312" w:cs="仿宋_GB2312"/>
          <w:kern w:val="0"/>
          <w:sz w:val="32"/>
          <w:szCs w:val="32"/>
        </w:rPr>
        <w:t>0</w:t>
      </w:r>
      <w:r>
        <w:rPr>
          <w:rFonts w:hint="eastAsia" w:ascii="仿宋_GB2312" w:eastAsia="仿宋_GB2312" w:cs="仿宋_GB2312"/>
          <w:kern w:val="0"/>
          <w:sz w:val="32"/>
          <w:szCs w:val="32"/>
        </w:rPr>
        <w:t>万元，下降</w:t>
      </w:r>
      <w:r>
        <w:rPr>
          <w:rFonts w:ascii="仿宋_GB2312" w:eastAsia="仿宋_GB2312" w:cs="仿宋_GB2312"/>
          <w:kern w:val="0"/>
          <w:sz w:val="32"/>
          <w:szCs w:val="32"/>
        </w:rPr>
        <w:t>0%</w:t>
      </w:r>
      <w:r>
        <w:rPr>
          <w:rFonts w:hint="eastAsia" w:ascii="仿宋_GB2312" w:eastAsia="仿宋_GB2312" w:cs="仿宋_GB2312"/>
          <w:kern w:val="0"/>
          <w:sz w:val="32"/>
          <w:szCs w:val="32"/>
        </w:rPr>
        <w:t>；公务接待费支出决算减少</w:t>
      </w:r>
      <w:r>
        <w:rPr>
          <w:rFonts w:ascii="仿宋_GB2312" w:eastAsia="仿宋_GB2312" w:cs="仿宋_GB2312"/>
          <w:kern w:val="0"/>
          <w:sz w:val="32"/>
          <w:szCs w:val="32"/>
        </w:rPr>
        <w:t>0.07</w:t>
      </w:r>
      <w:r>
        <w:rPr>
          <w:rFonts w:hint="eastAsia" w:ascii="仿宋_GB2312" w:eastAsia="仿宋_GB2312" w:cs="仿宋_GB2312"/>
          <w:kern w:val="0"/>
          <w:sz w:val="32"/>
          <w:szCs w:val="32"/>
        </w:rPr>
        <w:t>万元，下降</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因公出国（境）费支出减少的主要</w:t>
      </w:r>
      <w:r>
        <w:rPr>
          <w:rFonts w:hint="eastAsia" w:ascii="仿宋_GB2312" w:eastAsia="仿宋_GB2312" w:cs="仿宋_GB2312"/>
          <w:kern w:val="0"/>
          <w:sz w:val="32"/>
          <w:szCs w:val="32"/>
          <w:lang w:val="en-US" w:eastAsia="zh-CN"/>
        </w:rPr>
        <w:t>原</w:t>
      </w:r>
      <w:r>
        <w:rPr>
          <w:rFonts w:hint="eastAsia" w:ascii="仿宋_GB2312" w:eastAsia="仿宋_GB2312" w:cs="仿宋_GB2312"/>
          <w:kern w:val="0"/>
          <w:sz w:val="32"/>
          <w:szCs w:val="32"/>
        </w:rPr>
        <w:t>因是本年度没有因公出国（境）的工作安排；公务用车购置及运行费支出减少的主要原因是本单位无公务用车；公务接待费支出减少的主要原因是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年本部门无公务接待费用。</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（二）“三公”经费财政拨款支出决算具体情况</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年度“三公”经费财政拨款支出决算中，因公出国（境）费支出决算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；公务接待费支出决算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。具体情况如下：</w:t>
      </w:r>
    </w:p>
    <w:p>
      <w:pPr>
        <w:autoSpaceDE w:val="0"/>
        <w:autoSpaceDN w:val="0"/>
        <w:adjustRightInd w:val="0"/>
        <w:spacing w:line="580" w:lineRule="exact"/>
        <w:ind w:firstLine="645"/>
        <w:jc w:val="left"/>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万元。全年安排机关和所属单位因公出国（境）团组</w:t>
      </w:r>
      <w:r>
        <w:rPr>
          <w:rFonts w:ascii="仿宋_GB2312" w:eastAsia="仿宋_GB2312" w:cs="仿宋_GB2312"/>
          <w:kern w:val="0"/>
          <w:sz w:val="32"/>
          <w:szCs w:val="32"/>
        </w:rPr>
        <w:t>0</w:t>
      </w:r>
      <w:r>
        <w:rPr>
          <w:rFonts w:hint="eastAsia" w:ascii="仿宋_GB2312" w:eastAsia="仿宋_GB2312" w:cs="仿宋_GB2312"/>
          <w:kern w:val="0"/>
          <w:sz w:val="32"/>
          <w:szCs w:val="32"/>
        </w:rPr>
        <w:t>个，累计人次</w:t>
      </w:r>
      <w:r>
        <w:rPr>
          <w:rFonts w:ascii="仿宋_GB2312" w:eastAsia="仿宋_GB2312" w:cs="仿宋_GB2312"/>
          <w:kern w:val="0"/>
          <w:sz w:val="32"/>
          <w:szCs w:val="32"/>
        </w:rPr>
        <w:t>0</w:t>
      </w:r>
      <w:r>
        <w:rPr>
          <w:rFonts w:hint="eastAsia" w:ascii="仿宋_GB2312" w:eastAsia="仿宋_GB2312" w:cs="仿宋_GB2312"/>
          <w:kern w:val="0"/>
          <w:sz w:val="32"/>
          <w:szCs w:val="32"/>
        </w:rPr>
        <w:t>人次。</w:t>
      </w:r>
    </w:p>
    <w:p>
      <w:pPr>
        <w:autoSpaceDE w:val="0"/>
        <w:autoSpaceDN w:val="0"/>
        <w:adjustRightInd w:val="0"/>
        <w:spacing w:line="580" w:lineRule="exact"/>
        <w:ind w:firstLine="645"/>
        <w:jc w:val="left"/>
        <w:rPr>
          <w:rFonts w:ascii="仿宋_GB2312" w:eastAsia="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公务用车购置及运行费支出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万元。其中：公务用车购置支出</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万元。公务用车运行支出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2020</w:t>
      </w:r>
      <w:r>
        <w:rPr>
          <w:rFonts w:hint="eastAsia" w:ascii="仿宋_GB2312" w:eastAsia="仿宋_GB2312" w:cs="仿宋_GB2312"/>
          <w:kern w:val="0"/>
          <w:sz w:val="32"/>
          <w:szCs w:val="32"/>
        </w:rPr>
        <w:t>年，本单位开支财政拨款的公务用车保有量为</w:t>
      </w:r>
      <w:r>
        <w:rPr>
          <w:rFonts w:ascii="仿宋_GB2312" w:eastAsia="仿宋_GB2312" w:cs="仿宋_GB2312"/>
          <w:kern w:val="0"/>
          <w:sz w:val="32"/>
          <w:szCs w:val="32"/>
        </w:rPr>
        <w:t>0</w:t>
      </w:r>
      <w:r>
        <w:rPr>
          <w:rFonts w:hint="eastAsia" w:ascii="仿宋_GB2312" w:eastAsia="仿宋_GB2312" w:cs="仿宋_GB2312"/>
          <w:kern w:val="0"/>
          <w:sz w:val="32"/>
          <w:szCs w:val="32"/>
        </w:rPr>
        <w:t>辆。</w:t>
      </w:r>
    </w:p>
    <w:p>
      <w:pPr>
        <w:autoSpaceDE w:val="0"/>
        <w:autoSpaceDN w:val="0"/>
        <w:adjustRightInd w:val="0"/>
        <w:spacing w:line="580" w:lineRule="exact"/>
        <w:ind w:firstLine="645"/>
        <w:jc w:val="left"/>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公务接待费支出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万元。其中：外宾接待支出</w:t>
      </w:r>
      <w:r>
        <w:rPr>
          <w:rFonts w:ascii="仿宋_GB2312" w:eastAsia="仿宋_GB2312" w:cs="仿宋_GB2312"/>
          <w:kern w:val="0"/>
          <w:sz w:val="32"/>
          <w:szCs w:val="32"/>
        </w:rPr>
        <w:t>0</w:t>
      </w:r>
      <w:r>
        <w:rPr>
          <w:rFonts w:hint="eastAsia" w:ascii="仿宋_GB2312" w:eastAsia="仿宋_GB2312" w:cs="仿宋_GB2312"/>
          <w:kern w:val="0"/>
          <w:sz w:val="32"/>
          <w:szCs w:val="32"/>
        </w:rPr>
        <w:t>万元，国内公务接待支出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2020</w:t>
      </w:r>
      <w:r>
        <w:rPr>
          <w:rFonts w:hint="eastAsia" w:ascii="仿宋_GB2312" w:eastAsia="仿宋_GB2312" w:cs="仿宋_GB2312"/>
          <w:kern w:val="0"/>
          <w:sz w:val="32"/>
          <w:szCs w:val="32"/>
        </w:rPr>
        <w:t>年共接待国内来访团组</w:t>
      </w:r>
      <w:r>
        <w:rPr>
          <w:rFonts w:ascii="仿宋_GB2312" w:eastAsia="仿宋_GB2312" w:cs="仿宋_GB2312"/>
          <w:kern w:val="0"/>
          <w:sz w:val="32"/>
          <w:szCs w:val="32"/>
        </w:rPr>
        <w:t>0</w:t>
      </w:r>
      <w:r>
        <w:rPr>
          <w:rFonts w:hint="eastAsia" w:ascii="仿宋_GB2312" w:eastAsia="仿宋_GB2312" w:cs="仿宋_GB2312"/>
          <w:kern w:val="0"/>
          <w:sz w:val="32"/>
          <w:szCs w:val="32"/>
        </w:rPr>
        <w:t>个，来宾</w:t>
      </w:r>
      <w:r>
        <w:rPr>
          <w:rFonts w:ascii="仿宋_GB2312" w:eastAsia="仿宋_GB2312" w:cs="仿宋_GB2312"/>
          <w:kern w:val="0"/>
          <w:sz w:val="32"/>
          <w:szCs w:val="32"/>
        </w:rPr>
        <w:t>0</w:t>
      </w:r>
      <w:r>
        <w:rPr>
          <w:rFonts w:hint="eastAsia" w:ascii="仿宋_GB2312" w:eastAsia="仿宋_GB2312" w:cs="仿宋_GB2312"/>
          <w:kern w:val="0"/>
          <w:sz w:val="32"/>
          <w:szCs w:val="32"/>
        </w:rPr>
        <w:t>人次。</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八、</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年度政府性基金预算财政拨款收入支出决算情况说明</w:t>
      </w:r>
      <w:r>
        <w:rPr>
          <w:rFonts w:ascii="仿宋_GB2312" w:eastAsia="仿宋_GB2312" w:cs="仿宋_GB2312"/>
          <w:b/>
          <w:bCs/>
          <w:kern w:val="0"/>
          <w:sz w:val="32"/>
          <w:szCs w:val="32"/>
        </w:rPr>
        <w:t xml:space="preserve"> </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本单位无</w:t>
      </w:r>
      <w:r>
        <w:rPr>
          <w:rFonts w:ascii="仿宋_GB2312" w:eastAsia="仿宋_GB2312" w:cs="仿宋_GB2312"/>
          <w:kern w:val="0"/>
          <w:sz w:val="32"/>
          <w:szCs w:val="32"/>
        </w:rPr>
        <w:t>2020</w:t>
      </w:r>
      <w:r>
        <w:rPr>
          <w:rFonts w:hint="eastAsia" w:ascii="仿宋_GB2312" w:eastAsia="仿宋_GB2312" w:cs="仿宋_GB2312"/>
          <w:kern w:val="0"/>
          <w:sz w:val="32"/>
          <w:szCs w:val="32"/>
        </w:rPr>
        <w:t>年度政府</w:t>
      </w:r>
      <w:r>
        <w:rPr>
          <w:rFonts w:hint="eastAsia" w:ascii="仿宋_GB2312" w:eastAsia="仿宋_GB2312" w:cs="仿宋_GB2312"/>
          <w:kern w:val="0"/>
          <w:sz w:val="32"/>
          <w:szCs w:val="32"/>
          <w:lang w:val="en-US" w:eastAsia="zh-CN"/>
        </w:rPr>
        <w:t>性</w:t>
      </w:r>
      <w:r>
        <w:rPr>
          <w:rFonts w:hint="eastAsia" w:ascii="仿宋_GB2312" w:eastAsia="仿宋_GB2312" w:cs="仿宋_GB2312"/>
          <w:kern w:val="0"/>
          <w:sz w:val="32"/>
          <w:szCs w:val="32"/>
        </w:rPr>
        <w:t>基金预算财政拨款收入，也没有政府</w:t>
      </w:r>
      <w:r>
        <w:rPr>
          <w:rFonts w:hint="eastAsia" w:ascii="仿宋_GB2312" w:eastAsia="仿宋_GB2312" w:cs="仿宋_GB2312"/>
          <w:kern w:val="0"/>
          <w:sz w:val="32"/>
          <w:szCs w:val="32"/>
          <w:lang w:val="en-US" w:eastAsia="zh-CN"/>
        </w:rPr>
        <w:t>性</w:t>
      </w:r>
      <w:r>
        <w:rPr>
          <w:rFonts w:hint="eastAsia" w:ascii="仿宋_GB2312" w:eastAsia="仿宋_GB2312" w:cs="仿宋_GB2312"/>
          <w:kern w:val="0"/>
          <w:sz w:val="32"/>
          <w:szCs w:val="32"/>
        </w:rPr>
        <w:t>基金预算财政拨款安排的支出。</w:t>
      </w:r>
    </w:p>
    <w:p>
      <w:pPr>
        <w:numPr>
          <w:ilvl w:val="0"/>
          <w:numId w:val="1"/>
        </w:num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本单位无</w:t>
      </w:r>
      <w:r>
        <w:rPr>
          <w:rFonts w:ascii="仿宋_GB2312" w:eastAsia="仿宋_GB2312" w:cs="仿宋_GB2312"/>
          <w:kern w:val="0"/>
          <w:sz w:val="32"/>
          <w:szCs w:val="32"/>
        </w:rPr>
        <w:t>2020</w:t>
      </w:r>
      <w:r>
        <w:rPr>
          <w:rFonts w:hint="eastAsia" w:ascii="仿宋_GB2312" w:eastAsia="仿宋_GB2312" w:cs="仿宋_GB2312"/>
          <w:kern w:val="0"/>
          <w:sz w:val="32"/>
          <w:szCs w:val="32"/>
        </w:rPr>
        <w:t>年度国有资本经营预算财政拨款收入，也没有国有资本经营预算财政拨款安排的支出。</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eastAsia="仿宋_GB2312" w:cs="仿宋_GB2312"/>
          <w:b/>
          <w:bCs/>
          <w:kern w:val="0"/>
          <w:sz w:val="32"/>
          <w:szCs w:val="32"/>
        </w:rPr>
        <w:t>十、</w:t>
      </w:r>
      <w:r>
        <w:rPr>
          <w:rFonts w:eastAsia="仿宋_GB2312"/>
          <w:b/>
          <w:bCs/>
          <w:kern w:val="0"/>
          <w:sz w:val="32"/>
          <w:szCs w:val="32"/>
        </w:rPr>
        <w:t>2020</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绩效管理工作开展情况</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根据财政预算管理要求，本单位组织对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年度一般公共预算项目支出全面开展绩效自评。其中，二级项目</w:t>
      </w:r>
      <w:r>
        <w:rPr>
          <w:rFonts w:ascii="仿宋_GB2312" w:eastAsia="仿宋_GB2312" w:cs="仿宋_GB2312"/>
          <w:kern w:val="0"/>
          <w:sz w:val="32"/>
          <w:szCs w:val="32"/>
        </w:rPr>
        <w:t>2</w:t>
      </w:r>
      <w:r>
        <w:rPr>
          <w:rFonts w:hint="eastAsia" w:ascii="仿宋_GB2312" w:eastAsia="仿宋_GB2312" w:cs="仿宋_GB2312"/>
          <w:kern w:val="0"/>
          <w:sz w:val="32"/>
          <w:szCs w:val="32"/>
        </w:rPr>
        <w:t>个，共涉及预算资金</w:t>
      </w:r>
      <w:r>
        <w:rPr>
          <w:rFonts w:ascii="仿宋_GB2312" w:eastAsia="仿宋_GB2312" w:cs="仿宋_GB2312"/>
          <w:kern w:val="0"/>
          <w:sz w:val="32"/>
          <w:szCs w:val="32"/>
        </w:rPr>
        <w:t>950</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（二）单位决算中项目绩效自评结果。</w:t>
      </w:r>
    </w:p>
    <w:p>
      <w:pPr>
        <w:spacing w:line="560" w:lineRule="exact"/>
        <w:ind w:firstLine="640"/>
        <w:rPr>
          <w:rFonts w:ascii="仿宋_GB2312" w:eastAsia="仿宋_GB2312" w:cs="仿宋_GB2312"/>
          <w:kern w:val="0"/>
          <w:sz w:val="32"/>
          <w:szCs w:val="32"/>
        </w:rPr>
      </w:pPr>
      <w:r>
        <w:rPr>
          <w:rFonts w:hint="eastAsia" w:ascii="仿宋_GB2312" w:eastAsia="仿宋_GB2312" w:cs="仿宋_GB2312"/>
          <w:kern w:val="0"/>
          <w:sz w:val="32"/>
          <w:szCs w:val="32"/>
        </w:rPr>
        <w:t>本单位根据年初设定的绩效目标，评审业务委托费项目自评得分为</w:t>
      </w:r>
      <w:r>
        <w:rPr>
          <w:rFonts w:ascii="仿宋_GB2312" w:eastAsia="仿宋_GB2312" w:cs="仿宋_GB2312"/>
          <w:kern w:val="0"/>
          <w:sz w:val="32"/>
          <w:szCs w:val="32"/>
        </w:rPr>
        <w:t>92.2</w:t>
      </w:r>
      <w:r>
        <w:rPr>
          <w:rFonts w:hint="eastAsia" w:ascii="仿宋_GB2312" w:eastAsia="仿宋_GB2312" w:cs="仿宋_GB2312"/>
          <w:kern w:val="0"/>
          <w:sz w:val="32"/>
          <w:szCs w:val="32"/>
        </w:rPr>
        <w:t>分。发现的主要问题及原因：一是建设单位送审项目存在不确定性，无法预估项目送审的时间及内容，如项目年底送审则可能需要下年才能完成审核；二是少数项目审核存在特殊性，个别特殊项目可能由于项目资料缺失或其他专业技术问题导致项目审核需要较长时间。下一步改进措施：一是强化绩效目标管理。对项目预算编制细化，明确绩效指标，保证预算编制完整性。对预算的前期调研、支付进度、完成情况做到有效的监督和及时的反馈，确保高质量、高效能的完成预期工作；二是加快项目的评审工作，在确保审核质量的前提下提高审核效率。</w:t>
      </w:r>
      <w:r>
        <w:rPr>
          <w:rFonts w:ascii="仿宋_GB2312" w:eastAsia="仿宋_GB2312" w:cs="仿宋_GB2312"/>
          <w:kern w:val="0"/>
          <w:sz w:val="32"/>
          <w:szCs w:val="32"/>
        </w:rPr>
        <w:t>PPP</w:t>
      </w:r>
      <w:r>
        <w:rPr>
          <w:rFonts w:hint="eastAsia" w:ascii="仿宋_GB2312" w:eastAsia="仿宋_GB2312" w:cs="仿宋_GB2312"/>
          <w:kern w:val="0"/>
          <w:sz w:val="32"/>
          <w:szCs w:val="32"/>
        </w:rPr>
        <w:t>项目、信息化项目、财务竣工决算项目等委托评审经费项目自评得分为</w:t>
      </w:r>
      <w:r>
        <w:rPr>
          <w:rFonts w:ascii="仿宋_GB2312" w:eastAsia="仿宋_GB2312" w:cs="仿宋_GB2312"/>
          <w:kern w:val="0"/>
          <w:sz w:val="32"/>
          <w:szCs w:val="32"/>
        </w:rPr>
        <w:t xml:space="preserve">91.5 </w:t>
      </w:r>
      <w:r>
        <w:rPr>
          <w:rFonts w:hint="eastAsia" w:ascii="仿宋_GB2312" w:eastAsia="仿宋_GB2312" w:cs="仿宋_GB2312"/>
          <w:kern w:val="0"/>
          <w:sz w:val="32"/>
          <w:szCs w:val="32"/>
        </w:rPr>
        <w:t>分。发现的主要问题及原因：一是</w:t>
      </w:r>
      <w:r>
        <w:rPr>
          <w:rFonts w:ascii="仿宋_GB2312" w:eastAsia="仿宋_GB2312" w:cs="仿宋_GB2312"/>
          <w:kern w:val="0"/>
          <w:sz w:val="32"/>
          <w:szCs w:val="32"/>
        </w:rPr>
        <w:t>PPP</w:t>
      </w:r>
      <w:r>
        <w:rPr>
          <w:rFonts w:hint="eastAsia" w:ascii="仿宋_GB2312" w:eastAsia="仿宋_GB2312" w:cs="仿宋_GB2312"/>
          <w:kern w:val="0"/>
          <w:sz w:val="32"/>
          <w:szCs w:val="32"/>
        </w:rPr>
        <w:t>、信息化、财务竣工决算等项目较复杂，审核难度大、时间久，</w:t>
      </w:r>
      <w:r>
        <w:rPr>
          <w:rFonts w:ascii="仿宋_GB2312" w:eastAsia="仿宋_GB2312" w:cs="仿宋_GB2312"/>
          <w:kern w:val="0"/>
          <w:sz w:val="32"/>
          <w:szCs w:val="32"/>
        </w:rPr>
        <w:t>2020</w:t>
      </w:r>
      <w:r>
        <w:rPr>
          <w:rFonts w:hint="eastAsia" w:ascii="仿宋_GB2312" w:eastAsia="仿宋_GB2312" w:cs="仿宋_GB2312"/>
          <w:kern w:val="0"/>
          <w:sz w:val="32"/>
          <w:szCs w:val="32"/>
        </w:rPr>
        <w:t>年度完成项目较少；二是建设单位送审项目存在不确定性，无法预估项目送审的时间及内容，如项目年底送审则可能需要下年才能完成审核。下一步改进措施：一是强化绩效目标管理。对项目预算编制细化，明确绩效指标，保证预算编制完整性。对预算的前期调研、支付进度、完成情况做到有效的监督和及时的反馈，确保高质量、高效能的完成预期工作；二是加快项目的评审工作，在确保审核质量的前提下提高审核效率。</w:t>
      </w:r>
    </w:p>
    <w:p>
      <w:pPr>
        <w:spacing w:line="560" w:lineRule="exact"/>
        <w:ind w:firstLine="640"/>
        <w:rPr>
          <w:rFonts w:ascii="仿宋_GB2312" w:eastAsia="仿宋_GB2312"/>
          <w:kern w:val="0"/>
          <w:sz w:val="32"/>
          <w:szCs w:val="32"/>
        </w:rPr>
      </w:pPr>
    </w:p>
    <w:tbl>
      <w:tblPr>
        <w:tblStyle w:val="5"/>
        <w:tblW w:w="9980" w:type="dxa"/>
        <w:jc w:val="center"/>
        <w:tblLayout w:type="autofit"/>
        <w:tblCellMar>
          <w:top w:w="0" w:type="dxa"/>
          <w:left w:w="108" w:type="dxa"/>
          <w:bottom w:w="0" w:type="dxa"/>
          <w:right w:w="108" w:type="dxa"/>
        </w:tblCellMar>
      </w:tblPr>
      <w:tblGrid>
        <w:gridCol w:w="851"/>
        <w:gridCol w:w="915"/>
        <w:gridCol w:w="775"/>
        <w:gridCol w:w="1731"/>
        <w:gridCol w:w="416"/>
        <w:gridCol w:w="1415"/>
        <w:gridCol w:w="1316"/>
        <w:gridCol w:w="531"/>
        <w:gridCol w:w="756"/>
        <w:gridCol w:w="429"/>
        <w:gridCol w:w="845"/>
      </w:tblGrid>
      <w:tr>
        <w:tblPrEx>
          <w:tblCellMar>
            <w:top w:w="0" w:type="dxa"/>
            <w:left w:w="108" w:type="dxa"/>
            <w:bottom w:w="0" w:type="dxa"/>
            <w:right w:w="108" w:type="dxa"/>
          </w:tblCellMar>
        </w:tblPrEx>
        <w:trPr>
          <w:trHeight w:val="424" w:hRule="atLeast"/>
          <w:jc w:val="center"/>
        </w:trPr>
        <w:tc>
          <w:tcPr>
            <w:tcW w:w="9980" w:type="dxa"/>
            <w:gridSpan w:val="11"/>
            <w:tcBorders>
              <w:top w:val="nil"/>
              <w:left w:val="nil"/>
              <w:bottom w:val="nil"/>
              <w:right w:val="nil"/>
            </w:tcBorders>
            <w:vAlign w:val="center"/>
          </w:tcPr>
          <w:p>
            <w:pPr>
              <w:widowControl/>
              <w:jc w:val="center"/>
              <w:rPr>
                <w:rFonts w:ascii="宋体"/>
                <w:b/>
                <w:bCs/>
                <w:color w:val="000000"/>
                <w:kern w:val="0"/>
                <w:sz w:val="32"/>
                <w:szCs w:val="32"/>
              </w:rPr>
            </w:pPr>
            <w:r>
              <w:rPr>
                <w:rFonts w:ascii="宋体" w:hAnsi="宋体" w:cs="宋体"/>
                <w:b/>
                <w:bCs/>
                <w:color w:val="000000"/>
                <w:kern w:val="0"/>
                <w:sz w:val="32"/>
                <w:szCs w:val="32"/>
              </w:rPr>
              <w:t>2020</w:t>
            </w:r>
            <w:r>
              <w:rPr>
                <w:rFonts w:hint="eastAsia" w:ascii="宋体" w:hAnsi="宋体" w:cs="宋体"/>
                <w:b/>
                <w:bCs/>
                <w:color w:val="000000"/>
                <w:kern w:val="0"/>
                <w:sz w:val="32"/>
                <w:szCs w:val="32"/>
              </w:rPr>
              <w:t>年度柳州市本级预算项目支出绩效自评表</w:t>
            </w:r>
          </w:p>
        </w:tc>
      </w:tr>
      <w:tr>
        <w:tblPrEx>
          <w:tblCellMar>
            <w:top w:w="0" w:type="dxa"/>
            <w:left w:w="108" w:type="dxa"/>
            <w:bottom w:w="0" w:type="dxa"/>
            <w:right w:w="108" w:type="dxa"/>
          </w:tblCellMar>
        </w:tblPrEx>
        <w:trPr>
          <w:trHeight w:val="629" w:hRule="atLeast"/>
          <w:jc w:val="center"/>
        </w:trPr>
        <w:tc>
          <w:tcPr>
            <w:tcW w:w="4272" w:type="dxa"/>
            <w:gridSpan w:val="4"/>
            <w:tcBorders>
              <w:top w:val="nil"/>
              <w:left w:val="nil"/>
              <w:bottom w:val="single" w:color="auto" w:sz="4" w:space="0"/>
              <w:right w:val="nil"/>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单位（盖章）：柳州市财政投资评审中心　</w:t>
            </w:r>
          </w:p>
        </w:tc>
        <w:tc>
          <w:tcPr>
            <w:tcW w:w="416"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415"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316"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531"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429"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845"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9" w:hRule="atLeast"/>
          <w:jc w:val="center"/>
        </w:trPr>
        <w:tc>
          <w:tcPr>
            <w:tcW w:w="2541"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项目名称</w:t>
            </w:r>
          </w:p>
        </w:tc>
        <w:tc>
          <w:tcPr>
            <w:tcW w:w="7439" w:type="dxa"/>
            <w:gridSpan w:val="8"/>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评审业务委托费</w:t>
            </w:r>
          </w:p>
        </w:tc>
      </w:tr>
      <w:tr>
        <w:tblPrEx>
          <w:tblCellMar>
            <w:top w:w="0" w:type="dxa"/>
            <w:left w:w="108" w:type="dxa"/>
            <w:bottom w:w="0" w:type="dxa"/>
            <w:right w:w="108" w:type="dxa"/>
          </w:tblCellMar>
        </w:tblPrEx>
        <w:trPr>
          <w:trHeight w:val="409" w:hRule="atLeast"/>
          <w:jc w:val="center"/>
        </w:trPr>
        <w:tc>
          <w:tcPr>
            <w:tcW w:w="2541"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主管部门</w:t>
            </w:r>
          </w:p>
        </w:tc>
        <w:tc>
          <w:tcPr>
            <w:tcW w:w="3562"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柳州市财政局</w:t>
            </w:r>
          </w:p>
        </w:tc>
        <w:tc>
          <w:tcPr>
            <w:tcW w:w="3877"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项目实施单位及代码：</w:t>
            </w:r>
            <w:r>
              <w:rPr>
                <w:rFonts w:ascii="宋体" w:hAnsi="宋体" w:cs="宋体"/>
                <w:color w:val="000000"/>
                <w:kern w:val="0"/>
                <w:sz w:val="20"/>
                <w:szCs w:val="20"/>
              </w:rPr>
              <w:t>034238</w:t>
            </w:r>
          </w:p>
        </w:tc>
      </w:tr>
      <w:tr>
        <w:tblPrEx>
          <w:tblCellMar>
            <w:top w:w="0" w:type="dxa"/>
            <w:left w:w="108" w:type="dxa"/>
            <w:bottom w:w="0" w:type="dxa"/>
            <w:right w:w="108" w:type="dxa"/>
          </w:tblCellMar>
        </w:tblPrEx>
        <w:trPr>
          <w:trHeight w:val="535" w:hRule="atLeast"/>
          <w:jc w:val="center"/>
        </w:trPr>
        <w:tc>
          <w:tcPr>
            <w:tcW w:w="2541"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项目资金</w:t>
            </w:r>
            <w:r>
              <w:rPr>
                <w:rFonts w:ascii="宋体" w:hAnsi="宋体" w:cs="宋体"/>
                <w:color w:val="000000"/>
                <w:kern w:val="0"/>
                <w:sz w:val="20"/>
                <w:szCs w:val="20"/>
              </w:rPr>
              <w:t xml:space="preserve">                    </w:t>
            </w:r>
            <w:r>
              <w:rPr>
                <w:rFonts w:hint="eastAsia" w:ascii="宋体" w:hAnsi="宋体" w:cs="宋体"/>
                <w:color w:val="000000"/>
                <w:kern w:val="0"/>
                <w:sz w:val="20"/>
                <w:szCs w:val="20"/>
              </w:rPr>
              <w:t>（万元）</w:t>
            </w:r>
          </w:p>
        </w:tc>
        <w:tc>
          <w:tcPr>
            <w:tcW w:w="214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调整预算数（</w:t>
            </w:r>
            <w:r>
              <w:rPr>
                <w:rFonts w:ascii="宋体" w:hAnsi="宋体" w:cs="宋体"/>
                <w:color w:val="000000"/>
                <w:kern w:val="0"/>
                <w:sz w:val="18"/>
                <w:szCs w:val="18"/>
              </w:rPr>
              <w:t>A</w:t>
            </w:r>
            <w:r>
              <w:rPr>
                <w:rFonts w:hint="eastAsia" w:ascii="宋体" w:hAnsi="宋体" w:cs="宋体"/>
                <w:color w:val="000000"/>
                <w:kern w:val="0"/>
                <w:sz w:val="18"/>
                <w:szCs w:val="18"/>
              </w:rPr>
              <w:t>）</w:t>
            </w:r>
          </w:p>
        </w:tc>
        <w:tc>
          <w:tcPr>
            <w:tcW w:w="1316"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全年执行数（</w:t>
            </w:r>
            <w:r>
              <w:rPr>
                <w:rFonts w:ascii="宋体" w:hAnsi="宋体" w:cs="宋体"/>
                <w:color w:val="000000"/>
                <w:kern w:val="0"/>
                <w:sz w:val="18"/>
                <w:szCs w:val="18"/>
              </w:rPr>
              <w:t>B</w:t>
            </w:r>
            <w:r>
              <w:rPr>
                <w:rFonts w:hint="eastAsia" w:ascii="宋体" w:hAnsi="宋体" w:cs="宋体"/>
                <w:color w:val="000000"/>
                <w:kern w:val="0"/>
                <w:sz w:val="18"/>
                <w:szCs w:val="18"/>
              </w:rPr>
              <w:t>）</w:t>
            </w:r>
          </w:p>
        </w:tc>
        <w:tc>
          <w:tcPr>
            <w:tcW w:w="531"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分值</w:t>
            </w:r>
            <w:r>
              <w:rPr>
                <w:rFonts w:ascii="宋体" w:hAnsi="宋体" w:cs="宋体"/>
                <w:color w:val="000000"/>
                <w:kern w:val="0"/>
                <w:sz w:val="18"/>
                <w:szCs w:val="18"/>
              </w:rPr>
              <w:t>(10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756"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预算资金执行率（</w:t>
            </w:r>
            <w:r>
              <w:rPr>
                <w:rFonts w:ascii="宋体" w:hAnsi="宋体" w:cs="宋体"/>
                <w:color w:val="000000"/>
                <w:kern w:val="0"/>
                <w:sz w:val="18"/>
                <w:szCs w:val="18"/>
              </w:rPr>
              <w:t>B/A)</w:t>
            </w:r>
          </w:p>
        </w:tc>
        <w:tc>
          <w:tcPr>
            <w:tcW w:w="429"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得分</w:t>
            </w:r>
          </w:p>
        </w:tc>
        <w:tc>
          <w:tcPr>
            <w:tcW w:w="845"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得分计算方法</w:t>
            </w:r>
          </w:p>
        </w:tc>
      </w:tr>
      <w:tr>
        <w:tblPrEx>
          <w:tblCellMar>
            <w:top w:w="0" w:type="dxa"/>
            <w:left w:w="108" w:type="dxa"/>
            <w:bottom w:w="0" w:type="dxa"/>
            <w:right w:w="108" w:type="dxa"/>
          </w:tblCellMar>
        </w:tblPrEx>
        <w:trPr>
          <w:trHeight w:val="393" w:hRule="atLeast"/>
          <w:jc w:val="center"/>
        </w:trPr>
        <w:tc>
          <w:tcPr>
            <w:tcW w:w="254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14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年度资金总额：</w:t>
            </w:r>
          </w:p>
        </w:tc>
        <w:tc>
          <w:tcPr>
            <w:tcW w:w="1415" w:type="dxa"/>
            <w:tcBorders>
              <w:top w:val="nil"/>
              <w:left w:val="nil"/>
              <w:bottom w:val="single" w:color="auto" w:sz="4" w:space="0"/>
              <w:right w:val="single" w:color="auto" w:sz="4" w:space="0"/>
            </w:tcBorders>
            <w:noWrap/>
            <w:vAlign w:val="center"/>
          </w:tcPr>
          <w:p>
            <w:pPr>
              <w:widowControl/>
              <w:jc w:val="right"/>
              <w:rPr>
                <w:rFonts w:ascii="宋体"/>
                <w:color w:val="000000"/>
                <w:kern w:val="0"/>
                <w:sz w:val="20"/>
                <w:szCs w:val="20"/>
              </w:rPr>
            </w:pPr>
            <w:r>
              <w:rPr>
                <w:rFonts w:ascii="宋体" w:hAnsi="宋体" w:cs="宋体"/>
                <w:color w:val="000000"/>
                <w:kern w:val="0"/>
                <w:sz w:val="20"/>
                <w:szCs w:val="20"/>
              </w:rPr>
              <w:t>750</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749.74</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 xml:space="preserve">1.00 </w:t>
            </w:r>
          </w:p>
        </w:tc>
        <w:tc>
          <w:tcPr>
            <w:tcW w:w="429"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ascii="宋体" w:hAnsi="宋体" w:cs="宋体"/>
                <w:color w:val="000000"/>
                <w:kern w:val="0"/>
                <w:sz w:val="20"/>
                <w:szCs w:val="20"/>
              </w:rPr>
              <w:t>10</w:t>
            </w:r>
          </w:p>
        </w:tc>
        <w:tc>
          <w:tcPr>
            <w:tcW w:w="845"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执行率×该指标分值，最高不得超过分值上限。</w:t>
            </w:r>
          </w:p>
        </w:tc>
      </w:tr>
      <w:tr>
        <w:tblPrEx>
          <w:tblCellMar>
            <w:top w:w="0" w:type="dxa"/>
            <w:left w:w="108" w:type="dxa"/>
            <w:bottom w:w="0" w:type="dxa"/>
            <w:right w:w="108" w:type="dxa"/>
          </w:tblCellMar>
        </w:tblPrEx>
        <w:trPr>
          <w:trHeight w:val="393" w:hRule="atLeast"/>
          <w:jc w:val="center"/>
        </w:trPr>
        <w:tc>
          <w:tcPr>
            <w:tcW w:w="254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14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其中：一般公共预算</w:t>
            </w:r>
          </w:p>
        </w:tc>
        <w:tc>
          <w:tcPr>
            <w:tcW w:w="1415" w:type="dxa"/>
            <w:tcBorders>
              <w:top w:val="nil"/>
              <w:left w:val="nil"/>
              <w:bottom w:val="single" w:color="auto" w:sz="4" w:space="0"/>
              <w:right w:val="single" w:color="auto" w:sz="4" w:space="0"/>
            </w:tcBorders>
            <w:noWrap/>
            <w:vAlign w:val="center"/>
          </w:tcPr>
          <w:p>
            <w:pPr>
              <w:widowControl/>
              <w:jc w:val="right"/>
              <w:rPr>
                <w:rFonts w:ascii="宋体"/>
                <w:color w:val="000000"/>
                <w:kern w:val="0"/>
                <w:sz w:val="20"/>
                <w:szCs w:val="20"/>
              </w:rPr>
            </w:pPr>
            <w:r>
              <w:rPr>
                <w:rFonts w:ascii="宋体" w:hAnsi="宋体" w:cs="宋体"/>
                <w:color w:val="000000"/>
                <w:kern w:val="0"/>
                <w:sz w:val="20"/>
                <w:szCs w:val="20"/>
              </w:rPr>
              <w:t>750</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749.74</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 xml:space="preserve">1.00 </w:t>
            </w:r>
          </w:p>
        </w:tc>
        <w:tc>
          <w:tcPr>
            <w:tcW w:w="429"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ascii="宋体" w:hAnsi="宋体" w:cs="宋体"/>
                <w:color w:val="000000"/>
                <w:kern w:val="0"/>
                <w:sz w:val="20"/>
                <w:szCs w:val="20"/>
              </w:rPr>
              <w:t>10</w:t>
            </w:r>
          </w:p>
        </w:tc>
        <w:tc>
          <w:tcPr>
            <w:tcW w:w="8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r>
      <w:tr>
        <w:tblPrEx>
          <w:tblCellMar>
            <w:top w:w="0" w:type="dxa"/>
            <w:left w:w="108" w:type="dxa"/>
            <w:bottom w:w="0" w:type="dxa"/>
            <w:right w:w="108" w:type="dxa"/>
          </w:tblCellMar>
        </w:tblPrEx>
        <w:trPr>
          <w:trHeight w:val="330" w:hRule="atLeast"/>
          <w:jc w:val="center"/>
        </w:trPr>
        <w:tc>
          <w:tcPr>
            <w:tcW w:w="254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14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政府性基金预算</w:t>
            </w:r>
          </w:p>
        </w:tc>
        <w:tc>
          <w:tcPr>
            <w:tcW w:w="1415" w:type="dxa"/>
            <w:tcBorders>
              <w:top w:val="nil"/>
              <w:left w:val="nil"/>
              <w:bottom w:val="single" w:color="auto" w:sz="4" w:space="0"/>
              <w:right w:val="single" w:color="auto"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29"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8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r>
      <w:tr>
        <w:tblPrEx>
          <w:tblCellMar>
            <w:top w:w="0" w:type="dxa"/>
            <w:left w:w="108" w:type="dxa"/>
            <w:bottom w:w="0" w:type="dxa"/>
            <w:right w:w="108" w:type="dxa"/>
          </w:tblCellMar>
        </w:tblPrEx>
        <w:trPr>
          <w:trHeight w:val="378" w:hRule="atLeast"/>
          <w:jc w:val="center"/>
        </w:trPr>
        <w:tc>
          <w:tcPr>
            <w:tcW w:w="254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14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国有资本经营预算</w:t>
            </w:r>
          </w:p>
        </w:tc>
        <w:tc>
          <w:tcPr>
            <w:tcW w:w="1415" w:type="dxa"/>
            <w:tcBorders>
              <w:top w:val="nil"/>
              <w:left w:val="nil"/>
              <w:bottom w:val="single" w:color="auto" w:sz="4" w:space="0"/>
              <w:right w:val="single" w:color="auto"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29"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8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r>
      <w:tr>
        <w:tblPrEx>
          <w:tblCellMar>
            <w:top w:w="0" w:type="dxa"/>
            <w:left w:w="108" w:type="dxa"/>
            <w:bottom w:w="0" w:type="dxa"/>
            <w:right w:w="108" w:type="dxa"/>
          </w:tblCellMar>
        </w:tblPrEx>
        <w:trPr>
          <w:trHeight w:val="1283" w:hRule="atLeast"/>
          <w:jc w:val="center"/>
        </w:trPr>
        <w:tc>
          <w:tcPr>
            <w:tcW w:w="851" w:type="dxa"/>
            <w:tcBorders>
              <w:top w:val="nil"/>
              <w:left w:val="single" w:color="auto" w:sz="4" w:space="0"/>
              <w:bottom w:val="single" w:color="auto" w:sz="4" w:space="0"/>
              <w:right w:val="single" w:color="auto" w:sz="4" w:space="0"/>
            </w:tcBorders>
            <w:textDirection w:val="tbRlV"/>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年度总体目标</w:t>
            </w:r>
          </w:p>
        </w:tc>
        <w:tc>
          <w:tcPr>
            <w:tcW w:w="5252" w:type="dxa"/>
            <w:gridSpan w:val="5"/>
            <w:tcBorders>
              <w:top w:val="single" w:color="auto" w:sz="4" w:space="0"/>
              <w:left w:val="nil"/>
              <w:bottom w:val="single" w:color="auto" w:sz="4" w:space="0"/>
              <w:right w:val="single" w:color="000000"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保障评审工作保质保量完成，不断提高财政评审效率，合理控制财政投资项目成本，提高财政资金使用效益。</w:t>
            </w:r>
          </w:p>
        </w:tc>
        <w:tc>
          <w:tcPr>
            <w:tcW w:w="3877" w:type="dxa"/>
            <w:gridSpan w:val="5"/>
            <w:tcBorders>
              <w:top w:val="single" w:color="auto" w:sz="4" w:space="0"/>
              <w:left w:val="nil"/>
              <w:bottom w:val="single" w:color="auto" w:sz="4" w:space="0"/>
              <w:right w:val="single" w:color="000000"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3" w:hRule="atLeast"/>
          <w:jc w:val="center"/>
        </w:trPr>
        <w:tc>
          <w:tcPr>
            <w:tcW w:w="851"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年度绩效指标</w:t>
            </w:r>
          </w:p>
        </w:tc>
        <w:tc>
          <w:tcPr>
            <w:tcW w:w="915"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一级指标</w:t>
            </w:r>
          </w:p>
        </w:tc>
        <w:tc>
          <w:tcPr>
            <w:tcW w:w="775"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二级指标</w:t>
            </w:r>
          </w:p>
        </w:tc>
        <w:tc>
          <w:tcPr>
            <w:tcW w:w="17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三级指标</w:t>
            </w:r>
          </w:p>
        </w:tc>
        <w:tc>
          <w:tcPr>
            <w:tcW w:w="4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分值</w:t>
            </w:r>
          </w:p>
        </w:tc>
        <w:tc>
          <w:tcPr>
            <w:tcW w:w="1415"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年度指标值</w:t>
            </w:r>
            <w:r>
              <w:rPr>
                <w:rFonts w:ascii="宋体" w:hAnsi="宋体" w:cs="宋体"/>
                <w:color w:val="000000"/>
                <w:kern w:val="0"/>
                <w:sz w:val="20"/>
                <w:szCs w:val="20"/>
              </w:rPr>
              <w:t xml:space="preserve">(A)  </w:t>
            </w:r>
          </w:p>
        </w:tc>
        <w:tc>
          <w:tcPr>
            <w:tcW w:w="1316"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全年实际值</w:t>
            </w:r>
            <w:r>
              <w:rPr>
                <w:rFonts w:ascii="宋体" w:hAnsi="宋体" w:cs="宋体"/>
                <w:color w:val="000000"/>
                <w:kern w:val="0"/>
                <w:sz w:val="20"/>
                <w:szCs w:val="20"/>
              </w:rPr>
              <w:t xml:space="preserve">(B) </w:t>
            </w:r>
          </w:p>
        </w:tc>
        <w:tc>
          <w:tcPr>
            <w:tcW w:w="531"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得分</w:t>
            </w:r>
          </w:p>
        </w:tc>
        <w:tc>
          <w:tcPr>
            <w:tcW w:w="203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产</w:t>
            </w:r>
            <w:r>
              <w:rPr>
                <w:rFonts w:ascii="宋体"/>
                <w:kern w:val="0"/>
                <w:sz w:val="20"/>
                <w:szCs w:val="20"/>
              </w:rPr>
              <w:br w:type="textWrapping"/>
            </w:r>
            <w:r>
              <w:rPr>
                <w:rFonts w:hint="eastAsia" w:ascii="宋体" w:hAnsi="宋体" w:cs="宋体"/>
                <w:kern w:val="0"/>
                <w:sz w:val="20"/>
                <w:szCs w:val="20"/>
              </w:rPr>
              <w:t>出</w:t>
            </w:r>
            <w:r>
              <w:rPr>
                <w:rFonts w:ascii="宋体"/>
                <w:kern w:val="0"/>
                <w:sz w:val="20"/>
                <w:szCs w:val="20"/>
              </w:rPr>
              <w:br w:type="textWrapping"/>
            </w:r>
            <w:r>
              <w:rPr>
                <w:rFonts w:hint="eastAsia" w:ascii="宋体" w:hAnsi="宋体" w:cs="宋体"/>
                <w:kern w:val="0"/>
                <w:sz w:val="20"/>
                <w:szCs w:val="20"/>
              </w:rPr>
              <w:t>指</w:t>
            </w:r>
            <w:r>
              <w:rPr>
                <w:rFonts w:ascii="宋体"/>
                <w:kern w:val="0"/>
                <w:sz w:val="20"/>
                <w:szCs w:val="20"/>
              </w:rPr>
              <w:br w:type="textWrapping"/>
            </w:r>
            <w:r>
              <w:rPr>
                <w:rFonts w:hint="eastAsia" w:ascii="宋体" w:hAnsi="宋体" w:cs="宋体"/>
                <w:kern w:val="0"/>
                <w:sz w:val="20"/>
                <w:szCs w:val="20"/>
              </w:rPr>
              <w:t>标</w:t>
            </w:r>
            <w:r>
              <w:rPr>
                <w:rFonts w:ascii="宋体" w:hAnsi="宋体" w:cs="宋体"/>
                <w:kern w:val="0"/>
                <w:sz w:val="20"/>
                <w:szCs w:val="20"/>
              </w:rPr>
              <w:t xml:space="preserve">                                                                                                                         (50</w:t>
            </w:r>
            <w:r>
              <w:rPr>
                <w:rFonts w:hint="eastAsia" w:ascii="宋体" w:hAnsi="宋体" w:cs="宋体"/>
                <w:kern w:val="0"/>
                <w:sz w:val="20"/>
                <w:szCs w:val="20"/>
              </w:rPr>
              <w:t>分</w:t>
            </w:r>
            <w:r>
              <w:rPr>
                <w:rFonts w:ascii="宋体" w:hAnsi="宋体" w:cs="宋体"/>
                <w:kern w:val="0"/>
                <w:sz w:val="20"/>
                <w:szCs w:val="20"/>
              </w:rPr>
              <w:t>)</w:t>
            </w: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数量指标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委托中介评审预结算完成项目（个）</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20</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380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20</w:t>
            </w:r>
          </w:p>
        </w:tc>
        <w:tc>
          <w:tcPr>
            <w:tcW w:w="2030" w:type="dxa"/>
            <w:gridSpan w:val="3"/>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1"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30"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质量指标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中介完成项目的平均核减率</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5%</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5.30%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时效指标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各项工作年内完成</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月底前</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月底</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8</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78"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成本指标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预算控制率</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100%</w:t>
            </w:r>
            <w:r>
              <w:rPr>
                <w:rFonts w:hint="eastAsia" w:ascii="宋体" w:hAnsi="宋体" w:cs="宋体"/>
                <w:color w:val="000000"/>
                <w:kern w:val="0"/>
                <w:sz w:val="20"/>
                <w:szCs w:val="20"/>
              </w:rPr>
              <w:t>以内</w:t>
            </w:r>
          </w:p>
        </w:tc>
        <w:tc>
          <w:tcPr>
            <w:tcW w:w="13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78"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效</w:t>
            </w:r>
            <w:r>
              <w:rPr>
                <w:rFonts w:ascii="宋体"/>
                <w:kern w:val="0"/>
                <w:sz w:val="20"/>
                <w:szCs w:val="20"/>
              </w:rPr>
              <w:br w:type="textWrapping"/>
            </w:r>
            <w:r>
              <w:rPr>
                <w:rFonts w:hint="eastAsia" w:ascii="宋体" w:hAnsi="宋体" w:cs="宋体"/>
                <w:kern w:val="0"/>
                <w:sz w:val="20"/>
                <w:szCs w:val="20"/>
              </w:rPr>
              <w:t>益</w:t>
            </w:r>
            <w:r>
              <w:rPr>
                <w:rFonts w:ascii="宋体"/>
                <w:kern w:val="0"/>
                <w:sz w:val="20"/>
                <w:szCs w:val="20"/>
              </w:rPr>
              <w:br w:type="textWrapping"/>
            </w:r>
            <w:r>
              <w:rPr>
                <w:rFonts w:hint="eastAsia" w:ascii="宋体" w:hAnsi="宋体" w:cs="宋体"/>
                <w:kern w:val="0"/>
                <w:sz w:val="20"/>
                <w:szCs w:val="20"/>
              </w:rPr>
              <w:t>指</w:t>
            </w:r>
            <w:r>
              <w:rPr>
                <w:rFonts w:ascii="宋体"/>
                <w:kern w:val="0"/>
                <w:sz w:val="20"/>
                <w:szCs w:val="20"/>
              </w:rPr>
              <w:br w:type="textWrapping"/>
            </w:r>
            <w:r>
              <w:rPr>
                <w:rFonts w:hint="eastAsia" w:ascii="宋体" w:hAnsi="宋体" w:cs="宋体"/>
                <w:kern w:val="0"/>
                <w:sz w:val="20"/>
                <w:szCs w:val="20"/>
              </w:rPr>
              <w:t>标</w:t>
            </w:r>
            <w:r>
              <w:rPr>
                <w:rFonts w:ascii="宋体" w:hAnsi="宋体" w:cs="宋体"/>
                <w:kern w:val="0"/>
                <w:sz w:val="20"/>
                <w:szCs w:val="20"/>
              </w:rPr>
              <w:t xml:space="preserve">                                                                                                                           (30</w:t>
            </w:r>
            <w:r>
              <w:rPr>
                <w:rFonts w:hint="eastAsia" w:ascii="宋体" w:hAnsi="宋体" w:cs="宋体"/>
                <w:kern w:val="0"/>
                <w:sz w:val="20"/>
                <w:szCs w:val="20"/>
              </w:rPr>
              <w:t>分</w:t>
            </w:r>
            <w:r>
              <w:rPr>
                <w:rFonts w:ascii="宋体" w:hAnsi="宋体" w:cs="宋体"/>
                <w:kern w:val="0"/>
                <w:sz w:val="20"/>
                <w:szCs w:val="20"/>
              </w:rPr>
              <w:t>)</w:t>
            </w: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经济效益</w:t>
            </w:r>
            <w:r>
              <w:rPr>
                <w:rFonts w:ascii="宋体"/>
                <w:kern w:val="0"/>
                <w:sz w:val="20"/>
                <w:szCs w:val="20"/>
              </w:rPr>
              <w:br w:type="textWrapping"/>
            </w:r>
            <w:r>
              <w:rPr>
                <w:rFonts w:hint="eastAsia" w:ascii="宋体" w:hAnsi="宋体" w:cs="宋体"/>
                <w:kern w:val="0"/>
                <w:sz w:val="20"/>
                <w:szCs w:val="20"/>
              </w:rPr>
              <w:t>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6"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社会效益</w:t>
            </w:r>
            <w:r>
              <w:rPr>
                <w:rFonts w:ascii="宋体"/>
                <w:kern w:val="0"/>
                <w:sz w:val="20"/>
                <w:szCs w:val="20"/>
              </w:rPr>
              <w:br w:type="textWrapping"/>
            </w:r>
            <w:r>
              <w:rPr>
                <w:rFonts w:hint="eastAsia" w:ascii="宋体" w:hAnsi="宋体" w:cs="宋体"/>
                <w:kern w:val="0"/>
                <w:sz w:val="20"/>
                <w:szCs w:val="20"/>
              </w:rPr>
              <w:t>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提高财政资金使用效益，促进经济社会发展</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优</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优</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28</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3"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生态效益</w:t>
            </w:r>
            <w:r>
              <w:rPr>
                <w:rFonts w:ascii="宋体"/>
                <w:kern w:val="0"/>
                <w:sz w:val="20"/>
                <w:szCs w:val="20"/>
              </w:rPr>
              <w:br w:type="textWrapping"/>
            </w:r>
            <w:r>
              <w:rPr>
                <w:rFonts w:hint="eastAsia" w:ascii="宋体" w:hAnsi="宋体" w:cs="宋体"/>
                <w:kern w:val="0"/>
                <w:sz w:val="20"/>
                <w:szCs w:val="20"/>
              </w:rPr>
              <w:t>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9"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可持续影响指标</w:t>
            </w:r>
          </w:p>
        </w:tc>
        <w:tc>
          <w:tcPr>
            <w:tcW w:w="17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40"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满意度指标（</w:t>
            </w:r>
            <w:r>
              <w:rPr>
                <w:rFonts w:ascii="宋体" w:hAnsi="宋体" w:cs="宋体"/>
                <w:kern w:val="0"/>
                <w:sz w:val="18"/>
                <w:szCs w:val="18"/>
              </w:rPr>
              <w:t>10</w:t>
            </w:r>
            <w:r>
              <w:rPr>
                <w:rFonts w:hint="eastAsia" w:ascii="宋体" w:hAnsi="宋体" w:cs="宋体"/>
                <w:kern w:val="0"/>
                <w:sz w:val="18"/>
                <w:szCs w:val="18"/>
              </w:rPr>
              <w:t>分）</w:t>
            </w:r>
          </w:p>
        </w:tc>
        <w:tc>
          <w:tcPr>
            <w:tcW w:w="7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服务对象满意度指标</w:t>
            </w:r>
          </w:p>
        </w:tc>
        <w:tc>
          <w:tcPr>
            <w:tcW w:w="17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项目建设单位满意度</w:t>
            </w:r>
          </w:p>
        </w:tc>
        <w:tc>
          <w:tcPr>
            <w:tcW w:w="41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90%</w:t>
            </w:r>
          </w:p>
        </w:tc>
        <w:tc>
          <w:tcPr>
            <w:tcW w:w="13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90%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8</w:t>
            </w:r>
          </w:p>
        </w:tc>
        <w:tc>
          <w:tcPr>
            <w:tcW w:w="2030"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7"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3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535" w:hRule="atLeast"/>
          <w:jc w:val="center"/>
        </w:trPr>
        <w:tc>
          <w:tcPr>
            <w:tcW w:w="254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b/>
                <w:bCs/>
                <w:kern w:val="0"/>
                <w:sz w:val="18"/>
                <w:szCs w:val="18"/>
              </w:rPr>
            </w:pPr>
            <w:r>
              <w:rPr>
                <w:rFonts w:hint="eastAsia" w:ascii="宋体" w:hAnsi="宋体" w:cs="宋体"/>
                <w:b/>
                <w:bCs/>
                <w:kern w:val="0"/>
                <w:sz w:val="18"/>
                <w:szCs w:val="18"/>
              </w:rPr>
              <w:t>绩效目标执行情况得分</w:t>
            </w:r>
          </w:p>
        </w:tc>
        <w:tc>
          <w:tcPr>
            <w:tcW w:w="17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94</w:t>
            </w:r>
          </w:p>
        </w:tc>
        <w:tc>
          <w:tcPr>
            <w:tcW w:w="5708" w:type="dxa"/>
            <w:gridSpan w:val="7"/>
            <w:tcBorders>
              <w:top w:val="nil"/>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绩效自评得分</w:t>
            </w:r>
            <w:r>
              <w:rPr>
                <w:rFonts w:ascii="宋体" w:hAnsi="宋体" w:cs="宋体"/>
                <w:color w:val="000000"/>
                <w:kern w:val="0"/>
                <w:sz w:val="20"/>
                <w:szCs w:val="20"/>
              </w:rPr>
              <w:t>=</w:t>
            </w:r>
            <w:r>
              <w:rPr>
                <w:rFonts w:hint="eastAsia" w:ascii="宋体" w:hAnsi="宋体" w:cs="宋体"/>
                <w:color w:val="000000"/>
                <w:kern w:val="0"/>
                <w:sz w:val="20"/>
                <w:szCs w:val="20"/>
              </w:rPr>
              <w:t>项目资金执行情况得分</w:t>
            </w:r>
            <w:r>
              <w:rPr>
                <w:rFonts w:ascii="宋体" w:hAnsi="宋体" w:cs="宋体"/>
                <w:color w:val="000000"/>
                <w:kern w:val="0"/>
                <w:sz w:val="20"/>
                <w:szCs w:val="20"/>
              </w:rPr>
              <w:t>+</w:t>
            </w:r>
            <w:r>
              <w:rPr>
                <w:rFonts w:hint="eastAsia" w:ascii="宋体" w:hAnsi="宋体" w:cs="宋体"/>
                <w:color w:val="000000"/>
                <w:kern w:val="0"/>
                <w:sz w:val="20"/>
                <w:szCs w:val="20"/>
              </w:rPr>
              <w:t>年度绩效指标得分</w:t>
            </w:r>
          </w:p>
        </w:tc>
      </w:tr>
      <w:tr>
        <w:tblPrEx>
          <w:tblCellMar>
            <w:top w:w="0" w:type="dxa"/>
            <w:left w:w="108" w:type="dxa"/>
            <w:bottom w:w="0" w:type="dxa"/>
            <w:right w:w="108" w:type="dxa"/>
          </w:tblCellMar>
        </w:tblPrEx>
        <w:trPr>
          <w:trHeight w:val="535" w:hRule="atLeast"/>
          <w:jc w:val="center"/>
        </w:trPr>
        <w:tc>
          <w:tcPr>
            <w:tcW w:w="2541" w:type="dxa"/>
            <w:gridSpan w:val="3"/>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绩效自评总分</w:t>
            </w:r>
          </w:p>
        </w:tc>
        <w:tc>
          <w:tcPr>
            <w:tcW w:w="17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92.2</w:t>
            </w:r>
          </w:p>
        </w:tc>
        <w:tc>
          <w:tcPr>
            <w:tcW w:w="183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其中：绩效目标执行情况得分</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绩效目标评分</w:t>
            </w:r>
          </w:p>
        </w:tc>
        <w:tc>
          <w:tcPr>
            <w:tcW w:w="2561" w:type="dxa"/>
            <w:gridSpan w:val="4"/>
            <w:vMerge w:val="restart"/>
            <w:tcBorders>
              <w:top w:val="nil"/>
              <w:left w:val="nil"/>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绩效自评总分</w:t>
            </w:r>
            <w:r>
              <w:rPr>
                <w:rFonts w:ascii="宋体" w:hAnsi="宋体" w:cs="宋体"/>
                <w:color w:val="000000"/>
                <w:kern w:val="0"/>
                <w:sz w:val="20"/>
                <w:szCs w:val="20"/>
              </w:rPr>
              <w:t xml:space="preserve">= </w:t>
            </w:r>
            <w:r>
              <w:rPr>
                <w:rFonts w:hint="eastAsia" w:ascii="宋体" w:hAnsi="宋体" w:cs="宋体"/>
                <w:color w:val="000000"/>
                <w:kern w:val="0"/>
                <w:sz w:val="20"/>
                <w:szCs w:val="20"/>
              </w:rPr>
              <w:t>绩效目标执行情况得分</w:t>
            </w:r>
            <w:r>
              <w:rPr>
                <w:rFonts w:ascii="宋体" w:hAnsi="宋体" w:cs="宋体"/>
                <w:color w:val="000000"/>
                <w:kern w:val="0"/>
                <w:sz w:val="20"/>
                <w:szCs w:val="20"/>
              </w:rPr>
              <w:t>*70%+</w:t>
            </w:r>
            <w:r>
              <w:rPr>
                <w:rFonts w:hint="eastAsia" w:ascii="宋体" w:hAnsi="宋体" w:cs="宋体"/>
                <w:color w:val="000000"/>
                <w:kern w:val="0"/>
                <w:sz w:val="20"/>
                <w:szCs w:val="20"/>
              </w:rPr>
              <w:t>绩效目标评分</w:t>
            </w:r>
            <w:r>
              <w:rPr>
                <w:rFonts w:ascii="宋体" w:hAnsi="宋体" w:cs="宋体"/>
                <w:color w:val="000000"/>
                <w:kern w:val="0"/>
                <w:sz w:val="20"/>
                <w:szCs w:val="20"/>
              </w:rPr>
              <w:t>*30%</w:t>
            </w:r>
          </w:p>
        </w:tc>
      </w:tr>
      <w:tr>
        <w:tblPrEx>
          <w:tblCellMar>
            <w:top w:w="0" w:type="dxa"/>
            <w:left w:w="108" w:type="dxa"/>
            <w:bottom w:w="0" w:type="dxa"/>
            <w:right w:w="108" w:type="dxa"/>
          </w:tblCellMar>
        </w:tblPrEx>
        <w:trPr>
          <w:trHeight w:val="472" w:hRule="atLeast"/>
          <w:jc w:val="center"/>
        </w:trPr>
        <w:tc>
          <w:tcPr>
            <w:tcW w:w="254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b/>
                <w:bCs/>
                <w:color w:val="000000"/>
                <w:kern w:val="0"/>
                <w:sz w:val="18"/>
                <w:szCs w:val="18"/>
              </w:rPr>
            </w:pPr>
          </w:p>
        </w:tc>
        <w:tc>
          <w:tcPr>
            <w:tcW w:w="17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83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94</w:t>
            </w:r>
          </w:p>
        </w:tc>
        <w:tc>
          <w:tcPr>
            <w:tcW w:w="1316" w:type="dxa"/>
            <w:tcBorders>
              <w:top w:val="nil"/>
              <w:left w:val="nil"/>
              <w:bottom w:val="single" w:color="auto" w:sz="4" w:space="0"/>
              <w:right w:val="single" w:color="auto" w:sz="4" w:space="0"/>
            </w:tcBorders>
            <w:noWrap/>
            <w:vAlign w:val="center"/>
          </w:tcPr>
          <w:p>
            <w:pPr>
              <w:widowControl/>
              <w:jc w:val="right"/>
              <w:rPr>
                <w:rFonts w:ascii="宋体"/>
                <w:color w:val="000000"/>
                <w:kern w:val="0"/>
                <w:sz w:val="20"/>
                <w:szCs w:val="20"/>
              </w:rPr>
            </w:pPr>
            <w:r>
              <w:rPr>
                <w:rFonts w:ascii="宋体" w:hAnsi="宋体" w:cs="宋体"/>
                <w:color w:val="000000"/>
                <w:kern w:val="0"/>
                <w:sz w:val="20"/>
                <w:szCs w:val="20"/>
              </w:rPr>
              <w:t>88</w:t>
            </w:r>
          </w:p>
        </w:tc>
        <w:tc>
          <w:tcPr>
            <w:tcW w:w="2561" w:type="dxa"/>
            <w:gridSpan w:val="4"/>
            <w:vMerge w:val="continue"/>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456" w:hRule="atLeast"/>
          <w:jc w:val="center"/>
        </w:trPr>
        <w:tc>
          <w:tcPr>
            <w:tcW w:w="851" w:type="dxa"/>
            <w:tcBorders>
              <w:top w:val="nil"/>
              <w:left w:val="nil"/>
              <w:bottom w:val="nil"/>
              <w:right w:val="nil"/>
            </w:tcBorders>
            <w:noWrap/>
            <w:vAlign w:val="center"/>
          </w:tcPr>
          <w:p>
            <w:pPr>
              <w:widowControl/>
              <w:jc w:val="center"/>
              <w:rPr>
                <w:rFonts w:ascii="宋体"/>
                <w:b/>
                <w:bCs/>
                <w:color w:val="000000"/>
                <w:kern w:val="0"/>
                <w:sz w:val="24"/>
                <w:szCs w:val="24"/>
              </w:rPr>
            </w:pPr>
          </w:p>
        </w:tc>
        <w:tc>
          <w:tcPr>
            <w:tcW w:w="3837" w:type="dxa"/>
            <w:gridSpan w:val="4"/>
            <w:tcBorders>
              <w:top w:val="nil"/>
              <w:left w:val="nil"/>
              <w:bottom w:val="nil"/>
              <w:right w:val="nil"/>
            </w:tcBorders>
            <w:noWrap/>
            <w:vAlign w:val="center"/>
          </w:tcPr>
          <w:p>
            <w:pPr>
              <w:widowControl/>
              <w:jc w:val="left"/>
              <w:rPr>
                <w:rFonts w:ascii="宋体"/>
                <w:color w:val="000000"/>
                <w:kern w:val="0"/>
                <w:sz w:val="18"/>
                <w:szCs w:val="18"/>
              </w:rPr>
            </w:pPr>
            <w:r>
              <w:rPr>
                <w:rFonts w:hint="eastAsia" w:ascii="宋体" w:hAnsi="宋体" w:cs="宋体"/>
                <w:color w:val="000000"/>
                <w:kern w:val="0"/>
                <w:sz w:val="18"/>
                <w:szCs w:val="18"/>
              </w:rPr>
              <w:t>填报人：</w:t>
            </w:r>
          </w:p>
        </w:tc>
        <w:tc>
          <w:tcPr>
            <w:tcW w:w="4018" w:type="dxa"/>
            <w:gridSpan w:val="4"/>
            <w:tcBorders>
              <w:top w:val="nil"/>
              <w:left w:val="nil"/>
              <w:bottom w:val="nil"/>
              <w:right w:val="nil"/>
            </w:tcBorders>
            <w:noWrap/>
            <w:vAlign w:val="center"/>
          </w:tcPr>
          <w:p>
            <w:pPr>
              <w:widowControl/>
              <w:jc w:val="left"/>
              <w:rPr>
                <w:rFonts w:ascii="宋体"/>
                <w:color w:val="000000"/>
                <w:kern w:val="0"/>
                <w:sz w:val="18"/>
                <w:szCs w:val="18"/>
              </w:rPr>
            </w:pPr>
            <w:r>
              <w:rPr>
                <w:rFonts w:hint="eastAsia" w:ascii="宋体" w:hAnsi="宋体" w:cs="宋体"/>
                <w:color w:val="000000"/>
                <w:kern w:val="0"/>
                <w:sz w:val="18"/>
                <w:szCs w:val="18"/>
              </w:rPr>
              <w:t>联系电话：</w:t>
            </w:r>
          </w:p>
        </w:tc>
        <w:tc>
          <w:tcPr>
            <w:tcW w:w="429" w:type="dxa"/>
            <w:tcBorders>
              <w:top w:val="nil"/>
              <w:left w:val="nil"/>
              <w:bottom w:val="nil"/>
              <w:right w:val="nil"/>
            </w:tcBorders>
            <w:noWrap/>
            <w:vAlign w:val="center"/>
          </w:tcPr>
          <w:p>
            <w:pPr>
              <w:widowControl/>
              <w:jc w:val="left"/>
              <w:rPr>
                <w:rFonts w:ascii="宋体"/>
                <w:color w:val="000000"/>
                <w:kern w:val="0"/>
                <w:sz w:val="22"/>
              </w:rPr>
            </w:pPr>
          </w:p>
        </w:tc>
        <w:tc>
          <w:tcPr>
            <w:tcW w:w="845" w:type="dxa"/>
            <w:tcBorders>
              <w:top w:val="nil"/>
              <w:left w:val="nil"/>
              <w:bottom w:val="nil"/>
              <w:right w:val="nil"/>
            </w:tcBorders>
            <w:noWrap/>
            <w:vAlign w:val="center"/>
          </w:tcPr>
          <w:p>
            <w:pPr>
              <w:widowControl/>
              <w:jc w:val="left"/>
              <w:rPr>
                <w:rFonts w:ascii="宋体"/>
                <w:color w:val="000000"/>
                <w:kern w:val="0"/>
                <w:sz w:val="24"/>
                <w:szCs w:val="24"/>
              </w:rPr>
            </w:pPr>
          </w:p>
        </w:tc>
      </w:tr>
      <w:tr>
        <w:tblPrEx>
          <w:tblCellMar>
            <w:top w:w="0" w:type="dxa"/>
            <w:left w:w="108" w:type="dxa"/>
            <w:bottom w:w="0" w:type="dxa"/>
            <w:right w:w="108" w:type="dxa"/>
          </w:tblCellMar>
        </w:tblPrEx>
        <w:trPr>
          <w:trHeight w:val="440" w:hRule="atLeast"/>
          <w:jc w:val="center"/>
        </w:trPr>
        <w:tc>
          <w:tcPr>
            <w:tcW w:w="9980" w:type="dxa"/>
            <w:gridSpan w:val="11"/>
            <w:tcBorders>
              <w:top w:val="nil"/>
              <w:left w:val="nil"/>
              <w:bottom w:val="nil"/>
              <w:right w:val="nil"/>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注：</w:t>
            </w:r>
            <w:r>
              <w:rPr>
                <w:rFonts w:ascii="宋体" w:hAnsi="宋体" w:cs="宋体"/>
                <w:color w:val="000000"/>
                <w:kern w:val="0"/>
                <w:sz w:val="20"/>
                <w:szCs w:val="20"/>
              </w:rPr>
              <w:t>1.</w:t>
            </w:r>
            <w:r>
              <w:rPr>
                <w:rFonts w:hint="eastAsia" w:ascii="宋体" w:hAnsi="宋体" w:cs="宋体"/>
                <w:color w:val="000000"/>
                <w:kern w:val="0"/>
                <w:sz w:val="20"/>
                <w:szCs w:val="20"/>
              </w:rPr>
              <w:t>得分一档最高不能超过该指标分值上限；</w:t>
            </w:r>
            <w:r>
              <w:rPr>
                <w:rFonts w:ascii="宋体" w:hAnsi="宋体" w:cs="宋体"/>
                <w:color w:val="000000"/>
                <w:kern w:val="0"/>
                <w:sz w:val="20"/>
                <w:szCs w:val="20"/>
              </w:rPr>
              <w:t>2019</w:t>
            </w:r>
            <w:r>
              <w:rPr>
                <w:rFonts w:hint="eastAsia" w:ascii="宋体" w:hAnsi="宋体" w:cs="宋体"/>
                <w:color w:val="000000"/>
                <w:kern w:val="0"/>
                <w:sz w:val="20"/>
                <w:szCs w:val="20"/>
              </w:rPr>
              <w:t>年度项目支出绩效目标得分详见附件</w:t>
            </w: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581" w:hRule="atLeast"/>
          <w:jc w:val="center"/>
        </w:trPr>
        <w:tc>
          <w:tcPr>
            <w:tcW w:w="9980" w:type="dxa"/>
            <w:gridSpan w:val="11"/>
            <w:tcBorders>
              <w:top w:val="nil"/>
              <w:left w:val="nil"/>
              <w:bottom w:val="nil"/>
              <w:right w:val="nil"/>
            </w:tcBorders>
            <w:vAlign w:val="center"/>
          </w:tcPr>
          <w:p>
            <w:pPr>
              <w:widowControl/>
              <w:jc w:val="left"/>
              <w:rPr>
                <w:rFonts w:ascii="宋体"/>
                <w:color w:val="000000"/>
                <w:kern w:val="0"/>
                <w:sz w:val="20"/>
                <w:szCs w:val="20"/>
              </w:rPr>
            </w:pPr>
            <w:r>
              <w:rPr>
                <w:rFonts w:ascii="宋体" w:hAnsi="宋体" w:cs="宋体"/>
                <w:color w:val="000000"/>
                <w:kern w:val="0"/>
                <w:sz w:val="20"/>
                <w:szCs w:val="20"/>
              </w:rPr>
              <w:t xml:space="preserve">    2.</w:t>
            </w:r>
            <w:r>
              <w:rPr>
                <w:rFonts w:hint="eastAsia" w:ascii="宋体" w:hAnsi="宋体" w:cs="宋体"/>
                <w:color w:val="000000"/>
                <w:kern w:val="0"/>
                <w:sz w:val="20"/>
                <w:szCs w:val="20"/>
              </w:rPr>
              <w:t>定性指标根据指标完成情况分为：达成预期指标、部分达成预期指标并具有一定效果、未达成预期指标且效果较差三档，分别按照该指标对应分值区间</w:t>
            </w:r>
            <w:r>
              <w:rPr>
                <w:rFonts w:ascii="宋体" w:hAnsi="宋体" w:cs="宋体"/>
                <w:color w:val="000000"/>
                <w:kern w:val="0"/>
                <w:sz w:val="20"/>
                <w:szCs w:val="20"/>
              </w:rPr>
              <w:t>100-80%(</w:t>
            </w:r>
            <w:r>
              <w:rPr>
                <w:rFonts w:hint="eastAsia" w:ascii="宋体" w:hAnsi="宋体" w:cs="宋体"/>
                <w:color w:val="000000"/>
                <w:kern w:val="0"/>
                <w:sz w:val="20"/>
                <w:szCs w:val="20"/>
              </w:rPr>
              <w:t>含</w:t>
            </w:r>
            <w:r>
              <w:rPr>
                <w:rFonts w:ascii="宋体" w:hAnsi="宋体" w:cs="宋体"/>
                <w:color w:val="000000"/>
                <w:kern w:val="0"/>
                <w:sz w:val="20"/>
                <w:szCs w:val="20"/>
              </w:rPr>
              <w:t>80%)</w:t>
            </w:r>
            <w:r>
              <w:rPr>
                <w:rFonts w:hint="eastAsia" w:ascii="宋体" w:hAnsi="宋体" w:cs="宋体"/>
                <w:color w:val="000000"/>
                <w:kern w:val="0"/>
                <w:sz w:val="20"/>
                <w:szCs w:val="20"/>
              </w:rPr>
              <w:t>、</w:t>
            </w:r>
            <w:r>
              <w:rPr>
                <w:rFonts w:ascii="宋体" w:hAnsi="宋体" w:cs="宋体"/>
                <w:color w:val="000000"/>
                <w:kern w:val="0"/>
                <w:sz w:val="20"/>
                <w:szCs w:val="20"/>
              </w:rPr>
              <w:t>80-50%(</w:t>
            </w:r>
            <w:r>
              <w:rPr>
                <w:rFonts w:hint="eastAsia" w:ascii="宋体" w:hAnsi="宋体" w:cs="宋体"/>
                <w:color w:val="000000"/>
                <w:kern w:val="0"/>
                <w:sz w:val="20"/>
                <w:szCs w:val="20"/>
              </w:rPr>
              <w:t>含</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50-0%</w:t>
            </w:r>
            <w:r>
              <w:rPr>
                <w:rFonts w:hint="eastAsia" w:ascii="宋体" w:hAnsi="宋体" w:cs="宋体"/>
                <w:color w:val="000000"/>
                <w:kern w:val="0"/>
                <w:sz w:val="20"/>
                <w:szCs w:val="20"/>
              </w:rPr>
              <w:t>合理确定分值。</w:t>
            </w:r>
          </w:p>
        </w:tc>
      </w:tr>
      <w:tr>
        <w:tblPrEx>
          <w:tblCellMar>
            <w:top w:w="0" w:type="dxa"/>
            <w:left w:w="108" w:type="dxa"/>
            <w:bottom w:w="0" w:type="dxa"/>
            <w:right w:w="108" w:type="dxa"/>
          </w:tblCellMar>
        </w:tblPrEx>
        <w:trPr>
          <w:trHeight w:val="518" w:hRule="atLeast"/>
          <w:jc w:val="center"/>
        </w:trPr>
        <w:tc>
          <w:tcPr>
            <w:tcW w:w="9980" w:type="dxa"/>
            <w:gridSpan w:val="11"/>
            <w:tcBorders>
              <w:top w:val="nil"/>
              <w:left w:val="nil"/>
              <w:bottom w:val="nil"/>
              <w:right w:val="nil"/>
            </w:tcBorders>
            <w:noWrap/>
            <w:vAlign w:val="center"/>
          </w:tcPr>
          <w:p>
            <w:pPr>
              <w:widowControl/>
              <w:jc w:val="left"/>
              <w:rPr>
                <w:rFonts w:ascii="宋体"/>
                <w:color w:val="000000"/>
                <w:kern w:val="0"/>
                <w:sz w:val="20"/>
                <w:szCs w:val="20"/>
              </w:rPr>
            </w:pPr>
            <w:r>
              <w:rPr>
                <w:rFonts w:ascii="宋体" w:hAnsi="宋体" w:cs="宋体"/>
                <w:color w:val="000000"/>
                <w:kern w:val="0"/>
                <w:sz w:val="20"/>
                <w:szCs w:val="20"/>
              </w:rPr>
              <w:t xml:space="preserve">    3.</w:t>
            </w:r>
            <w:r>
              <w:rPr>
                <w:rFonts w:hint="eastAsia" w:ascii="宋体" w:hAnsi="宋体" w:cs="宋体"/>
                <w:color w:val="000000"/>
                <w:kern w:val="0"/>
                <w:sz w:val="20"/>
                <w:szCs w:val="20"/>
              </w:rPr>
              <w:t>请在“未完成原因分析”中说明偏离目标、不能完成目标的原因及拟采取的措施。若内容过多可以另附说明。</w:t>
            </w:r>
          </w:p>
        </w:tc>
      </w:tr>
    </w:tbl>
    <w:p>
      <w:pPr>
        <w:autoSpaceDE w:val="0"/>
        <w:autoSpaceDN w:val="0"/>
        <w:adjustRightInd w:val="0"/>
        <w:spacing w:line="580" w:lineRule="exact"/>
        <w:ind w:firstLine="640" w:firstLineChars="200"/>
        <w:jc w:val="left"/>
        <w:rPr>
          <w:rFonts w:ascii="仿宋_GB2312"/>
          <w:color w:val="000000"/>
          <w:sz w:val="32"/>
          <w:szCs w:val="32"/>
        </w:rPr>
      </w:pPr>
    </w:p>
    <w:p>
      <w:pPr>
        <w:autoSpaceDE w:val="0"/>
        <w:autoSpaceDN w:val="0"/>
        <w:adjustRightInd w:val="0"/>
        <w:spacing w:line="580" w:lineRule="exact"/>
        <w:jc w:val="left"/>
        <w:rPr>
          <w:rFonts w:ascii="仿宋_GB2312"/>
          <w:color w:val="000000"/>
          <w:sz w:val="32"/>
          <w:szCs w:val="32"/>
        </w:rPr>
      </w:pPr>
    </w:p>
    <w:tbl>
      <w:tblPr>
        <w:tblStyle w:val="5"/>
        <w:tblW w:w="9942" w:type="dxa"/>
        <w:jc w:val="center"/>
        <w:tblLayout w:type="autofit"/>
        <w:tblCellMar>
          <w:top w:w="0" w:type="dxa"/>
          <w:left w:w="108" w:type="dxa"/>
          <w:bottom w:w="0" w:type="dxa"/>
          <w:right w:w="108" w:type="dxa"/>
        </w:tblCellMar>
      </w:tblPr>
      <w:tblGrid>
        <w:gridCol w:w="712"/>
        <w:gridCol w:w="635"/>
        <w:gridCol w:w="809"/>
        <w:gridCol w:w="1487"/>
        <w:gridCol w:w="550"/>
        <w:gridCol w:w="1545"/>
        <w:gridCol w:w="1444"/>
        <w:gridCol w:w="531"/>
        <w:gridCol w:w="756"/>
        <w:gridCol w:w="448"/>
        <w:gridCol w:w="1025"/>
      </w:tblGrid>
      <w:tr>
        <w:tblPrEx>
          <w:tblCellMar>
            <w:top w:w="0" w:type="dxa"/>
            <w:left w:w="108" w:type="dxa"/>
            <w:bottom w:w="0" w:type="dxa"/>
            <w:right w:w="108" w:type="dxa"/>
          </w:tblCellMar>
        </w:tblPrEx>
        <w:trPr>
          <w:trHeight w:val="403" w:hRule="atLeast"/>
          <w:jc w:val="center"/>
        </w:trPr>
        <w:tc>
          <w:tcPr>
            <w:tcW w:w="9942" w:type="dxa"/>
            <w:gridSpan w:val="11"/>
            <w:tcBorders>
              <w:top w:val="nil"/>
              <w:left w:val="nil"/>
              <w:bottom w:val="nil"/>
              <w:right w:val="nil"/>
            </w:tcBorders>
            <w:vAlign w:val="center"/>
          </w:tcPr>
          <w:p>
            <w:pPr>
              <w:widowControl/>
              <w:jc w:val="center"/>
              <w:rPr>
                <w:rFonts w:ascii="宋体"/>
                <w:b/>
                <w:bCs/>
                <w:color w:val="000000"/>
                <w:kern w:val="0"/>
                <w:sz w:val="32"/>
                <w:szCs w:val="32"/>
              </w:rPr>
            </w:pPr>
            <w:r>
              <w:rPr>
                <w:rFonts w:ascii="宋体" w:hAnsi="宋体" w:cs="宋体"/>
                <w:b/>
                <w:bCs/>
                <w:color w:val="000000"/>
                <w:kern w:val="0"/>
                <w:sz w:val="32"/>
                <w:szCs w:val="32"/>
              </w:rPr>
              <w:t>2020</w:t>
            </w:r>
            <w:r>
              <w:rPr>
                <w:rFonts w:hint="eastAsia" w:ascii="宋体" w:hAnsi="宋体" w:cs="宋体"/>
                <w:b/>
                <w:bCs/>
                <w:color w:val="000000"/>
                <w:kern w:val="0"/>
                <w:sz w:val="32"/>
                <w:szCs w:val="32"/>
              </w:rPr>
              <w:t>年度柳州市本级预算项目支出绩效自评表</w:t>
            </w:r>
          </w:p>
        </w:tc>
      </w:tr>
      <w:tr>
        <w:tblPrEx>
          <w:tblCellMar>
            <w:top w:w="0" w:type="dxa"/>
            <w:left w:w="108" w:type="dxa"/>
            <w:bottom w:w="0" w:type="dxa"/>
            <w:right w:w="108" w:type="dxa"/>
          </w:tblCellMar>
        </w:tblPrEx>
        <w:trPr>
          <w:trHeight w:val="537" w:hRule="atLeast"/>
          <w:jc w:val="center"/>
        </w:trPr>
        <w:tc>
          <w:tcPr>
            <w:tcW w:w="4193" w:type="dxa"/>
            <w:gridSpan w:val="5"/>
            <w:tcBorders>
              <w:top w:val="nil"/>
              <w:left w:val="nil"/>
              <w:bottom w:val="single" w:color="auto" w:sz="4" w:space="0"/>
              <w:right w:val="nil"/>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单位（盖章）：柳州市财政投资评审中心</w:t>
            </w:r>
          </w:p>
        </w:tc>
        <w:tc>
          <w:tcPr>
            <w:tcW w:w="1545"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444"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531"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448"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025" w:type="dxa"/>
            <w:tcBorders>
              <w:top w:val="nil"/>
              <w:left w:val="nil"/>
              <w:bottom w:val="single" w:color="auto" w:sz="4" w:space="0"/>
              <w:right w:val="nil"/>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98" w:hRule="atLeast"/>
          <w:jc w:val="center"/>
        </w:trPr>
        <w:tc>
          <w:tcPr>
            <w:tcW w:w="2156"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项目名称</w:t>
            </w:r>
          </w:p>
        </w:tc>
        <w:tc>
          <w:tcPr>
            <w:tcW w:w="7786" w:type="dxa"/>
            <w:gridSpan w:val="8"/>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0"/>
                <w:szCs w:val="20"/>
              </w:rPr>
            </w:pPr>
            <w:r>
              <w:rPr>
                <w:rFonts w:ascii="宋体" w:hAnsi="宋体" w:cs="宋体"/>
                <w:color w:val="000000"/>
                <w:kern w:val="0"/>
                <w:sz w:val="20"/>
                <w:szCs w:val="20"/>
              </w:rPr>
              <w:t>PPP</w:t>
            </w:r>
            <w:r>
              <w:rPr>
                <w:rFonts w:hint="eastAsia" w:ascii="宋体" w:hAnsi="宋体" w:cs="宋体"/>
                <w:color w:val="000000"/>
                <w:kern w:val="0"/>
                <w:sz w:val="20"/>
                <w:szCs w:val="20"/>
              </w:rPr>
              <w:t>项目、信息化项目、财务竣工决算项目等委托评审经费</w:t>
            </w:r>
          </w:p>
        </w:tc>
      </w:tr>
      <w:tr>
        <w:tblPrEx>
          <w:tblCellMar>
            <w:top w:w="0" w:type="dxa"/>
            <w:left w:w="108" w:type="dxa"/>
            <w:bottom w:w="0" w:type="dxa"/>
            <w:right w:w="108" w:type="dxa"/>
          </w:tblCellMar>
        </w:tblPrEx>
        <w:trPr>
          <w:trHeight w:val="298" w:hRule="atLeast"/>
          <w:jc w:val="center"/>
        </w:trPr>
        <w:tc>
          <w:tcPr>
            <w:tcW w:w="2156"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主管部门</w:t>
            </w:r>
          </w:p>
        </w:tc>
        <w:tc>
          <w:tcPr>
            <w:tcW w:w="3582"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柳州市财政局</w:t>
            </w:r>
          </w:p>
        </w:tc>
        <w:tc>
          <w:tcPr>
            <w:tcW w:w="4204"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项目实施单位及代码：</w:t>
            </w:r>
            <w:r>
              <w:rPr>
                <w:rFonts w:ascii="宋体" w:hAnsi="宋体" w:cs="宋体"/>
                <w:color w:val="000000"/>
                <w:kern w:val="0"/>
                <w:sz w:val="20"/>
                <w:szCs w:val="20"/>
              </w:rPr>
              <w:t>034238</w:t>
            </w:r>
          </w:p>
        </w:tc>
      </w:tr>
      <w:tr>
        <w:tblPrEx>
          <w:tblCellMar>
            <w:top w:w="0" w:type="dxa"/>
            <w:left w:w="108" w:type="dxa"/>
            <w:bottom w:w="0" w:type="dxa"/>
            <w:right w:w="108" w:type="dxa"/>
          </w:tblCellMar>
        </w:tblPrEx>
        <w:trPr>
          <w:trHeight w:val="507" w:hRule="atLeast"/>
          <w:jc w:val="center"/>
        </w:trPr>
        <w:tc>
          <w:tcPr>
            <w:tcW w:w="2156"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项目资金</w:t>
            </w:r>
            <w:r>
              <w:rPr>
                <w:rFonts w:ascii="宋体" w:hAnsi="宋体" w:cs="宋体"/>
                <w:color w:val="000000"/>
                <w:kern w:val="0"/>
                <w:sz w:val="20"/>
                <w:szCs w:val="20"/>
              </w:rPr>
              <w:t xml:space="preserve">                    </w:t>
            </w:r>
            <w:r>
              <w:rPr>
                <w:rFonts w:hint="eastAsia" w:ascii="宋体" w:hAnsi="宋体" w:cs="宋体"/>
                <w:color w:val="000000"/>
                <w:kern w:val="0"/>
                <w:sz w:val="20"/>
                <w:szCs w:val="20"/>
              </w:rPr>
              <w:t>（万元）</w:t>
            </w:r>
          </w:p>
        </w:tc>
        <w:tc>
          <w:tcPr>
            <w:tcW w:w="20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调整预算数（</w:t>
            </w:r>
            <w:r>
              <w:rPr>
                <w:rFonts w:ascii="宋体" w:hAnsi="宋体" w:cs="宋体"/>
                <w:color w:val="000000"/>
                <w:kern w:val="0"/>
                <w:sz w:val="18"/>
                <w:szCs w:val="18"/>
              </w:rPr>
              <w:t>A</w:t>
            </w:r>
            <w:r>
              <w:rPr>
                <w:rFonts w:hint="eastAsia" w:ascii="宋体" w:hAnsi="宋体" w:cs="宋体"/>
                <w:color w:val="000000"/>
                <w:kern w:val="0"/>
                <w:sz w:val="18"/>
                <w:szCs w:val="18"/>
              </w:rPr>
              <w:t>）</w:t>
            </w:r>
          </w:p>
        </w:tc>
        <w:tc>
          <w:tcPr>
            <w:tcW w:w="1444"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全年执行数（</w:t>
            </w:r>
            <w:r>
              <w:rPr>
                <w:rFonts w:ascii="宋体" w:hAnsi="宋体" w:cs="宋体"/>
                <w:color w:val="000000"/>
                <w:kern w:val="0"/>
                <w:sz w:val="18"/>
                <w:szCs w:val="18"/>
              </w:rPr>
              <w:t>B</w:t>
            </w:r>
            <w:r>
              <w:rPr>
                <w:rFonts w:hint="eastAsia" w:ascii="宋体" w:hAnsi="宋体" w:cs="宋体"/>
                <w:color w:val="000000"/>
                <w:kern w:val="0"/>
                <w:sz w:val="18"/>
                <w:szCs w:val="18"/>
              </w:rPr>
              <w:t>）</w:t>
            </w:r>
          </w:p>
        </w:tc>
        <w:tc>
          <w:tcPr>
            <w:tcW w:w="531"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分值</w:t>
            </w:r>
            <w:r>
              <w:rPr>
                <w:rFonts w:ascii="宋体" w:hAnsi="宋体" w:cs="宋体"/>
                <w:color w:val="000000"/>
                <w:kern w:val="0"/>
                <w:sz w:val="18"/>
                <w:szCs w:val="18"/>
              </w:rPr>
              <w:t>(10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756"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预算资金执行率（</w:t>
            </w:r>
            <w:r>
              <w:rPr>
                <w:rFonts w:ascii="宋体" w:hAnsi="宋体" w:cs="宋体"/>
                <w:color w:val="000000"/>
                <w:kern w:val="0"/>
                <w:sz w:val="18"/>
                <w:szCs w:val="18"/>
              </w:rPr>
              <w:t>B/A)</w:t>
            </w:r>
          </w:p>
        </w:tc>
        <w:tc>
          <w:tcPr>
            <w:tcW w:w="448"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得分</w:t>
            </w:r>
          </w:p>
        </w:tc>
        <w:tc>
          <w:tcPr>
            <w:tcW w:w="1025" w:type="dxa"/>
            <w:tcBorders>
              <w:top w:val="nil"/>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得分计算方法</w:t>
            </w:r>
          </w:p>
        </w:tc>
      </w:tr>
      <w:tr>
        <w:tblPrEx>
          <w:tblCellMar>
            <w:top w:w="0" w:type="dxa"/>
            <w:left w:w="108" w:type="dxa"/>
            <w:bottom w:w="0" w:type="dxa"/>
            <w:right w:w="108" w:type="dxa"/>
          </w:tblCellMar>
        </w:tblPrEx>
        <w:trPr>
          <w:trHeight w:val="298" w:hRule="atLeast"/>
          <w:jc w:val="center"/>
        </w:trPr>
        <w:tc>
          <w:tcPr>
            <w:tcW w:w="2156"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0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年度资金总额：</w:t>
            </w:r>
          </w:p>
        </w:tc>
        <w:tc>
          <w:tcPr>
            <w:tcW w:w="1545" w:type="dxa"/>
            <w:tcBorders>
              <w:top w:val="nil"/>
              <w:left w:val="nil"/>
              <w:bottom w:val="single" w:color="auto" w:sz="4" w:space="0"/>
              <w:right w:val="single" w:color="auto" w:sz="4" w:space="0"/>
            </w:tcBorders>
            <w:noWrap/>
            <w:vAlign w:val="center"/>
          </w:tcPr>
          <w:p>
            <w:pPr>
              <w:widowControl/>
              <w:jc w:val="right"/>
              <w:rPr>
                <w:rFonts w:ascii="宋体"/>
                <w:color w:val="000000"/>
                <w:kern w:val="0"/>
                <w:sz w:val="20"/>
                <w:szCs w:val="20"/>
              </w:rPr>
            </w:pPr>
            <w:r>
              <w:rPr>
                <w:rFonts w:ascii="宋体" w:hAnsi="宋体" w:cs="宋体"/>
                <w:color w:val="000000"/>
                <w:kern w:val="0"/>
                <w:sz w:val="20"/>
                <w:szCs w:val="20"/>
              </w:rPr>
              <w:t>200</w:t>
            </w:r>
          </w:p>
        </w:tc>
        <w:tc>
          <w:tcPr>
            <w:tcW w:w="144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200</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w:t>
            </w:r>
          </w:p>
        </w:tc>
        <w:tc>
          <w:tcPr>
            <w:tcW w:w="448"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ascii="宋体" w:hAnsi="宋体" w:cs="宋体"/>
                <w:color w:val="000000"/>
                <w:kern w:val="0"/>
                <w:sz w:val="20"/>
                <w:szCs w:val="20"/>
              </w:rPr>
              <w:t>10</w:t>
            </w:r>
          </w:p>
        </w:tc>
        <w:tc>
          <w:tcPr>
            <w:tcW w:w="1025"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执行率×该指标分值，最高不得超过分值上限。</w:t>
            </w:r>
          </w:p>
        </w:tc>
      </w:tr>
      <w:tr>
        <w:tblPrEx>
          <w:tblCellMar>
            <w:top w:w="0" w:type="dxa"/>
            <w:left w:w="108" w:type="dxa"/>
            <w:bottom w:w="0" w:type="dxa"/>
            <w:right w:w="108" w:type="dxa"/>
          </w:tblCellMar>
        </w:tblPrEx>
        <w:trPr>
          <w:trHeight w:val="298" w:hRule="atLeast"/>
          <w:jc w:val="center"/>
        </w:trPr>
        <w:tc>
          <w:tcPr>
            <w:tcW w:w="2156"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0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其中：一般公共预算</w:t>
            </w:r>
          </w:p>
        </w:tc>
        <w:tc>
          <w:tcPr>
            <w:tcW w:w="1545" w:type="dxa"/>
            <w:tcBorders>
              <w:top w:val="nil"/>
              <w:left w:val="nil"/>
              <w:bottom w:val="single" w:color="auto" w:sz="4" w:space="0"/>
              <w:right w:val="single" w:color="auto" w:sz="4" w:space="0"/>
            </w:tcBorders>
            <w:noWrap/>
            <w:vAlign w:val="center"/>
          </w:tcPr>
          <w:p>
            <w:pPr>
              <w:widowControl/>
              <w:jc w:val="right"/>
              <w:rPr>
                <w:rFonts w:ascii="宋体"/>
                <w:color w:val="000000"/>
                <w:kern w:val="0"/>
                <w:sz w:val="20"/>
                <w:szCs w:val="20"/>
              </w:rPr>
            </w:pPr>
            <w:r>
              <w:rPr>
                <w:rFonts w:ascii="宋体" w:hAnsi="宋体" w:cs="宋体"/>
                <w:color w:val="000000"/>
                <w:kern w:val="0"/>
                <w:sz w:val="20"/>
                <w:szCs w:val="20"/>
              </w:rPr>
              <w:t>200</w:t>
            </w:r>
          </w:p>
        </w:tc>
        <w:tc>
          <w:tcPr>
            <w:tcW w:w="144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200</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w:t>
            </w:r>
          </w:p>
        </w:tc>
        <w:tc>
          <w:tcPr>
            <w:tcW w:w="448"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ascii="宋体" w:hAnsi="宋体" w:cs="宋体"/>
                <w:color w:val="000000"/>
                <w:kern w:val="0"/>
                <w:sz w:val="20"/>
                <w:szCs w:val="20"/>
              </w:rPr>
              <w:t>10</w:t>
            </w:r>
          </w:p>
        </w:tc>
        <w:tc>
          <w:tcPr>
            <w:tcW w:w="1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r>
      <w:tr>
        <w:tblPrEx>
          <w:tblCellMar>
            <w:top w:w="0" w:type="dxa"/>
            <w:left w:w="108" w:type="dxa"/>
            <w:bottom w:w="0" w:type="dxa"/>
            <w:right w:w="108" w:type="dxa"/>
          </w:tblCellMar>
        </w:tblPrEx>
        <w:trPr>
          <w:trHeight w:val="298" w:hRule="atLeast"/>
          <w:jc w:val="center"/>
        </w:trPr>
        <w:tc>
          <w:tcPr>
            <w:tcW w:w="2156"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0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政府性基金预算</w:t>
            </w:r>
          </w:p>
        </w:tc>
        <w:tc>
          <w:tcPr>
            <w:tcW w:w="1545" w:type="dxa"/>
            <w:tcBorders>
              <w:top w:val="nil"/>
              <w:left w:val="nil"/>
              <w:bottom w:val="single" w:color="auto" w:sz="4" w:space="0"/>
              <w:right w:val="single" w:color="auto"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44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48"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r>
      <w:tr>
        <w:tblPrEx>
          <w:tblCellMar>
            <w:top w:w="0" w:type="dxa"/>
            <w:left w:w="108" w:type="dxa"/>
            <w:bottom w:w="0" w:type="dxa"/>
            <w:right w:w="108" w:type="dxa"/>
          </w:tblCellMar>
        </w:tblPrEx>
        <w:trPr>
          <w:trHeight w:val="298" w:hRule="atLeast"/>
          <w:jc w:val="center"/>
        </w:trPr>
        <w:tc>
          <w:tcPr>
            <w:tcW w:w="2156"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c>
          <w:tcPr>
            <w:tcW w:w="20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国有资本经营预算</w:t>
            </w:r>
          </w:p>
        </w:tc>
        <w:tc>
          <w:tcPr>
            <w:tcW w:w="1545" w:type="dxa"/>
            <w:tcBorders>
              <w:top w:val="nil"/>
              <w:left w:val="nil"/>
              <w:bottom w:val="single" w:color="auto" w:sz="4" w:space="0"/>
              <w:right w:val="single" w:color="auto" w:sz="4" w:space="0"/>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44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7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448" w:type="dxa"/>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c>
          <w:tcPr>
            <w:tcW w:w="1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r>
      <w:tr>
        <w:tblPrEx>
          <w:tblCellMar>
            <w:top w:w="0" w:type="dxa"/>
            <w:left w:w="108" w:type="dxa"/>
            <w:bottom w:w="0" w:type="dxa"/>
            <w:right w:w="108" w:type="dxa"/>
          </w:tblCellMar>
        </w:tblPrEx>
        <w:trPr>
          <w:trHeight w:val="1567" w:hRule="atLeast"/>
          <w:jc w:val="center"/>
        </w:trPr>
        <w:tc>
          <w:tcPr>
            <w:tcW w:w="712" w:type="dxa"/>
            <w:tcBorders>
              <w:top w:val="nil"/>
              <w:left w:val="single" w:color="auto" w:sz="4" w:space="0"/>
              <w:bottom w:val="single" w:color="auto" w:sz="4" w:space="0"/>
              <w:right w:val="single" w:color="auto" w:sz="4" w:space="0"/>
            </w:tcBorders>
            <w:textDirection w:val="tbRlV"/>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年度总体目标</w:t>
            </w:r>
          </w:p>
        </w:tc>
        <w:tc>
          <w:tcPr>
            <w:tcW w:w="5026" w:type="dxa"/>
            <w:gridSpan w:val="5"/>
            <w:tcBorders>
              <w:top w:val="single" w:color="auto" w:sz="4" w:space="0"/>
              <w:left w:val="nil"/>
              <w:bottom w:val="single" w:color="auto" w:sz="4" w:space="0"/>
              <w:right w:val="single" w:color="000000"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保障评审工作保质保量完成，不断提高财政评审效率，合理控制财政投资项目成本，提高财政资金使用效益。</w:t>
            </w:r>
          </w:p>
        </w:tc>
        <w:tc>
          <w:tcPr>
            <w:tcW w:w="4204" w:type="dxa"/>
            <w:gridSpan w:val="5"/>
            <w:tcBorders>
              <w:top w:val="single" w:color="auto" w:sz="4" w:space="0"/>
              <w:left w:val="nil"/>
              <w:bottom w:val="single" w:color="auto" w:sz="4" w:space="0"/>
              <w:right w:val="single" w:color="000000" w:sz="4" w:space="0"/>
            </w:tcBorders>
            <w:vAlign w:val="center"/>
          </w:tcPr>
          <w:p>
            <w:pPr>
              <w:widowControl/>
              <w:jc w:val="left"/>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41" w:hRule="atLeast"/>
          <w:jc w:val="center"/>
        </w:trPr>
        <w:tc>
          <w:tcPr>
            <w:tcW w:w="712"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年度绩效指标</w:t>
            </w:r>
          </w:p>
        </w:tc>
        <w:tc>
          <w:tcPr>
            <w:tcW w:w="635"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一级指标</w:t>
            </w:r>
          </w:p>
        </w:tc>
        <w:tc>
          <w:tcPr>
            <w:tcW w:w="809"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二级指标</w:t>
            </w:r>
          </w:p>
        </w:tc>
        <w:tc>
          <w:tcPr>
            <w:tcW w:w="1487"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三级指标</w:t>
            </w:r>
          </w:p>
        </w:tc>
        <w:tc>
          <w:tcPr>
            <w:tcW w:w="55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分值</w:t>
            </w:r>
          </w:p>
        </w:tc>
        <w:tc>
          <w:tcPr>
            <w:tcW w:w="1545"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年度指标值</w:t>
            </w:r>
            <w:r>
              <w:rPr>
                <w:rFonts w:ascii="宋体" w:hAnsi="宋体" w:cs="宋体"/>
                <w:color w:val="000000"/>
                <w:kern w:val="0"/>
                <w:sz w:val="20"/>
                <w:szCs w:val="20"/>
              </w:rPr>
              <w:t xml:space="preserve">(A)  </w:t>
            </w:r>
          </w:p>
        </w:tc>
        <w:tc>
          <w:tcPr>
            <w:tcW w:w="1444"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全年实际值</w:t>
            </w:r>
            <w:r>
              <w:rPr>
                <w:rFonts w:ascii="宋体" w:hAnsi="宋体" w:cs="宋体"/>
                <w:color w:val="000000"/>
                <w:kern w:val="0"/>
                <w:sz w:val="20"/>
                <w:szCs w:val="20"/>
              </w:rPr>
              <w:t xml:space="preserve">(B) </w:t>
            </w:r>
          </w:p>
        </w:tc>
        <w:tc>
          <w:tcPr>
            <w:tcW w:w="531"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得分</w:t>
            </w:r>
          </w:p>
        </w:tc>
        <w:tc>
          <w:tcPr>
            <w:tcW w:w="2229" w:type="dxa"/>
            <w:gridSpan w:val="3"/>
            <w:tcBorders>
              <w:top w:val="single" w:color="auto" w:sz="4" w:space="0"/>
              <w:left w:val="nil"/>
              <w:bottom w:val="single" w:color="auto"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未完成原因分析</w:t>
            </w: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产</w:t>
            </w:r>
            <w:r>
              <w:rPr>
                <w:rFonts w:ascii="宋体"/>
                <w:kern w:val="0"/>
                <w:sz w:val="20"/>
                <w:szCs w:val="20"/>
              </w:rPr>
              <w:br w:type="textWrapping"/>
            </w:r>
            <w:r>
              <w:rPr>
                <w:rFonts w:hint="eastAsia" w:ascii="宋体" w:hAnsi="宋体" w:cs="宋体"/>
                <w:kern w:val="0"/>
                <w:sz w:val="20"/>
                <w:szCs w:val="20"/>
              </w:rPr>
              <w:t>出</w:t>
            </w:r>
            <w:r>
              <w:rPr>
                <w:rFonts w:ascii="宋体"/>
                <w:kern w:val="0"/>
                <w:sz w:val="20"/>
                <w:szCs w:val="20"/>
              </w:rPr>
              <w:br w:type="textWrapping"/>
            </w:r>
            <w:r>
              <w:rPr>
                <w:rFonts w:hint="eastAsia" w:ascii="宋体" w:hAnsi="宋体" w:cs="宋体"/>
                <w:kern w:val="0"/>
                <w:sz w:val="20"/>
                <w:szCs w:val="20"/>
              </w:rPr>
              <w:t>指</w:t>
            </w:r>
            <w:r>
              <w:rPr>
                <w:rFonts w:ascii="宋体"/>
                <w:kern w:val="0"/>
                <w:sz w:val="20"/>
                <w:szCs w:val="20"/>
              </w:rPr>
              <w:br w:type="textWrapping"/>
            </w:r>
            <w:r>
              <w:rPr>
                <w:rFonts w:hint="eastAsia" w:ascii="宋体" w:hAnsi="宋体" w:cs="宋体"/>
                <w:kern w:val="0"/>
                <w:sz w:val="20"/>
                <w:szCs w:val="20"/>
              </w:rPr>
              <w:t>标</w:t>
            </w:r>
            <w:r>
              <w:rPr>
                <w:rFonts w:ascii="宋体" w:hAnsi="宋体" w:cs="宋体"/>
                <w:kern w:val="0"/>
                <w:sz w:val="20"/>
                <w:szCs w:val="20"/>
              </w:rPr>
              <w:t xml:space="preserve">                                                                                                                         (50</w:t>
            </w:r>
            <w:r>
              <w:rPr>
                <w:rFonts w:hint="eastAsia" w:ascii="宋体" w:hAnsi="宋体" w:cs="宋体"/>
                <w:kern w:val="0"/>
                <w:sz w:val="20"/>
                <w:szCs w:val="20"/>
              </w:rPr>
              <w:t>分</w:t>
            </w:r>
            <w:r>
              <w:rPr>
                <w:rFonts w:ascii="宋体" w:hAnsi="宋体" w:cs="宋体"/>
                <w:kern w:val="0"/>
                <w:sz w:val="20"/>
                <w:szCs w:val="20"/>
              </w:rPr>
              <w:t>)</w:t>
            </w: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数量指标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委托中介评审</w:t>
            </w:r>
            <w:r>
              <w:rPr>
                <w:rFonts w:ascii="宋体" w:hAnsi="宋体" w:cs="宋体"/>
                <w:color w:val="000000"/>
                <w:kern w:val="0"/>
                <w:sz w:val="20"/>
                <w:szCs w:val="20"/>
              </w:rPr>
              <w:t>PPP</w:t>
            </w:r>
            <w:r>
              <w:rPr>
                <w:rFonts w:hint="eastAsia" w:ascii="宋体" w:hAnsi="宋体" w:cs="宋体"/>
                <w:color w:val="000000"/>
                <w:kern w:val="0"/>
                <w:sz w:val="20"/>
                <w:szCs w:val="20"/>
              </w:rPr>
              <w:t>项目、财务决算项目（个）</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5</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40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20</w:t>
            </w:r>
          </w:p>
        </w:tc>
        <w:tc>
          <w:tcPr>
            <w:tcW w:w="2229" w:type="dxa"/>
            <w:gridSpan w:val="3"/>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37"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质量指标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中介审核项目的完成率</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80%</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90%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8"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时效指标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各项工作年内完成</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月底前</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月底</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8</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8"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成本指标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预算控制率</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100%</w:t>
            </w:r>
            <w:r>
              <w:rPr>
                <w:rFonts w:hint="eastAsia" w:ascii="宋体" w:hAnsi="宋体" w:cs="宋体"/>
                <w:color w:val="000000"/>
                <w:kern w:val="0"/>
                <w:sz w:val="20"/>
                <w:szCs w:val="20"/>
              </w:rPr>
              <w:t>以内</w:t>
            </w:r>
          </w:p>
        </w:tc>
        <w:tc>
          <w:tcPr>
            <w:tcW w:w="144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100%</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10</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8"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效</w:t>
            </w:r>
            <w:r>
              <w:rPr>
                <w:rFonts w:ascii="宋体"/>
                <w:kern w:val="0"/>
                <w:sz w:val="20"/>
                <w:szCs w:val="20"/>
              </w:rPr>
              <w:br w:type="textWrapping"/>
            </w:r>
            <w:r>
              <w:rPr>
                <w:rFonts w:hint="eastAsia" w:ascii="宋体" w:hAnsi="宋体" w:cs="宋体"/>
                <w:kern w:val="0"/>
                <w:sz w:val="20"/>
                <w:szCs w:val="20"/>
              </w:rPr>
              <w:t>益</w:t>
            </w:r>
            <w:r>
              <w:rPr>
                <w:rFonts w:ascii="宋体"/>
                <w:kern w:val="0"/>
                <w:sz w:val="20"/>
                <w:szCs w:val="20"/>
              </w:rPr>
              <w:br w:type="textWrapping"/>
            </w:r>
            <w:r>
              <w:rPr>
                <w:rFonts w:hint="eastAsia" w:ascii="宋体" w:hAnsi="宋体" w:cs="宋体"/>
                <w:kern w:val="0"/>
                <w:sz w:val="20"/>
                <w:szCs w:val="20"/>
              </w:rPr>
              <w:t>指</w:t>
            </w:r>
            <w:r>
              <w:rPr>
                <w:rFonts w:ascii="宋体"/>
                <w:kern w:val="0"/>
                <w:sz w:val="20"/>
                <w:szCs w:val="20"/>
              </w:rPr>
              <w:br w:type="textWrapping"/>
            </w:r>
            <w:r>
              <w:rPr>
                <w:rFonts w:hint="eastAsia" w:ascii="宋体" w:hAnsi="宋体" w:cs="宋体"/>
                <w:kern w:val="0"/>
                <w:sz w:val="20"/>
                <w:szCs w:val="20"/>
              </w:rPr>
              <w:t>标</w:t>
            </w:r>
            <w:r>
              <w:rPr>
                <w:rFonts w:ascii="宋体" w:hAnsi="宋体" w:cs="宋体"/>
                <w:kern w:val="0"/>
                <w:sz w:val="20"/>
                <w:szCs w:val="20"/>
              </w:rPr>
              <w:t xml:space="preserve">                                                                                                                           (30</w:t>
            </w:r>
            <w:r>
              <w:rPr>
                <w:rFonts w:hint="eastAsia" w:ascii="宋体" w:hAnsi="宋体" w:cs="宋体"/>
                <w:kern w:val="0"/>
                <w:sz w:val="20"/>
                <w:szCs w:val="20"/>
              </w:rPr>
              <w:t>分</w:t>
            </w:r>
            <w:r>
              <w:rPr>
                <w:rFonts w:ascii="宋体" w:hAnsi="宋体" w:cs="宋体"/>
                <w:kern w:val="0"/>
                <w:sz w:val="20"/>
                <w:szCs w:val="20"/>
              </w:rPr>
              <w:t>)</w:t>
            </w: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经济效益</w:t>
            </w:r>
            <w:r>
              <w:rPr>
                <w:rFonts w:ascii="宋体"/>
                <w:kern w:val="0"/>
                <w:sz w:val="20"/>
                <w:szCs w:val="20"/>
              </w:rPr>
              <w:br w:type="textWrapping"/>
            </w:r>
            <w:r>
              <w:rPr>
                <w:rFonts w:hint="eastAsia" w:ascii="宋体" w:hAnsi="宋体" w:cs="宋体"/>
                <w:kern w:val="0"/>
                <w:sz w:val="20"/>
                <w:szCs w:val="20"/>
              </w:rPr>
              <w:t>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28"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社会效益</w:t>
            </w:r>
            <w:r>
              <w:rPr>
                <w:rFonts w:ascii="宋体"/>
                <w:kern w:val="0"/>
                <w:sz w:val="20"/>
                <w:szCs w:val="20"/>
              </w:rPr>
              <w:br w:type="textWrapping"/>
            </w:r>
            <w:r>
              <w:rPr>
                <w:rFonts w:hint="eastAsia" w:ascii="宋体" w:hAnsi="宋体" w:cs="宋体"/>
                <w:kern w:val="0"/>
                <w:sz w:val="20"/>
                <w:szCs w:val="20"/>
              </w:rPr>
              <w:t>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提高财政资金使用效益，促进经济社会发展</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优</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优</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27</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37"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生态效益</w:t>
            </w:r>
            <w:r>
              <w:rPr>
                <w:rFonts w:ascii="宋体"/>
                <w:kern w:val="0"/>
                <w:sz w:val="20"/>
                <w:szCs w:val="20"/>
              </w:rPr>
              <w:br w:type="textWrapping"/>
            </w:r>
            <w:r>
              <w:rPr>
                <w:rFonts w:hint="eastAsia" w:ascii="宋体" w:hAnsi="宋体" w:cs="宋体"/>
                <w:kern w:val="0"/>
                <w:sz w:val="20"/>
                <w:szCs w:val="20"/>
              </w:rPr>
              <w:t>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12"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可持续影响指标</w:t>
            </w:r>
          </w:p>
        </w:tc>
        <w:tc>
          <w:tcPr>
            <w:tcW w:w="148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8"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73"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满意度指标（</w:t>
            </w:r>
            <w:r>
              <w:rPr>
                <w:rFonts w:ascii="宋体" w:hAnsi="宋体" w:cs="宋体"/>
                <w:kern w:val="0"/>
                <w:sz w:val="18"/>
                <w:szCs w:val="18"/>
              </w:rPr>
              <w:t>10</w:t>
            </w:r>
            <w:r>
              <w:rPr>
                <w:rFonts w:hint="eastAsia" w:ascii="宋体" w:hAnsi="宋体" w:cs="宋体"/>
                <w:kern w:val="0"/>
                <w:sz w:val="18"/>
                <w:szCs w:val="18"/>
              </w:rPr>
              <w:t>分）</w:t>
            </w:r>
          </w:p>
        </w:tc>
        <w:tc>
          <w:tcPr>
            <w:tcW w:w="8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服务对象满意度指标</w:t>
            </w:r>
          </w:p>
        </w:tc>
        <w:tc>
          <w:tcPr>
            <w:tcW w:w="1487"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项目建设单位满意度</w:t>
            </w:r>
          </w:p>
        </w:tc>
        <w:tc>
          <w:tcPr>
            <w:tcW w:w="55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优</w:t>
            </w:r>
          </w:p>
        </w:tc>
        <w:tc>
          <w:tcPr>
            <w:tcW w:w="14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优</w:t>
            </w:r>
          </w:p>
        </w:tc>
        <w:tc>
          <w:tcPr>
            <w:tcW w:w="53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8</w:t>
            </w:r>
          </w:p>
        </w:tc>
        <w:tc>
          <w:tcPr>
            <w:tcW w:w="222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77" w:hRule="atLeast"/>
          <w:jc w:val="center"/>
        </w:trPr>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6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8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5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14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22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462" w:hRule="atLeast"/>
          <w:jc w:val="center"/>
        </w:trPr>
        <w:tc>
          <w:tcPr>
            <w:tcW w:w="2156"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b/>
                <w:bCs/>
                <w:kern w:val="0"/>
                <w:sz w:val="18"/>
                <w:szCs w:val="18"/>
              </w:rPr>
            </w:pPr>
            <w:r>
              <w:rPr>
                <w:rFonts w:hint="eastAsia" w:ascii="宋体" w:hAnsi="宋体" w:cs="宋体"/>
                <w:b/>
                <w:bCs/>
                <w:kern w:val="0"/>
                <w:sz w:val="18"/>
                <w:szCs w:val="18"/>
              </w:rPr>
              <w:t>绩效目标执行情况得分</w:t>
            </w:r>
          </w:p>
        </w:tc>
        <w:tc>
          <w:tcPr>
            <w:tcW w:w="1487"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93</w:t>
            </w:r>
          </w:p>
        </w:tc>
        <w:tc>
          <w:tcPr>
            <w:tcW w:w="6299" w:type="dxa"/>
            <w:gridSpan w:val="7"/>
            <w:tcBorders>
              <w:top w:val="nil"/>
              <w:left w:val="nil"/>
              <w:bottom w:val="single" w:color="auto" w:sz="4" w:space="0"/>
              <w:right w:val="single" w:color="000000"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绩效自评得分</w:t>
            </w:r>
            <w:r>
              <w:rPr>
                <w:rFonts w:ascii="宋体" w:hAnsi="宋体" w:cs="宋体"/>
                <w:color w:val="000000"/>
                <w:kern w:val="0"/>
                <w:sz w:val="20"/>
                <w:szCs w:val="20"/>
              </w:rPr>
              <w:t>=</w:t>
            </w:r>
            <w:r>
              <w:rPr>
                <w:rFonts w:hint="eastAsia" w:ascii="宋体" w:hAnsi="宋体" w:cs="宋体"/>
                <w:color w:val="000000"/>
                <w:kern w:val="0"/>
                <w:sz w:val="20"/>
                <w:szCs w:val="20"/>
              </w:rPr>
              <w:t>项目资金执行情况得分</w:t>
            </w:r>
            <w:r>
              <w:rPr>
                <w:rFonts w:ascii="宋体" w:hAnsi="宋体" w:cs="宋体"/>
                <w:color w:val="000000"/>
                <w:kern w:val="0"/>
                <w:sz w:val="20"/>
                <w:szCs w:val="20"/>
              </w:rPr>
              <w:t>+</w:t>
            </w:r>
            <w:r>
              <w:rPr>
                <w:rFonts w:hint="eastAsia" w:ascii="宋体" w:hAnsi="宋体" w:cs="宋体"/>
                <w:color w:val="000000"/>
                <w:kern w:val="0"/>
                <w:sz w:val="20"/>
                <w:szCs w:val="20"/>
              </w:rPr>
              <w:t>年度绩效指标得分</w:t>
            </w:r>
          </w:p>
        </w:tc>
      </w:tr>
      <w:tr>
        <w:tblPrEx>
          <w:tblCellMar>
            <w:top w:w="0" w:type="dxa"/>
            <w:left w:w="108" w:type="dxa"/>
            <w:bottom w:w="0" w:type="dxa"/>
            <w:right w:w="108" w:type="dxa"/>
          </w:tblCellMar>
        </w:tblPrEx>
        <w:trPr>
          <w:trHeight w:val="477" w:hRule="atLeast"/>
          <w:jc w:val="center"/>
        </w:trPr>
        <w:tc>
          <w:tcPr>
            <w:tcW w:w="2156" w:type="dxa"/>
            <w:gridSpan w:val="3"/>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绩效自评总分</w:t>
            </w:r>
          </w:p>
        </w:tc>
        <w:tc>
          <w:tcPr>
            <w:tcW w:w="1487"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91.5</w:t>
            </w:r>
          </w:p>
        </w:tc>
        <w:tc>
          <w:tcPr>
            <w:tcW w:w="209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其中：绩效目标执行情况得分</w:t>
            </w:r>
          </w:p>
        </w:tc>
        <w:tc>
          <w:tcPr>
            <w:tcW w:w="144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绩效目标评分</w:t>
            </w:r>
          </w:p>
        </w:tc>
        <w:tc>
          <w:tcPr>
            <w:tcW w:w="2760" w:type="dxa"/>
            <w:gridSpan w:val="4"/>
            <w:vMerge w:val="restart"/>
            <w:tcBorders>
              <w:top w:val="nil"/>
              <w:left w:val="nil"/>
              <w:bottom w:val="single" w:color="000000" w:sz="4" w:space="0"/>
              <w:right w:val="single" w:color="000000"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绩效自评总分</w:t>
            </w:r>
            <w:r>
              <w:rPr>
                <w:rFonts w:ascii="宋体" w:hAnsi="宋体" w:cs="宋体"/>
                <w:color w:val="000000"/>
                <w:kern w:val="0"/>
                <w:sz w:val="20"/>
                <w:szCs w:val="20"/>
              </w:rPr>
              <w:t xml:space="preserve">= </w:t>
            </w:r>
            <w:r>
              <w:rPr>
                <w:rFonts w:hint="eastAsia" w:ascii="宋体" w:hAnsi="宋体" w:cs="宋体"/>
                <w:color w:val="000000"/>
                <w:kern w:val="0"/>
                <w:sz w:val="20"/>
                <w:szCs w:val="20"/>
              </w:rPr>
              <w:t>绩效目标执行情况得分</w:t>
            </w:r>
            <w:r>
              <w:rPr>
                <w:rFonts w:ascii="宋体" w:hAnsi="宋体" w:cs="宋体"/>
                <w:color w:val="000000"/>
                <w:kern w:val="0"/>
                <w:sz w:val="20"/>
                <w:szCs w:val="20"/>
              </w:rPr>
              <w:t>*70%+</w:t>
            </w:r>
            <w:r>
              <w:rPr>
                <w:rFonts w:hint="eastAsia" w:ascii="宋体" w:hAnsi="宋体" w:cs="宋体"/>
                <w:color w:val="000000"/>
                <w:kern w:val="0"/>
                <w:sz w:val="20"/>
                <w:szCs w:val="20"/>
              </w:rPr>
              <w:t>绩效目标评分</w:t>
            </w:r>
            <w:r>
              <w:rPr>
                <w:rFonts w:ascii="宋体" w:hAnsi="宋体" w:cs="宋体"/>
                <w:color w:val="000000"/>
                <w:kern w:val="0"/>
                <w:sz w:val="20"/>
                <w:szCs w:val="20"/>
              </w:rPr>
              <w:t>*30%</w:t>
            </w:r>
          </w:p>
        </w:tc>
      </w:tr>
      <w:tr>
        <w:tblPrEx>
          <w:tblCellMar>
            <w:top w:w="0" w:type="dxa"/>
            <w:left w:w="108" w:type="dxa"/>
            <w:bottom w:w="0" w:type="dxa"/>
            <w:right w:w="108" w:type="dxa"/>
          </w:tblCellMar>
        </w:tblPrEx>
        <w:trPr>
          <w:trHeight w:val="418" w:hRule="atLeast"/>
          <w:jc w:val="center"/>
        </w:trPr>
        <w:tc>
          <w:tcPr>
            <w:tcW w:w="2156"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b/>
                <w:bCs/>
                <w:color w:val="000000"/>
                <w:kern w:val="0"/>
                <w:sz w:val="18"/>
                <w:szCs w:val="18"/>
              </w:rPr>
            </w:pPr>
          </w:p>
        </w:tc>
        <w:tc>
          <w:tcPr>
            <w:tcW w:w="148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0"/>
                <w:szCs w:val="20"/>
              </w:rPr>
            </w:pPr>
          </w:p>
        </w:tc>
        <w:tc>
          <w:tcPr>
            <w:tcW w:w="209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0"/>
                <w:szCs w:val="20"/>
              </w:rPr>
            </w:pPr>
            <w:r>
              <w:rPr>
                <w:rFonts w:ascii="宋体" w:hAnsi="宋体" w:cs="宋体"/>
                <w:color w:val="000000"/>
                <w:kern w:val="0"/>
                <w:sz w:val="20"/>
                <w:szCs w:val="20"/>
              </w:rPr>
              <w:t>93</w:t>
            </w:r>
          </w:p>
        </w:tc>
        <w:tc>
          <w:tcPr>
            <w:tcW w:w="1444" w:type="dxa"/>
            <w:tcBorders>
              <w:top w:val="nil"/>
              <w:left w:val="nil"/>
              <w:bottom w:val="single" w:color="auto" w:sz="4" w:space="0"/>
              <w:right w:val="single" w:color="auto" w:sz="4" w:space="0"/>
            </w:tcBorders>
            <w:noWrap/>
            <w:vAlign w:val="center"/>
          </w:tcPr>
          <w:p>
            <w:pPr>
              <w:widowControl/>
              <w:jc w:val="right"/>
              <w:rPr>
                <w:rFonts w:ascii="宋体"/>
                <w:color w:val="000000"/>
                <w:kern w:val="0"/>
                <w:sz w:val="20"/>
                <w:szCs w:val="20"/>
              </w:rPr>
            </w:pPr>
            <w:r>
              <w:rPr>
                <w:rFonts w:ascii="宋体" w:hAnsi="宋体" w:cs="宋体"/>
                <w:color w:val="000000"/>
                <w:kern w:val="0"/>
                <w:sz w:val="20"/>
                <w:szCs w:val="20"/>
              </w:rPr>
              <w:t>88</w:t>
            </w:r>
          </w:p>
        </w:tc>
        <w:tc>
          <w:tcPr>
            <w:tcW w:w="2760" w:type="dxa"/>
            <w:gridSpan w:val="4"/>
            <w:vMerge w:val="continue"/>
            <w:tcBorders>
              <w:top w:val="nil"/>
              <w:left w:val="nil"/>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83" w:hRule="atLeast"/>
          <w:jc w:val="center"/>
        </w:trPr>
        <w:tc>
          <w:tcPr>
            <w:tcW w:w="712" w:type="dxa"/>
            <w:tcBorders>
              <w:top w:val="nil"/>
              <w:left w:val="nil"/>
              <w:bottom w:val="nil"/>
              <w:right w:val="nil"/>
            </w:tcBorders>
            <w:noWrap/>
            <w:vAlign w:val="center"/>
          </w:tcPr>
          <w:p>
            <w:pPr>
              <w:widowControl/>
              <w:jc w:val="center"/>
              <w:rPr>
                <w:rFonts w:ascii="宋体"/>
                <w:b/>
                <w:bCs/>
                <w:color w:val="000000"/>
                <w:kern w:val="0"/>
                <w:sz w:val="24"/>
                <w:szCs w:val="24"/>
              </w:rPr>
            </w:pPr>
          </w:p>
        </w:tc>
        <w:tc>
          <w:tcPr>
            <w:tcW w:w="3481" w:type="dxa"/>
            <w:gridSpan w:val="4"/>
            <w:tcBorders>
              <w:top w:val="nil"/>
              <w:left w:val="nil"/>
              <w:bottom w:val="nil"/>
              <w:right w:val="nil"/>
            </w:tcBorders>
            <w:noWrap/>
            <w:vAlign w:val="center"/>
          </w:tcPr>
          <w:p>
            <w:pPr>
              <w:widowControl/>
              <w:jc w:val="left"/>
              <w:rPr>
                <w:rFonts w:ascii="宋体"/>
                <w:color w:val="000000"/>
                <w:kern w:val="0"/>
                <w:sz w:val="18"/>
                <w:szCs w:val="18"/>
              </w:rPr>
            </w:pPr>
            <w:r>
              <w:rPr>
                <w:rFonts w:hint="eastAsia" w:ascii="宋体" w:hAnsi="宋体" w:cs="宋体"/>
                <w:color w:val="000000"/>
                <w:kern w:val="0"/>
                <w:sz w:val="18"/>
                <w:szCs w:val="18"/>
              </w:rPr>
              <w:t>填报人：</w:t>
            </w:r>
          </w:p>
        </w:tc>
        <w:tc>
          <w:tcPr>
            <w:tcW w:w="4276" w:type="dxa"/>
            <w:gridSpan w:val="4"/>
            <w:tcBorders>
              <w:top w:val="nil"/>
              <w:left w:val="nil"/>
              <w:bottom w:val="nil"/>
              <w:right w:val="nil"/>
            </w:tcBorders>
            <w:noWrap/>
            <w:vAlign w:val="center"/>
          </w:tcPr>
          <w:p>
            <w:pPr>
              <w:widowControl/>
              <w:jc w:val="left"/>
              <w:rPr>
                <w:rFonts w:ascii="宋体"/>
                <w:color w:val="000000"/>
                <w:kern w:val="0"/>
                <w:sz w:val="18"/>
                <w:szCs w:val="18"/>
              </w:rPr>
            </w:pPr>
            <w:r>
              <w:rPr>
                <w:rFonts w:hint="eastAsia" w:ascii="宋体" w:hAnsi="宋体" w:cs="宋体"/>
                <w:color w:val="000000"/>
                <w:kern w:val="0"/>
                <w:sz w:val="18"/>
                <w:szCs w:val="18"/>
              </w:rPr>
              <w:t>联系电话：</w:t>
            </w:r>
          </w:p>
        </w:tc>
        <w:tc>
          <w:tcPr>
            <w:tcW w:w="448" w:type="dxa"/>
            <w:tcBorders>
              <w:top w:val="nil"/>
              <w:left w:val="nil"/>
              <w:bottom w:val="nil"/>
              <w:right w:val="nil"/>
            </w:tcBorders>
            <w:noWrap/>
            <w:vAlign w:val="center"/>
          </w:tcPr>
          <w:p>
            <w:pPr>
              <w:widowControl/>
              <w:jc w:val="left"/>
              <w:rPr>
                <w:rFonts w:ascii="宋体"/>
                <w:color w:val="000000"/>
                <w:kern w:val="0"/>
                <w:sz w:val="22"/>
              </w:rPr>
            </w:pPr>
          </w:p>
        </w:tc>
        <w:tc>
          <w:tcPr>
            <w:tcW w:w="1025" w:type="dxa"/>
            <w:tcBorders>
              <w:top w:val="nil"/>
              <w:left w:val="nil"/>
              <w:bottom w:val="nil"/>
              <w:right w:val="nil"/>
            </w:tcBorders>
            <w:noWrap/>
            <w:vAlign w:val="center"/>
          </w:tcPr>
          <w:p>
            <w:pPr>
              <w:widowControl/>
              <w:jc w:val="left"/>
              <w:rPr>
                <w:rFonts w:ascii="宋体"/>
                <w:color w:val="000000"/>
                <w:kern w:val="0"/>
                <w:sz w:val="24"/>
                <w:szCs w:val="24"/>
              </w:rPr>
            </w:pPr>
          </w:p>
        </w:tc>
      </w:tr>
      <w:tr>
        <w:tblPrEx>
          <w:tblCellMar>
            <w:top w:w="0" w:type="dxa"/>
            <w:left w:w="108" w:type="dxa"/>
            <w:bottom w:w="0" w:type="dxa"/>
            <w:right w:w="108" w:type="dxa"/>
          </w:tblCellMar>
        </w:tblPrEx>
        <w:trPr>
          <w:trHeight w:val="268" w:hRule="atLeast"/>
          <w:jc w:val="center"/>
        </w:trPr>
        <w:tc>
          <w:tcPr>
            <w:tcW w:w="9942" w:type="dxa"/>
            <w:gridSpan w:val="11"/>
            <w:tcBorders>
              <w:top w:val="nil"/>
              <w:left w:val="nil"/>
              <w:bottom w:val="nil"/>
              <w:right w:val="nil"/>
            </w:tcBorders>
            <w:noWrap/>
            <w:vAlign w:val="center"/>
          </w:tcPr>
          <w:p>
            <w:pPr>
              <w:widowControl/>
              <w:jc w:val="left"/>
              <w:rPr>
                <w:rFonts w:ascii="宋体"/>
                <w:color w:val="000000"/>
                <w:kern w:val="0"/>
                <w:sz w:val="20"/>
                <w:szCs w:val="20"/>
              </w:rPr>
            </w:pPr>
            <w:r>
              <w:rPr>
                <w:rFonts w:hint="eastAsia" w:ascii="宋体" w:hAnsi="宋体" w:cs="宋体"/>
                <w:color w:val="000000"/>
                <w:kern w:val="0"/>
                <w:sz w:val="20"/>
                <w:szCs w:val="20"/>
              </w:rPr>
              <w:t>注：</w:t>
            </w:r>
            <w:r>
              <w:rPr>
                <w:rFonts w:ascii="宋体" w:hAnsi="宋体" w:cs="宋体"/>
                <w:color w:val="000000"/>
                <w:kern w:val="0"/>
                <w:sz w:val="20"/>
                <w:szCs w:val="20"/>
              </w:rPr>
              <w:t>1.</w:t>
            </w:r>
            <w:r>
              <w:rPr>
                <w:rFonts w:hint="eastAsia" w:ascii="宋体" w:hAnsi="宋体" w:cs="宋体"/>
                <w:color w:val="000000"/>
                <w:kern w:val="0"/>
                <w:sz w:val="20"/>
                <w:szCs w:val="20"/>
              </w:rPr>
              <w:t>得分一档最高不能超过该指标分值上限；</w:t>
            </w:r>
            <w:r>
              <w:rPr>
                <w:rFonts w:ascii="宋体" w:hAnsi="宋体" w:cs="宋体"/>
                <w:color w:val="000000"/>
                <w:kern w:val="0"/>
                <w:sz w:val="20"/>
                <w:szCs w:val="20"/>
              </w:rPr>
              <w:t>2019</w:t>
            </w:r>
            <w:r>
              <w:rPr>
                <w:rFonts w:hint="eastAsia" w:ascii="宋体" w:hAnsi="宋体" w:cs="宋体"/>
                <w:color w:val="000000"/>
                <w:kern w:val="0"/>
                <w:sz w:val="20"/>
                <w:szCs w:val="20"/>
              </w:rPr>
              <w:t>年度项目支出绩效目标得分详见附件</w:t>
            </w: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492" w:hRule="atLeast"/>
          <w:jc w:val="center"/>
        </w:trPr>
        <w:tc>
          <w:tcPr>
            <w:tcW w:w="9942" w:type="dxa"/>
            <w:gridSpan w:val="11"/>
            <w:tcBorders>
              <w:top w:val="nil"/>
              <w:left w:val="nil"/>
              <w:bottom w:val="nil"/>
              <w:right w:val="nil"/>
            </w:tcBorders>
            <w:vAlign w:val="center"/>
          </w:tcPr>
          <w:p>
            <w:pPr>
              <w:widowControl/>
              <w:jc w:val="left"/>
              <w:rPr>
                <w:rFonts w:ascii="宋体"/>
                <w:color w:val="000000"/>
                <w:kern w:val="0"/>
                <w:sz w:val="20"/>
                <w:szCs w:val="20"/>
              </w:rPr>
            </w:pPr>
            <w:r>
              <w:rPr>
                <w:rFonts w:ascii="宋体" w:hAnsi="宋体" w:cs="宋体"/>
                <w:color w:val="000000"/>
                <w:kern w:val="0"/>
                <w:sz w:val="20"/>
                <w:szCs w:val="20"/>
              </w:rPr>
              <w:t xml:space="preserve">    2.</w:t>
            </w:r>
            <w:r>
              <w:rPr>
                <w:rFonts w:hint="eastAsia" w:ascii="宋体" w:hAnsi="宋体" w:cs="宋体"/>
                <w:color w:val="000000"/>
                <w:kern w:val="0"/>
                <w:sz w:val="20"/>
                <w:szCs w:val="20"/>
              </w:rPr>
              <w:t>定性指标根据指标完成情况分为：达成预期指标、部分达成预期指标并具有一定效果、未达成预期指标且效果较差三档，分别按照该指标对应分值区间</w:t>
            </w:r>
            <w:r>
              <w:rPr>
                <w:rFonts w:ascii="宋体" w:hAnsi="宋体" w:cs="宋体"/>
                <w:color w:val="000000"/>
                <w:kern w:val="0"/>
                <w:sz w:val="20"/>
                <w:szCs w:val="20"/>
              </w:rPr>
              <w:t>100-80%(</w:t>
            </w:r>
            <w:r>
              <w:rPr>
                <w:rFonts w:hint="eastAsia" w:ascii="宋体" w:hAnsi="宋体" w:cs="宋体"/>
                <w:color w:val="000000"/>
                <w:kern w:val="0"/>
                <w:sz w:val="20"/>
                <w:szCs w:val="20"/>
              </w:rPr>
              <w:t>含</w:t>
            </w:r>
            <w:r>
              <w:rPr>
                <w:rFonts w:ascii="宋体" w:hAnsi="宋体" w:cs="宋体"/>
                <w:color w:val="000000"/>
                <w:kern w:val="0"/>
                <w:sz w:val="20"/>
                <w:szCs w:val="20"/>
              </w:rPr>
              <w:t>80%)</w:t>
            </w:r>
            <w:r>
              <w:rPr>
                <w:rFonts w:hint="eastAsia" w:ascii="宋体" w:hAnsi="宋体" w:cs="宋体"/>
                <w:color w:val="000000"/>
                <w:kern w:val="0"/>
                <w:sz w:val="20"/>
                <w:szCs w:val="20"/>
              </w:rPr>
              <w:t>、</w:t>
            </w:r>
            <w:r>
              <w:rPr>
                <w:rFonts w:ascii="宋体" w:hAnsi="宋体" w:cs="宋体"/>
                <w:color w:val="000000"/>
                <w:kern w:val="0"/>
                <w:sz w:val="20"/>
                <w:szCs w:val="20"/>
              </w:rPr>
              <w:t>80-50%(</w:t>
            </w:r>
            <w:r>
              <w:rPr>
                <w:rFonts w:hint="eastAsia" w:ascii="宋体" w:hAnsi="宋体" w:cs="宋体"/>
                <w:color w:val="000000"/>
                <w:kern w:val="0"/>
                <w:sz w:val="20"/>
                <w:szCs w:val="20"/>
              </w:rPr>
              <w:t>含</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50-0%</w:t>
            </w:r>
            <w:r>
              <w:rPr>
                <w:rFonts w:hint="eastAsia" w:ascii="宋体" w:hAnsi="宋体" w:cs="宋体"/>
                <w:color w:val="000000"/>
                <w:kern w:val="0"/>
                <w:sz w:val="20"/>
                <w:szCs w:val="20"/>
              </w:rPr>
              <w:t>合理确定分值。</w:t>
            </w:r>
          </w:p>
        </w:tc>
      </w:tr>
      <w:tr>
        <w:tblPrEx>
          <w:tblCellMar>
            <w:top w:w="0" w:type="dxa"/>
            <w:left w:w="108" w:type="dxa"/>
            <w:bottom w:w="0" w:type="dxa"/>
            <w:right w:w="108" w:type="dxa"/>
          </w:tblCellMar>
        </w:tblPrEx>
        <w:trPr>
          <w:trHeight w:val="268" w:hRule="atLeast"/>
          <w:jc w:val="center"/>
        </w:trPr>
        <w:tc>
          <w:tcPr>
            <w:tcW w:w="9942" w:type="dxa"/>
            <w:gridSpan w:val="11"/>
            <w:tcBorders>
              <w:top w:val="nil"/>
              <w:left w:val="nil"/>
              <w:bottom w:val="nil"/>
              <w:right w:val="nil"/>
            </w:tcBorders>
            <w:noWrap/>
            <w:vAlign w:val="center"/>
          </w:tcPr>
          <w:p>
            <w:pPr>
              <w:widowControl/>
              <w:jc w:val="left"/>
              <w:rPr>
                <w:rFonts w:ascii="宋体"/>
                <w:color w:val="000000"/>
                <w:kern w:val="0"/>
                <w:sz w:val="20"/>
                <w:szCs w:val="20"/>
              </w:rPr>
            </w:pPr>
            <w:r>
              <w:rPr>
                <w:rFonts w:ascii="宋体" w:hAnsi="宋体" w:cs="宋体"/>
                <w:color w:val="000000"/>
                <w:kern w:val="0"/>
                <w:sz w:val="20"/>
                <w:szCs w:val="20"/>
              </w:rPr>
              <w:t xml:space="preserve">    3.</w:t>
            </w:r>
            <w:r>
              <w:rPr>
                <w:rFonts w:hint="eastAsia" w:ascii="宋体" w:hAnsi="宋体" w:cs="宋体"/>
                <w:color w:val="000000"/>
                <w:kern w:val="0"/>
                <w:sz w:val="20"/>
                <w:szCs w:val="20"/>
              </w:rPr>
              <w:t>请在“未完成原因分析”中说明偏离目标、不能完成目标的原因及拟采取的措施。若内容过多可以另附说明。</w:t>
            </w:r>
          </w:p>
        </w:tc>
      </w:tr>
    </w:tbl>
    <w:p>
      <w:pPr>
        <w:autoSpaceDE w:val="0"/>
        <w:autoSpaceDN w:val="0"/>
        <w:adjustRightInd w:val="0"/>
        <w:spacing w:line="580" w:lineRule="exact"/>
        <w:ind w:firstLine="640" w:firstLineChars="200"/>
        <w:jc w:val="left"/>
        <w:rPr>
          <w:rFonts w:ascii="仿宋_GB2312"/>
          <w:color w:val="000000"/>
          <w:sz w:val="32"/>
          <w:szCs w:val="32"/>
        </w:rPr>
      </w:pP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年度单位机关运行经费支出</w:t>
      </w:r>
      <w:r>
        <w:rPr>
          <w:rFonts w:ascii="仿宋_GB2312" w:eastAsia="仿宋_GB2312" w:cs="仿宋_GB2312"/>
          <w:kern w:val="0"/>
          <w:sz w:val="32"/>
          <w:szCs w:val="32"/>
        </w:rPr>
        <w:t>40.02</w:t>
      </w:r>
      <w:r>
        <w:rPr>
          <w:rFonts w:hint="eastAsia" w:ascii="仿宋_GB2312" w:eastAsia="仿宋_GB2312" w:cs="仿宋_GB2312"/>
          <w:kern w:val="0"/>
          <w:sz w:val="32"/>
          <w:szCs w:val="32"/>
        </w:rPr>
        <w:t>万元，比</w:t>
      </w:r>
      <w:r>
        <w:rPr>
          <w:rFonts w:ascii="仿宋_GB2312" w:eastAsia="仿宋_GB2312" w:cs="仿宋_GB2312"/>
          <w:kern w:val="0"/>
          <w:sz w:val="32"/>
          <w:szCs w:val="32"/>
        </w:rPr>
        <w:t>2019</w:t>
      </w:r>
      <w:r>
        <w:rPr>
          <w:rFonts w:hint="eastAsia" w:ascii="仿宋_GB2312" w:eastAsia="仿宋_GB2312" w:cs="仿宋_GB2312"/>
          <w:kern w:val="0"/>
          <w:sz w:val="32"/>
          <w:szCs w:val="32"/>
        </w:rPr>
        <w:t>年增加</w:t>
      </w:r>
      <w:r>
        <w:rPr>
          <w:rFonts w:ascii="仿宋_GB2312" w:eastAsia="仿宋_GB2312" w:cs="仿宋_GB2312"/>
          <w:kern w:val="0"/>
          <w:sz w:val="32"/>
          <w:szCs w:val="32"/>
        </w:rPr>
        <w:t>12.08</w:t>
      </w:r>
      <w:r>
        <w:rPr>
          <w:rFonts w:hint="eastAsia" w:ascii="仿宋_GB2312" w:eastAsia="仿宋_GB2312" w:cs="仿宋_GB2312"/>
          <w:kern w:val="0"/>
          <w:sz w:val="32"/>
          <w:szCs w:val="32"/>
        </w:rPr>
        <w:t>万元，增长</w:t>
      </w:r>
      <w:r>
        <w:rPr>
          <w:rFonts w:ascii="仿宋_GB2312" w:eastAsia="仿宋_GB2312" w:cs="仿宋_GB2312"/>
          <w:kern w:val="0"/>
          <w:sz w:val="32"/>
          <w:szCs w:val="32"/>
        </w:rPr>
        <w:t>43.24 %</w:t>
      </w:r>
      <w:r>
        <w:rPr>
          <w:rFonts w:hint="eastAsia" w:ascii="仿宋_GB2312" w:eastAsia="仿宋_GB2312" w:cs="仿宋_GB2312"/>
          <w:kern w:val="0"/>
          <w:sz w:val="32"/>
          <w:szCs w:val="32"/>
        </w:rPr>
        <w:t>，增加原因为增加了其他交通费用，</w:t>
      </w:r>
      <w:r>
        <w:rPr>
          <w:rFonts w:ascii="仿宋_GB2312" w:eastAsia="仿宋_GB2312" w:cs="仿宋_GB2312"/>
          <w:kern w:val="0"/>
          <w:sz w:val="32"/>
          <w:szCs w:val="32"/>
        </w:rPr>
        <w:t>2019</w:t>
      </w:r>
      <w:r>
        <w:rPr>
          <w:rFonts w:hint="eastAsia" w:ascii="仿宋_GB2312" w:eastAsia="仿宋_GB2312" w:cs="仿宋_GB2312"/>
          <w:kern w:val="0"/>
          <w:sz w:val="32"/>
          <w:szCs w:val="32"/>
        </w:rPr>
        <w:t>年决算报表未在该科目体现。</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年度单位政府采购支出总额</w:t>
      </w:r>
      <w:r>
        <w:rPr>
          <w:rFonts w:ascii="仿宋_GB2312" w:eastAsia="仿宋_GB2312" w:cs="仿宋_GB2312"/>
          <w:kern w:val="0"/>
          <w:sz w:val="32"/>
          <w:szCs w:val="32"/>
        </w:rPr>
        <w:t>0.83</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0.24</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0.59</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（三）国有资产占用情况。截至年末本单位无公务车辆；无单价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万元以上通用设备，无单价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 xml:space="preserve"> </w:t>
      </w:r>
    </w:p>
    <w:p>
      <w:pPr>
        <w:spacing w:line="580" w:lineRule="exact"/>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财政拨款收入：指市本级财政当年拨付的资金。</w:t>
      </w:r>
    </w:p>
    <w:p>
      <w:pPr>
        <w:numPr>
          <w:ilvl w:val="0"/>
          <w:numId w:val="3"/>
        </w:numPr>
        <w:spacing w:line="580" w:lineRule="exact"/>
        <w:ind w:firstLine="645"/>
        <w:rPr>
          <w:rFonts w:ascii="仿宋_GB2312" w:eastAsia="仿宋_GB2312" w:cs="仿宋_GB2312"/>
          <w:sz w:val="32"/>
          <w:szCs w:val="32"/>
        </w:rPr>
      </w:pPr>
      <w:r>
        <w:rPr>
          <w:rFonts w:hint="eastAsia" w:ascii="仿宋_GB2312" w:eastAsia="仿宋_GB2312" w:cs="仿宋_GB2312"/>
          <w:sz w:val="32"/>
          <w:szCs w:val="32"/>
        </w:rPr>
        <w:t>事业收入：指事业单位开展专业活动用辅助活动所取得的收入。如：</w:t>
      </w:r>
      <w:r>
        <w:rPr>
          <w:rFonts w:ascii="仿宋_GB2312" w:eastAsia="仿宋_GB2312" w:cs="仿宋_GB2312"/>
          <w:sz w:val="32"/>
          <w:szCs w:val="32"/>
        </w:rPr>
        <w:t>......</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cs="仿宋_GB2312"/>
          <w:sz w:val="32"/>
          <w:szCs w:val="32"/>
        </w:rPr>
      </w:pPr>
      <w:r>
        <w:rPr>
          <w:rFonts w:hint="eastAsia" w:ascii="仿宋_GB2312" w:eastAsia="仿宋_GB2312" w:cs="仿宋_GB2312"/>
          <w:sz w:val="32"/>
          <w:szCs w:val="32"/>
        </w:rPr>
        <w:t>其他收入：指除上述“财政拨款收入”、“事业收入”、“经营收入”等以外的收入。主要是：</w:t>
      </w:r>
      <w:r>
        <w:rPr>
          <w:rFonts w:ascii="仿宋_GB2312" w:eastAsia="仿宋_GB2312" w:cs="仿宋_GB2312"/>
          <w:sz w:val="32"/>
          <w:szCs w:val="32"/>
        </w:rPr>
        <w:t>......</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6</w:t>
    </w:r>
    <w:r>
      <w:rPr>
        <w:rFonts w:ascii="宋体" w:hAnsi="宋体" w:cs="宋体"/>
        <w:sz w:val="24"/>
        <w:szCs w:val="24"/>
      </w:rPr>
      <w:fldChar w:fldCharType="end"/>
    </w:r>
    <w:r>
      <w:rPr>
        <w:rFonts w:ascii="宋体" w:hAnsi="宋体" w:cs="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- 26 -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cs="Times New Roman"/>
      </w:rPr>
    </w:lvl>
  </w:abstractNum>
  <w:abstractNum w:abstractNumId="1">
    <w:nsid w:val="5B3C894F"/>
    <w:multiLevelType w:val="singleLevel"/>
    <w:tmpl w:val="5B3C894F"/>
    <w:lvl w:ilvl="0" w:tentative="0">
      <w:start w:val="1"/>
      <w:numFmt w:val="chineseCounting"/>
      <w:suff w:val="nothing"/>
      <w:lvlText w:val="（%1）"/>
      <w:lvlJc w:val="left"/>
      <w:rPr>
        <w:rFonts w:cs="Times New Roman"/>
      </w:rPr>
    </w:lvl>
  </w:abstractNum>
  <w:abstractNum w:abstractNumId="2">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4C256E3D"/>
    <w:rsid w:val="000008CE"/>
    <w:rsid w:val="00001E78"/>
    <w:rsid w:val="00006CB8"/>
    <w:rsid w:val="00032156"/>
    <w:rsid w:val="00045BB9"/>
    <w:rsid w:val="00053787"/>
    <w:rsid w:val="00064D93"/>
    <w:rsid w:val="00066CA3"/>
    <w:rsid w:val="000A5D5D"/>
    <w:rsid w:val="000B33B0"/>
    <w:rsid w:val="000B7B1D"/>
    <w:rsid w:val="00127BE2"/>
    <w:rsid w:val="00150144"/>
    <w:rsid w:val="001624B3"/>
    <w:rsid w:val="0016270B"/>
    <w:rsid w:val="0016271C"/>
    <w:rsid w:val="00165194"/>
    <w:rsid w:val="0016643D"/>
    <w:rsid w:val="00171B48"/>
    <w:rsid w:val="001C587A"/>
    <w:rsid w:val="001E17ED"/>
    <w:rsid w:val="00222021"/>
    <w:rsid w:val="00251F85"/>
    <w:rsid w:val="00275E8D"/>
    <w:rsid w:val="00276A9F"/>
    <w:rsid w:val="002A59F5"/>
    <w:rsid w:val="002A630A"/>
    <w:rsid w:val="002D78E5"/>
    <w:rsid w:val="002F39E4"/>
    <w:rsid w:val="00311136"/>
    <w:rsid w:val="003651BF"/>
    <w:rsid w:val="003778DB"/>
    <w:rsid w:val="003B23AA"/>
    <w:rsid w:val="003E255D"/>
    <w:rsid w:val="003F33BE"/>
    <w:rsid w:val="004044C2"/>
    <w:rsid w:val="004238C1"/>
    <w:rsid w:val="00431428"/>
    <w:rsid w:val="0043149F"/>
    <w:rsid w:val="00435F5F"/>
    <w:rsid w:val="00463D28"/>
    <w:rsid w:val="004B5EC9"/>
    <w:rsid w:val="004C4937"/>
    <w:rsid w:val="004C6870"/>
    <w:rsid w:val="004D23EF"/>
    <w:rsid w:val="004E2DAE"/>
    <w:rsid w:val="004F3660"/>
    <w:rsid w:val="005617CA"/>
    <w:rsid w:val="005C5096"/>
    <w:rsid w:val="005F5DA0"/>
    <w:rsid w:val="00610204"/>
    <w:rsid w:val="0063455E"/>
    <w:rsid w:val="00640F43"/>
    <w:rsid w:val="006806A2"/>
    <w:rsid w:val="00684DE6"/>
    <w:rsid w:val="006908E4"/>
    <w:rsid w:val="006B2E23"/>
    <w:rsid w:val="006C1367"/>
    <w:rsid w:val="006C67B1"/>
    <w:rsid w:val="006D6463"/>
    <w:rsid w:val="007152F8"/>
    <w:rsid w:val="00715385"/>
    <w:rsid w:val="00756111"/>
    <w:rsid w:val="007643F2"/>
    <w:rsid w:val="0077426A"/>
    <w:rsid w:val="00781B77"/>
    <w:rsid w:val="00782C10"/>
    <w:rsid w:val="007903FB"/>
    <w:rsid w:val="007A0809"/>
    <w:rsid w:val="007C6B30"/>
    <w:rsid w:val="007D6EAE"/>
    <w:rsid w:val="0080505D"/>
    <w:rsid w:val="008258DC"/>
    <w:rsid w:val="0083065E"/>
    <w:rsid w:val="008B0ADC"/>
    <w:rsid w:val="008B545A"/>
    <w:rsid w:val="009345D5"/>
    <w:rsid w:val="00983FA0"/>
    <w:rsid w:val="009B425B"/>
    <w:rsid w:val="009F4F5B"/>
    <w:rsid w:val="00A10A80"/>
    <w:rsid w:val="00A370C5"/>
    <w:rsid w:val="00A51C37"/>
    <w:rsid w:val="00A82C36"/>
    <w:rsid w:val="00AA4158"/>
    <w:rsid w:val="00AC37C2"/>
    <w:rsid w:val="00AC640B"/>
    <w:rsid w:val="00B0344A"/>
    <w:rsid w:val="00B03B06"/>
    <w:rsid w:val="00B94ED0"/>
    <w:rsid w:val="00C1712C"/>
    <w:rsid w:val="00C20D81"/>
    <w:rsid w:val="00C530B5"/>
    <w:rsid w:val="00CB0897"/>
    <w:rsid w:val="00CE12F2"/>
    <w:rsid w:val="00D27518"/>
    <w:rsid w:val="00D36900"/>
    <w:rsid w:val="00D51BAC"/>
    <w:rsid w:val="00D7670F"/>
    <w:rsid w:val="00DB1DB4"/>
    <w:rsid w:val="00DD5EB7"/>
    <w:rsid w:val="00DE7CE8"/>
    <w:rsid w:val="00DF1590"/>
    <w:rsid w:val="00E1350B"/>
    <w:rsid w:val="00E31A9A"/>
    <w:rsid w:val="00E6711A"/>
    <w:rsid w:val="00E801D3"/>
    <w:rsid w:val="00E826C4"/>
    <w:rsid w:val="00EE6300"/>
    <w:rsid w:val="00F21CA3"/>
    <w:rsid w:val="00F33899"/>
    <w:rsid w:val="00F4035E"/>
    <w:rsid w:val="00F66C5B"/>
    <w:rsid w:val="00FB75EA"/>
    <w:rsid w:val="00FE4F72"/>
    <w:rsid w:val="020A2568"/>
    <w:rsid w:val="059E36F3"/>
    <w:rsid w:val="0717375D"/>
    <w:rsid w:val="0E074DDF"/>
    <w:rsid w:val="11AC7198"/>
    <w:rsid w:val="124204B5"/>
    <w:rsid w:val="182962AB"/>
    <w:rsid w:val="19D073EB"/>
    <w:rsid w:val="1A746B6D"/>
    <w:rsid w:val="1CC31F67"/>
    <w:rsid w:val="1EE066D3"/>
    <w:rsid w:val="1F453D43"/>
    <w:rsid w:val="24D337DC"/>
    <w:rsid w:val="26460DBA"/>
    <w:rsid w:val="264764AF"/>
    <w:rsid w:val="2B6F74EB"/>
    <w:rsid w:val="2C4219FE"/>
    <w:rsid w:val="307D1FD3"/>
    <w:rsid w:val="34020F86"/>
    <w:rsid w:val="39755F3E"/>
    <w:rsid w:val="39A63F06"/>
    <w:rsid w:val="3ED1439F"/>
    <w:rsid w:val="3F3C12AC"/>
    <w:rsid w:val="3F43263A"/>
    <w:rsid w:val="48345216"/>
    <w:rsid w:val="48374EDC"/>
    <w:rsid w:val="4BC863A1"/>
    <w:rsid w:val="4C256E3D"/>
    <w:rsid w:val="4CB52F0F"/>
    <w:rsid w:val="532F1F9A"/>
    <w:rsid w:val="584C2108"/>
    <w:rsid w:val="5E995A3E"/>
    <w:rsid w:val="62163194"/>
    <w:rsid w:val="624D024D"/>
    <w:rsid w:val="650E086A"/>
    <w:rsid w:val="6BAA0708"/>
    <w:rsid w:val="70AC7790"/>
    <w:rsid w:val="7CD919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Balloon Text Char"/>
    <w:basedOn w:val="6"/>
    <w:link w:val="2"/>
    <w:locked/>
    <w:uiPriority w:val="99"/>
    <w:rPr>
      <w:rFonts w:cs="Times New Roman"/>
      <w:kern w:val="2"/>
      <w:sz w:val="18"/>
      <w:szCs w:val="18"/>
    </w:rPr>
  </w:style>
  <w:style w:type="character" w:customStyle="1" w:styleId="9">
    <w:name w:val="Footer Char"/>
    <w:basedOn w:val="6"/>
    <w:link w:val="3"/>
    <w:semiHidden/>
    <w:locked/>
    <w:uiPriority w:val="99"/>
    <w:rPr>
      <w:rFonts w:cs="Times New Roman"/>
      <w:sz w:val="18"/>
      <w:szCs w:val="18"/>
    </w:rPr>
  </w:style>
  <w:style w:type="character" w:customStyle="1" w:styleId="10">
    <w:name w:val="Header Char"/>
    <w:basedOn w:val="6"/>
    <w:link w:val="4"/>
    <w:semiHidden/>
    <w:locked/>
    <w:uiPriority w:val="99"/>
    <w:rPr>
      <w:rFonts w:cs="Times New Roman"/>
      <w:sz w:val="18"/>
      <w:szCs w:val="18"/>
    </w:rPr>
  </w:style>
  <w:style w:type="character" w:customStyle="1" w:styleId="11">
    <w:name w:val="font11"/>
    <w:basedOn w:val="6"/>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31</Pages>
  <Words>10031</Words>
  <Characters>13574</Characters>
  <Lines>0</Lines>
  <Paragraphs>0</Paragraphs>
  <TotalTime>489</TotalTime>
  <ScaleCrop>false</ScaleCrop>
  <LinksUpToDate>false</LinksUpToDate>
  <CharactersWithSpaces>14710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2021-08-17T03:23:00Z</dcterms:created>
  <dc:creator>陈冬雪</dc:creator>
  <cp:lastModifiedBy>哒哒陳</cp:lastModifiedBy>
  <cp:lastPrinted>2021-07-23T02:47:00Z</cp:lastPrinted>
  <dcterms:modified xsi:type="dcterms:W3CDTF">2022-09-08T08:24:27Z</dcterms:modified>
  <dc:title>柳州市（委、局、办）</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7B8FBDC1A1E1446E82247DBDA84AF9ED</vt:lpwstr>
  </property>
</Properties>
</file>