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eastAsia="黑体"/>
          <w:kern w:val="0"/>
          <w:sz w:val="52"/>
          <w:szCs w:val="52"/>
        </w:rPr>
      </w:pPr>
      <w:r>
        <w:rPr>
          <w:rFonts w:hint="eastAsia" w:ascii="黑体" w:eastAsia="黑体"/>
          <w:kern w:val="0"/>
          <w:sz w:val="52"/>
          <w:szCs w:val="52"/>
        </w:rPr>
        <w:t>柳州市财政局干部教育中心</w:t>
      </w:r>
    </w:p>
    <w:p>
      <w:pPr>
        <w:keepNext w:val="0"/>
        <w:keepLines w:val="0"/>
        <w:pageBreakBefore w:val="0"/>
        <w:widowControl w:val="0"/>
        <w:kinsoku/>
        <w:wordWrap/>
        <w:overflowPunct/>
        <w:topLinePunct w:val="0"/>
        <w:autoSpaceDE/>
        <w:autoSpaceDN/>
        <w:bidi w:val="0"/>
        <w:adjustRightInd/>
        <w:snapToGrid/>
        <w:jc w:val="center"/>
        <w:textAlignment w:val="auto"/>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lang w:eastAsia="zh-CN"/>
        </w:rPr>
        <w:t>柳州市财政局干部教育中心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柳州市财政局干部教育中心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表七：一般公共预算财政拨款安排的“</w:t>
      </w:r>
      <w:r>
        <w:rPr>
          <w:rFonts w:ascii="仿宋_GB2312" w:eastAsia="仿宋_GB2312"/>
          <w:sz w:val="32"/>
          <w:szCs w:val="32"/>
          <w:highlight w:val="none"/>
        </w:rPr>
        <w:t>三公</w:t>
      </w:r>
      <w:r>
        <w:rPr>
          <w:rFonts w:hint="eastAsia" w:ascii="仿宋_GB2312" w:eastAsia="仿宋_GB2312"/>
          <w:sz w:val="32"/>
          <w:szCs w:val="32"/>
          <w:highlight w:val="none"/>
        </w:rPr>
        <w:t>”</w:t>
      </w:r>
      <w:r>
        <w:rPr>
          <w:rFonts w:ascii="仿宋_GB2312" w:eastAsia="仿宋_GB2312"/>
          <w:sz w:val="32"/>
          <w:szCs w:val="32"/>
          <w:highlight w:val="none"/>
        </w:rPr>
        <w:t>经费</w:t>
      </w:r>
      <w:r>
        <w:rPr>
          <w:rFonts w:hint="eastAsia" w:ascii="仿宋_GB2312" w:eastAsia="仿宋_GB2312"/>
          <w:sz w:val="32"/>
          <w:szCs w:val="32"/>
          <w:highlight w:val="none"/>
        </w:rPr>
        <w:t>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rPr>
        <w:t>柳州市财政局干部教育中心</w:t>
      </w:r>
      <w:r>
        <w:rPr>
          <w:rFonts w:hint="eastAsia" w:ascii="仿宋_GB2312" w:eastAsia="仿宋_GB2312"/>
          <w:b/>
          <w:sz w:val="32"/>
          <w:szCs w:val="32"/>
          <w:highlight w:val="none"/>
        </w:rPr>
        <w:t>2020年度</w:t>
      </w:r>
      <w:r>
        <w:rPr>
          <w:rFonts w:hint="eastAsia" w:ascii="仿宋_GB2312" w:eastAsia="仿宋_GB2312"/>
          <w:b/>
          <w:sz w:val="32"/>
          <w:szCs w:val="32"/>
          <w:highlight w:val="none"/>
          <w:lang w:eastAsia="zh-CN"/>
        </w:rPr>
        <w:t>单位</w:t>
      </w:r>
      <w:r>
        <w:rPr>
          <w:rFonts w:hint="eastAsia" w:ascii="仿宋_GB2312" w:eastAsia="仿宋_GB2312"/>
          <w:b/>
          <w:sz w:val="32"/>
          <w:szCs w:val="32"/>
          <w:highlight w:val="none"/>
        </w:rPr>
        <w:t>决算</w:t>
      </w:r>
      <w:r>
        <w:rPr>
          <w:rFonts w:hint="eastAsia" w:ascii="仿宋_GB2312" w:eastAsia="仿宋_GB2312"/>
          <w:b/>
          <w:sz w:val="32"/>
          <w:szCs w:val="32"/>
        </w:rPr>
        <w:t>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kern w:val="0"/>
          <w:sz w:val="32"/>
          <w:szCs w:val="32"/>
        </w:rPr>
        <w:t>八</w:t>
      </w:r>
      <w:r>
        <w:rPr>
          <w:rFonts w:hint="eastAsia" w:ascii="仿宋_GB2312" w:eastAsia="仿宋_GB2312" w:cs="仿宋_GB2312"/>
          <w:color w:val="auto"/>
          <w:kern w:val="0"/>
          <w:sz w:val="32"/>
          <w:szCs w:val="32"/>
          <w:highlight w:val="none"/>
        </w:rPr>
        <w:t>、</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年度政府性基金预算财政拨款收入支出决算情况</w:t>
      </w:r>
    </w:p>
    <w:p>
      <w:pPr>
        <w:ind w:left="645"/>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olor w:val="auto"/>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柳州市财政局干部教育中心</w:t>
      </w:r>
      <w:r>
        <w:rPr>
          <w:rFonts w:hint="eastAsia" w:ascii="仿宋_GB2312" w:eastAsia="仿宋_GB2312"/>
          <w:b/>
          <w:sz w:val="32"/>
          <w:szCs w:val="32"/>
        </w:rPr>
        <w:t>概况</w:t>
      </w:r>
    </w:p>
    <w:p>
      <w:pPr>
        <w:keepNext w:val="0"/>
        <w:keepLines w:val="0"/>
        <w:pageBreakBefore w:val="0"/>
        <w:widowControl w:val="0"/>
        <w:kinsoku/>
        <w:wordWrap/>
        <w:overflowPunct/>
        <w:topLinePunct w:val="0"/>
        <w:autoSpaceDE/>
        <w:autoSpaceDN/>
        <w:bidi w:val="0"/>
        <w:ind w:firstLine="640" w:firstLineChars="200"/>
        <w:jc w:val="left"/>
        <w:textAlignment w:val="auto"/>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（一）负责财政干部教育培训工作。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w:t>
      </w:r>
      <w:r>
        <w:rPr>
          <w:rFonts w:hint="eastAsia" w:ascii="仿宋_GB2312" w:hAnsi="华文仿宋" w:eastAsia="仿宋_GB2312" w:cs="宋体"/>
          <w:bCs/>
          <w:color w:val="000000"/>
          <w:kern w:val="0"/>
          <w:sz w:val="32"/>
          <w:szCs w:val="32"/>
          <w:lang w:eastAsia="zh-CN"/>
        </w:rPr>
        <w:t>二</w:t>
      </w:r>
      <w:r>
        <w:rPr>
          <w:rFonts w:hint="eastAsia" w:ascii="仿宋_GB2312" w:hAnsi="华文仿宋" w:eastAsia="仿宋_GB2312" w:cs="宋体"/>
          <w:bCs/>
          <w:color w:val="000000"/>
          <w:kern w:val="0"/>
          <w:sz w:val="32"/>
          <w:szCs w:val="32"/>
        </w:rPr>
        <w:t>）完成主管</w:t>
      </w:r>
      <w:r>
        <w:rPr>
          <w:rFonts w:hint="eastAsia" w:ascii="仿宋_GB2312" w:hAnsi="华文仿宋" w:eastAsia="仿宋_GB2312" w:cs="宋体"/>
          <w:bCs/>
          <w:color w:val="000000"/>
          <w:kern w:val="0"/>
          <w:sz w:val="32"/>
          <w:szCs w:val="32"/>
          <w:lang w:eastAsia="zh-CN"/>
        </w:rPr>
        <w:t>单位</w:t>
      </w:r>
      <w:r>
        <w:rPr>
          <w:rFonts w:hint="eastAsia" w:ascii="仿宋_GB2312" w:hAnsi="华文仿宋" w:eastAsia="仿宋_GB2312" w:cs="宋体"/>
          <w:bCs/>
          <w:color w:val="000000"/>
          <w:kern w:val="0"/>
          <w:sz w:val="32"/>
          <w:szCs w:val="32"/>
        </w:rPr>
        <w:t>交办的其他任务。</w:t>
      </w:r>
    </w:p>
    <w:p>
      <w:pPr>
        <w:keepNext w:val="0"/>
        <w:keepLines w:val="0"/>
        <w:pageBreakBefore w:val="0"/>
        <w:widowControl w:val="0"/>
        <w:kinsoku/>
        <w:wordWrap/>
        <w:overflowPunct/>
        <w:topLinePunct w:val="0"/>
        <w:autoSpaceDE/>
        <w:autoSpaceDN/>
        <w:bidi w:val="0"/>
        <w:ind w:firstLine="640" w:firstLineChars="200"/>
        <w:jc w:val="left"/>
        <w:textAlignment w:val="auto"/>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keepNext w:val="0"/>
        <w:keepLines w:val="0"/>
        <w:pageBreakBefore w:val="0"/>
        <w:widowControl w:val="0"/>
        <w:kinsoku/>
        <w:wordWrap/>
        <w:overflowPunct/>
        <w:topLinePunct w:val="0"/>
        <w:autoSpaceDE/>
        <w:autoSpaceDN/>
        <w:bidi w:val="0"/>
        <w:adjustRightInd w:val="0"/>
        <w:snapToGrid w:val="0"/>
        <w:spacing w:line="560" w:lineRule="exact"/>
        <w:ind w:right="-218" w:rightChars="-104" w:firstLine="640" w:firstLineChars="200"/>
        <w:jc w:val="left"/>
        <w:textAlignment w:val="auto"/>
        <w:rPr>
          <w:rFonts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柳州市财政局干部教育中心为柳州市财政局管理的公益</w:t>
      </w:r>
      <w:r>
        <w:rPr>
          <w:rFonts w:hint="eastAsia" w:ascii="仿宋_GB2312" w:hAnsi="华文仿宋" w:eastAsia="仿宋_GB2312" w:cs="宋体"/>
          <w:bCs/>
          <w:color w:val="000000"/>
          <w:kern w:val="0"/>
          <w:sz w:val="32"/>
          <w:szCs w:val="32"/>
          <w:lang w:eastAsia="zh-CN"/>
        </w:rPr>
        <w:t>二</w:t>
      </w:r>
      <w:r>
        <w:rPr>
          <w:rFonts w:hint="eastAsia" w:ascii="仿宋_GB2312" w:hAnsi="华文仿宋" w:eastAsia="仿宋_GB2312" w:cs="宋体"/>
          <w:bCs/>
          <w:color w:val="000000"/>
          <w:kern w:val="0"/>
          <w:sz w:val="32"/>
          <w:szCs w:val="32"/>
        </w:rPr>
        <w:t>类全额拨款事业单位。下设科室有干部教育科。</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hint="eastAsia" w:ascii="仿宋_GB2312" w:eastAsia="仿宋_GB2312"/>
          <w:b/>
          <w:sz w:val="32"/>
          <w:szCs w:val="32"/>
        </w:rPr>
        <w:sectPr>
          <w:headerReference r:id="rId3" w:type="default"/>
          <w:footerReference r:id="rId4" w:type="default"/>
          <w:pgSz w:w="11906" w:h="16838"/>
          <w:pgMar w:top="1440" w:right="1797" w:bottom="1440" w:left="1378"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柳州市财政局干部教育中心</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jc w:val="center"/>
      </w:pPr>
    </w:p>
    <w:p/>
    <w:tbl>
      <w:tblPr>
        <w:tblStyle w:val="5"/>
        <w:tblW w:w="8720" w:type="dxa"/>
        <w:jc w:val="center"/>
        <w:tblInd w:w="0"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118.98</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205.53</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2.37</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i w:val="0"/>
                <w:color w:val="000000"/>
                <w:kern w:val="0"/>
                <w:sz w:val="22"/>
                <w:szCs w:val="22"/>
                <w:u w:val="none"/>
                <w:lang w:val="en-US" w:eastAsia="zh-CN" w:bidi="ar"/>
              </w:rPr>
              <w:t>十九、住房保障支出</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2.71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i w:val="0"/>
                <w:color w:val="000000"/>
                <w:kern w:val="0"/>
                <w:sz w:val="22"/>
                <w:szCs w:val="22"/>
                <w:u w:val="none"/>
                <w:lang w:val="en-US" w:eastAsia="zh-CN" w:bidi="ar"/>
              </w:rPr>
            </w:pP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118.98</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217.62</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167.85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69.22</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286.83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286.83</w:t>
            </w:r>
          </w:p>
        </w:tc>
      </w:tr>
    </w:tbl>
    <w:p>
      <w:pPr>
        <w:rPr>
          <w:rFonts w:hint="eastAsia"/>
        </w:rPr>
      </w:pPr>
      <w:r>
        <w:rPr>
          <w:rFonts w:hint="eastAsia"/>
        </w:rPr>
        <w:t>注：本表反映</w:t>
      </w:r>
      <w:r>
        <w:rPr>
          <w:rFonts w:hint="eastAsia"/>
          <w:lang w:eastAsia="zh-CN"/>
        </w:rPr>
        <w:t>单位</w:t>
      </w:r>
      <w:r>
        <w:rPr>
          <w:rFonts w:hint="eastAsia"/>
        </w:rPr>
        <w:t>本年度的总收支和年末结转结余情况。</w:t>
      </w: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sectPr>
          <w:pgSz w:w="11906" w:h="16838"/>
          <w:pgMar w:top="1440" w:right="1797" w:bottom="1440" w:left="1378" w:header="851" w:footer="992" w:gutter="0"/>
          <w:pgNumType w:fmt="numberInDash"/>
          <w:cols w:space="0" w:num="1"/>
          <w:rtlGutter w:val="0"/>
          <w:docGrid w:type="lines" w:linePitch="312" w:charSpace="0"/>
        </w:sectPr>
      </w:pP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782" w:type="dxa"/>
        <w:jc w:val="center"/>
        <w:tblInd w:w="0" w:type="dxa"/>
        <w:tblLayout w:type="fixed"/>
        <w:tblCellMar>
          <w:top w:w="0" w:type="dxa"/>
          <w:left w:w="108" w:type="dxa"/>
          <w:bottom w:w="0" w:type="dxa"/>
          <w:right w:w="108" w:type="dxa"/>
        </w:tblCellMar>
      </w:tblPr>
      <w:tblGrid>
        <w:gridCol w:w="1427"/>
        <w:gridCol w:w="4055"/>
        <w:gridCol w:w="1540"/>
        <w:gridCol w:w="1211"/>
        <w:gridCol w:w="1215"/>
        <w:gridCol w:w="1263"/>
        <w:gridCol w:w="1231"/>
        <w:gridCol w:w="1540"/>
        <w:gridCol w:w="1300"/>
      </w:tblGrid>
      <w:tr>
        <w:tblPrEx>
          <w:tblLayout w:type="fixed"/>
          <w:tblCellMar>
            <w:top w:w="0" w:type="dxa"/>
            <w:left w:w="108" w:type="dxa"/>
            <w:bottom w:w="0" w:type="dxa"/>
            <w:right w:w="108" w:type="dxa"/>
          </w:tblCellMar>
        </w:tblPrEx>
        <w:trPr>
          <w:trHeight w:val="288" w:hRule="atLeast"/>
          <w:jc w:val="center"/>
        </w:trPr>
        <w:tc>
          <w:tcPr>
            <w:tcW w:w="5482"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2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26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3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405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6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48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21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26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31"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3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5482"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118.98</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118.98</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106.90</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106.90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106.90</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106.90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2010650</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22.36</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22.36</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2010699</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84.54</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84.54</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405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3.69</w:t>
            </w:r>
          </w:p>
        </w:tc>
        <w:tc>
          <w:tcPr>
            <w:tcW w:w="121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3.69</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4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0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pPr>
        <w:rPr>
          <w:rFonts w:hint="eastAsia"/>
        </w:rPr>
      </w:pPr>
      <w:r>
        <w:rPr>
          <w:rFonts w:hint="eastAsia"/>
        </w:rPr>
        <w:t>注：本表反映</w:t>
      </w:r>
      <w:r>
        <w:rPr>
          <w:rFonts w:hint="eastAsia"/>
          <w:lang w:eastAsia="zh-CN"/>
        </w:rPr>
        <w:t>单位</w:t>
      </w:r>
      <w:r>
        <w:rPr>
          <w:rFonts w:hint="eastAsia"/>
        </w:rPr>
        <w:t>本年度取得的各项收入情况。</w:t>
      </w:r>
    </w:p>
    <w:p>
      <w:pPr>
        <w:rPr>
          <w:rFonts w:hint="eastAsia"/>
        </w:rPr>
      </w:pPr>
    </w:p>
    <w:p>
      <w:pPr>
        <w:jc w:val="center"/>
        <w:rPr>
          <w:rFonts w:hint="eastAsia" w:ascii="方正小标宋简体" w:hAnsi="宋体" w:eastAsia="方正小标宋简体" w:cs="宋体"/>
          <w:kern w:val="0"/>
          <w:sz w:val="36"/>
          <w:szCs w:val="36"/>
        </w:rPr>
        <w:sectPr>
          <w:pgSz w:w="16838" w:h="11906" w:orient="landscape"/>
          <w:pgMar w:top="1378" w:right="1440" w:bottom="1797" w:left="1440" w:header="851" w:footer="992" w:gutter="0"/>
          <w:pgNumType w:fmt="numberInDash"/>
          <w:cols w:space="0" w:num="1"/>
          <w:rtlGutter w:val="0"/>
          <w:docGrid w:type="lines" w:linePitch="323" w:charSpace="0"/>
        </w:sectPr>
      </w:pP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3298" w:type="dxa"/>
        <w:jc w:val="center"/>
        <w:tblInd w:w="0" w:type="dxa"/>
        <w:tblLayout w:type="fixed"/>
        <w:tblCellMar>
          <w:top w:w="0" w:type="dxa"/>
          <w:left w:w="108" w:type="dxa"/>
          <w:bottom w:w="0" w:type="dxa"/>
          <w:right w:w="108" w:type="dxa"/>
        </w:tblCellMar>
      </w:tblPr>
      <w:tblGrid>
        <w:gridCol w:w="1266"/>
        <w:gridCol w:w="4132"/>
        <w:gridCol w:w="1236"/>
        <w:gridCol w:w="1241"/>
        <w:gridCol w:w="1215"/>
        <w:gridCol w:w="1129"/>
        <w:gridCol w:w="1463"/>
        <w:gridCol w:w="1616"/>
      </w:tblGrid>
      <w:tr>
        <w:tblPrEx>
          <w:tblLayout w:type="fixed"/>
          <w:tblCellMar>
            <w:top w:w="0" w:type="dxa"/>
            <w:left w:w="108" w:type="dxa"/>
            <w:bottom w:w="0" w:type="dxa"/>
            <w:right w:w="108" w:type="dxa"/>
          </w:tblCellMar>
        </w:tblPrEx>
        <w:trPr>
          <w:trHeight w:val="288" w:hRule="atLeast"/>
          <w:jc w:val="center"/>
        </w:trPr>
        <w:tc>
          <w:tcPr>
            <w:tcW w:w="53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2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24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1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4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6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413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5398"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23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24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21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12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46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6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5398"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217.62</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38.30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179.32</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413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一般公共服务支出</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205.53</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26.21</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179.32</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w:t>
            </w:r>
          </w:p>
        </w:tc>
        <w:tc>
          <w:tcPr>
            <w:tcW w:w="413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财政事务</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205.53</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26.21</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179.32</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2010650</w:t>
            </w:r>
          </w:p>
        </w:tc>
        <w:tc>
          <w:tcPr>
            <w:tcW w:w="413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事业运行</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26.21</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26.21</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2010699</w:t>
            </w:r>
          </w:p>
        </w:tc>
        <w:tc>
          <w:tcPr>
            <w:tcW w:w="413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179.32</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179.32</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413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413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23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4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3.69</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3.69</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2080506</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2101102</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事业单位医疗</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pPr>
        <w:rPr>
          <w:rFonts w:hint="eastAsia"/>
        </w:rPr>
      </w:pPr>
      <w:r>
        <w:rPr>
          <w:rFonts w:hint="eastAsia"/>
        </w:rPr>
        <w:t>注：本表反映</w:t>
      </w:r>
      <w:r>
        <w:rPr>
          <w:rFonts w:hint="eastAsia"/>
          <w:lang w:eastAsia="zh-CN"/>
        </w:rPr>
        <w:t>单位</w:t>
      </w:r>
      <w:r>
        <w:rPr>
          <w:rFonts w:hint="eastAsia"/>
        </w:rPr>
        <w:t>本年度各项支出情况。</w:t>
      </w:r>
    </w:p>
    <w:p>
      <w:pPr>
        <w:ind w:firstLine="3600" w:firstLineChars="1000"/>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p>
      <w:pPr>
        <w:rPr>
          <w:rFonts w:hint="eastAsia"/>
        </w:rPr>
      </w:pPr>
    </w:p>
    <w:tbl>
      <w:tblPr>
        <w:tblStyle w:val="5"/>
        <w:tblW w:w="13329" w:type="dxa"/>
        <w:tblInd w:w="0" w:type="dxa"/>
        <w:tblLayout w:type="fixed"/>
        <w:tblCellMar>
          <w:top w:w="0" w:type="dxa"/>
          <w:left w:w="108" w:type="dxa"/>
          <w:bottom w:w="0" w:type="dxa"/>
          <w:right w:w="108" w:type="dxa"/>
        </w:tblCellMar>
      </w:tblPr>
      <w:tblGrid>
        <w:gridCol w:w="3724"/>
        <w:gridCol w:w="713"/>
        <w:gridCol w:w="1107"/>
        <w:gridCol w:w="3372"/>
        <w:gridCol w:w="681"/>
        <w:gridCol w:w="1267"/>
        <w:gridCol w:w="1149"/>
        <w:gridCol w:w="1316"/>
      </w:tblGrid>
      <w:tr>
        <w:tblPrEx>
          <w:tblLayout w:type="fixed"/>
          <w:tblCellMar>
            <w:top w:w="0" w:type="dxa"/>
            <w:left w:w="108" w:type="dxa"/>
            <w:bottom w:w="0" w:type="dxa"/>
            <w:right w:w="108" w:type="dxa"/>
          </w:tblCellMar>
        </w:tblPrEx>
        <w:trPr>
          <w:trHeight w:val="300" w:hRule="atLeast"/>
        </w:trPr>
        <w:tc>
          <w:tcPr>
            <w:tcW w:w="5544"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trPr>
        <w:tc>
          <w:tcPr>
            <w:tcW w:w="372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13"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0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13"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0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118.98</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一、一般公共服务支出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205.53</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205.53</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10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九、卫生健康支出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2.37</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10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十九、住房保障支出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10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10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10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w:t>
            </w:r>
          </w:p>
        </w:tc>
        <w:tc>
          <w:tcPr>
            <w:tcW w:w="126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10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118.98</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217.62</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155.11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56.48</w:t>
            </w: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kern w:val="0"/>
                <w:sz w:val="22"/>
                <w:szCs w:val="22"/>
              </w:rPr>
            </w:pPr>
            <w:r>
              <w:rPr>
                <w:rFonts w:hint="eastAsia" w:ascii="宋体" w:hAnsi="宋体" w:cs="Arial"/>
                <w:kern w:val="0"/>
                <w:sz w:val="22"/>
                <w:szCs w:val="22"/>
              </w:rPr>
              <w:t>一般公共预算财政拨款</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155.11</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25</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w:t>
            </w:r>
          </w:p>
        </w:tc>
        <w:tc>
          <w:tcPr>
            <w:tcW w:w="3732" w:type="dxa"/>
            <w:gridSpan w:val="3"/>
            <w:tcBorders>
              <w:top w:val="single" w:color="auto" w:sz="4" w:space="0"/>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724"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1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w:t>
            </w:r>
          </w:p>
        </w:tc>
        <w:tc>
          <w:tcPr>
            <w:tcW w:w="110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274.09</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274.09</w:t>
            </w:r>
          </w:p>
        </w:tc>
      </w:tr>
    </w:tbl>
    <w:p>
      <w:pPr>
        <w:jc w:val="right"/>
        <w:rPr>
          <w:sz w:val="22"/>
          <w:szCs w:val="22"/>
        </w:rPr>
      </w:pPr>
    </w:p>
    <w:p>
      <w:pPr>
        <w:jc w:val="right"/>
        <w:rPr>
          <w:sz w:val="22"/>
          <w:szCs w:val="22"/>
        </w:rPr>
      </w:pPr>
    </w:p>
    <w:p>
      <w:pPr>
        <w:rPr>
          <w:rFonts w:hint="eastAsia"/>
        </w:rPr>
      </w:pPr>
      <w:r>
        <w:rPr>
          <w:rFonts w:hint="eastAsia"/>
        </w:rPr>
        <w:t>注：本表反映</w:t>
      </w:r>
      <w:r>
        <w:rPr>
          <w:rFonts w:hint="eastAsia"/>
          <w:lang w:eastAsia="zh-CN"/>
        </w:rPr>
        <w:t>单位</w:t>
      </w:r>
      <w:r>
        <w:rPr>
          <w:rFonts w:hint="eastAsia"/>
        </w:rPr>
        <w:t>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2968" w:type="dxa"/>
        <w:jc w:val="center"/>
        <w:tblInd w:w="0" w:type="dxa"/>
        <w:tblLayout w:type="fixed"/>
        <w:tblCellMar>
          <w:top w:w="0" w:type="dxa"/>
          <w:left w:w="108" w:type="dxa"/>
          <w:bottom w:w="0" w:type="dxa"/>
          <w:right w:w="108" w:type="dxa"/>
        </w:tblCellMar>
      </w:tblPr>
      <w:tblGrid>
        <w:gridCol w:w="1359"/>
        <w:gridCol w:w="3967"/>
        <w:gridCol w:w="2285"/>
        <w:gridCol w:w="2604"/>
        <w:gridCol w:w="2753"/>
      </w:tblGrid>
      <w:tr>
        <w:tblPrEx>
          <w:tblLayout w:type="fixed"/>
          <w:tblCellMar>
            <w:top w:w="0" w:type="dxa"/>
            <w:left w:w="108" w:type="dxa"/>
            <w:bottom w:w="0" w:type="dxa"/>
            <w:right w:w="108" w:type="dxa"/>
          </w:tblCellMar>
        </w:tblPrEx>
        <w:trPr>
          <w:trHeight w:val="300" w:hRule="atLeast"/>
          <w:jc w:val="center"/>
        </w:trPr>
        <w:tc>
          <w:tcPr>
            <w:tcW w:w="532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2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6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7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359"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967"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2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7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5326"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285"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604"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753"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5326"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2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217.62</w:t>
            </w:r>
          </w:p>
        </w:tc>
        <w:tc>
          <w:tcPr>
            <w:tcW w:w="26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38.30</w:t>
            </w:r>
          </w:p>
        </w:tc>
        <w:tc>
          <w:tcPr>
            <w:tcW w:w="275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b/>
                <w:i w:val="0"/>
                <w:color w:val="000000"/>
                <w:kern w:val="0"/>
                <w:sz w:val="22"/>
                <w:szCs w:val="22"/>
                <w:u w:val="none"/>
                <w:lang w:val="en-US" w:eastAsia="zh-CN" w:bidi="ar"/>
              </w:rPr>
              <w:t>179.32</w:t>
            </w:r>
          </w:p>
        </w:tc>
      </w:tr>
      <w:tr>
        <w:tblPrEx>
          <w:tblLayout w:type="fixed"/>
          <w:tblCellMar>
            <w:top w:w="0" w:type="dxa"/>
            <w:left w:w="108" w:type="dxa"/>
            <w:bottom w:w="0" w:type="dxa"/>
            <w:right w:w="108" w:type="dxa"/>
          </w:tblCellMar>
        </w:tblPrEx>
        <w:trPr>
          <w:trHeight w:val="288"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一般公共服务支出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205.53</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26.21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179.32</w:t>
            </w:r>
          </w:p>
        </w:tc>
      </w:tr>
      <w:tr>
        <w:tblPrEx>
          <w:tblLayout w:type="fixed"/>
          <w:tblCellMar>
            <w:top w:w="0" w:type="dxa"/>
            <w:left w:w="108" w:type="dxa"/>
            <w:bottom w:w="0" w:type="dxa"/>
            <w:right w:w="108" w:type="dxa"/>
          </w:tblCellMar>
        </w:tblPrEx>
        <w:trPr>
          <w:trHeight w:val="288"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财政事务</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205.53</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26.21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179.32</w:t>
            </w:r>
          </w:p>
        </w:tc>
      </w:tr>
      <w:tr>
        <w:tblPrEx>
          <w:tblLayout w:type="fixed"/>
          <w:tblCellMar>
            <w:top w:w="0" w:type="dxa"/>
            <w:left w:w="108" w:type="dxa"/>
            <w:bottom w:w="0" w:type="dxa"/>
            <w:right w:w="108" w:type="dxa"/>
          </w:tblCellMar>
        </w:tblPrEx>
        <w:trPr>
          <w:trHeight w:val="288"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2010650</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事业运行</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26.21</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26.21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2010699</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179.32</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179.32</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7.00</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7.00</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7.00</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7.00</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2080502</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3.69</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3.69</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2.14</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2.14</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2080506</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机关事业单位职业年金缴费支出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1.18</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1.18</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2.37</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2.37</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2.37</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2.37</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2101102</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事业单位医疗</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2.37</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2.37</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2.71</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2.71</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3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9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2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2.71</w:t>
            </w:r>
          </w:p>
        </w:tc>
        <w:tc>
          <w:tcPr>
            <w:tcW w:w="26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2.71</w:t>
            </w:r>
          </w:p>
        </w:tc>
        <w:tc>
          <w:tcPr>
            <w:tcW w:w="27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w:t>
      </w:r>
      <w:r>
        <w:rPr>
          <w:rFonts w:hint="eastAsia"/>
          <w:lang w:eastAsia="zh-CN"/>
        </w:rPr>
        <w:t>单位</w:t>
      </w:r>
      <w:r>
        <w:rPr>
          <w:rFonts w:hint="eastAsia"/>
        </w:rPr>
        <w:t>本年度一般公共预算财政拨款实际支出情况。</w:t>
      </w:r>
    </w:p>
    <w:p>
      <w:pPr>
        <w:sectPr>
          <w:pgSz w:w="16838" w:h="11906" w:orient="landscape"/>
          <w:pgMar w:top="1378" w:right="1440" w:bottom="1797" w:left="1440" w:header="851" w:footer="992" w:gutter="0"/>
          <w:pgNumType w:fmt="numberInDash"/>
          <w:cols w:space="0" w:num="1"/>
          <w:rtlGutter w:val="0"/>
          <w:docGrid w:type="lines" w:linePitch="323"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941" w:type="dxa"/>
        <w:jc w:val="center"/>
        <w:tblInd w:w="0" w:type="dxa"/>
        <w:tblLayout w:type="fixed"/>
        <w:tblCellMar>
          <w:top w:w="0" w:type="dxa"/>
          <w:left w:w="108" w:type="dxa"/>
          <w:bottom w:w="0" w:type="dxa"/>
          <w:right w:w="108" w:type="dxa"/>
        </w:tblCellMar>
      </w:tblPr>
      <w:tblGrid>
        <w:gridCol w:w="1295"/>
        <w:gridCol w:w="2882"/>
        <w:gridCol w:w="1190"/>
        <w:gridCol w:w="1259"/>
        <w:gridCol w:w="1710"/>
        <w:gridCol w:w="1605"/>
      </w:tblGrid>
      <w:tr>
        <w:tblPrEx>
          <w:tblLayout w:type="fixed"/>
          <w:tblCellMar>
            <w:top w:w="0" w:type="dxa"/>
            <w:left w:w="108" w:type="dxa"/>
            <w:bottom w:w="0" w:type="dxa"/>
            <w:right w:w="108" w:type="dxa"/>
          </w:tblCellMar>
        </w:tblPrEx>
        <w:trPr>
          <w:trHeight w:val="564" w:hRule="atLeast"/>
          <w:jc w:val="center"/>
        </w:trPr>
        <w:tc>
          <w:tcPr>
            <w:tcW w:w="536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57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jc w:val="center"/>
        </w:trPr>
        <w:tc>
          <w:tcPr>
            <w:tcW w:w="1295"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88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9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25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264"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工资福利支出</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30.26</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商品和服务支出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3.55</w:t>
            </w:r>
          </w:p>
        </w:tc>
      </w:tr>
      <w:tr>
        <w:tblPrEx>
          <w:tblLayout w:type="fixed"/>
          <w:tblCellMar>
            <w:top w:w="0" w:type="dxa"/>
            <w:left w:w="108" w:type="dxa"/>
            <w:bottom w:w="0" w:type="dxa"/>
            <w:right w:w="108" w:type="dxa"/>
          </w:tblCellMar>
        </w:tblPrEx>
        <w:trPr>
          <w:trHeight w:val="264"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30101</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基本工资</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5.89</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30201</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办公费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0.83</w:t>
            </w:r>
          </w:p>
        </w:tc>
      </w:tr>
      <w:tr>
        <w:tblPrEx>
          <w:tblLayout w:type="fixed"/>
          <w:tblCellMar>
            <w:top w:w="0" w:type="dxa"/>
            <w:left w:w="108" w:type="dxa"/>
            <w:bottom w:w="0" w:type="dxa"/>
            <w:right w:w="108" w:type="dxa"/>
          </w:tblCellMar>
        </w:tblPrEx>
        <w:trPr>
          <w:trHeight w:val="264"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30103</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奖金</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10.23</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30211</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差旅费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0.27</w:t>
            </w: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30107</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绩效工资</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4.63</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30216</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培训费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0.12</w:t>
            </w: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30108</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30228</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工会经费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0.56</w:t>
            </w: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30109</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职业年金缴费</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1.18</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30299</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1.78</w:t>
            </w: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30110</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0.75</w:t>
            </w:r>
          </w:p>
        </w:tc>
        <w:tc>
          <w:tcPr>
            <w:tcW w:w="1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30111</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2.47</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30112</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0.27</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30113</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2.71</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对个人和家庭的补助</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4.48</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30399</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1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4.48</w:t>
            </w:r>
          </w:p>
        </w:tc>
        <w:tc>
          <w:tcPr>
            <w:tcW w:w="125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8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1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8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19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5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jc w:val="center"/>
        </w:trPr>
        <w:tc>
          <w:tcPr>
            <w:tcW w:w="129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288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34.74</w:t>
            </w:r>
          </w:p>
        </w:tc>
        <w:tc>
          <w:tcPr>
            <w:tcW w:w="11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4574" w:type="dxa"/>
            <w:gridSpan w:val="3"/>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3.55</w:t>
            </w:r>
          </w:p>
        </w:tc>
      </w:tr>
    </w:tbl>
    <w:p>
      <w:pPr>
        <w:rPr>
          <w:rFonts w:hint="eastAsia"/>
        </w:rPr>
      </w:pPr>
      <w:r>
        <w:rPr>
          <w:rFonts w:hint="eastAsia"/>
        </w:rPr>
        <w:t>注：本表反映</w:t>
      </w:r>
      <w:r>
        <w:rPr>
          <w:rFonts w:hint="eastAsia"/>
          <w:lang w:eastAsia="zh-CN"/>
        </w:rPr>
        <w:t>单位</w:t>
      </w:r>
      <w:r>
        <w:rPr>
          <w:rFonts w:hint="eastAsia"/>
        </w:rPr>
        <w:t>本年度一般公共预算财政拨款基本支出明细情况。</w:t>
      </w:r>
    </w:p>
    <w:p>
      <w:pPr>
        <w:rPr>
          <w:rFonts w:hint="eastAsia"/>
        </w:rPr>
      </w:pPr>
    </w:p>
    <w:p>
      <w:pPr>
        <w:rPr>
          <w:rFonts w:hint="eastAsia"/>
        </w:rPr>
      </w:pPr>
    </w:p>
    <w:p>
      <w:pPr>
        <w:rPr>
          <w:rFonts w:hint="eastAsia"/>
        </w:rPr>
      </w:pPr>
    </w:p>
    <w:p>
      <w:pPr>
        <w:rPr>
          <w:rFonts w:hint="eastAsia"/>
        </w:rPr>
      </w:pPr>
    </w:p>
    <w:p>
      <w:pPr>
        <w:jc w:val="center"/>
        <w:rPr>
          <w:rFonts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sectPr>
          <w:pgSz w:w="11906" w:h="16838"/>
          <w:pgMar w:top="1440" w:right="1797" w:bottom="1440" w:left="1378" w:header="851" w:footer="992" w:gutter="0"/>
          <w:pgNumType w:fmt="numberInDash"/>
          <w:cols w:space="0" w:num="1"/>
          <w:rtlGutter w:val="0"/>
          <w:docGrid w:type="lines" w:linePitch="323"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Ind w:w="0"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0.11</w:t>
            </w:r>
          </w:p>
        </w:tc>
        <w:tc>
          <w:tcPr>
            <w:tcW w:w="1603"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82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0.11</w:t>
            </w:r>
          </w:p>
        </w:tc>
        <w:tc>
          <w:tcPr>
            <w:tcW w:w="1242"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42"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16"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0.11</w:t>
            </w:r>
          </w:p>
        </w:tc>
        <w:tc>
          <w:tcPr>
            <w:tcW w:w="806"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560"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806"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398" w:type="dxa"/>
            <w:tcBorders>
              <w:top w:val="nil"/>
              <w:left w:val="nil"/>
              <w:bottom w:val="single" w:color="auto" w:sz="4" w:space="0"/>
              <w:right w:val="single" w:color="auto" w:sz="4" w:space="0"/>
            </w:tcBorders>
          </w:tcPr>
          <w:p>
            <w:pPr>
              <w:widowControl/>
              <w:jc w:val="center"/>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0.00</w:t>
            </w:r>
          </w:p>
        </w:tc>
        <w:tc>
          <w:tcPr>
            <w:tcW w:w="120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c>
          <w:tcPr>
            <w:tcW w:w="1183"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0.00</w:t>
            </w:r>
          </w:p>
        </w:tc>
      </w:tr>
    </w:tbl>
    <w:p>
      <w:pPr>
        <w:rPr>
          <w:rFonts w:hint="eastAsia"/>
        </w:rPr>
      </w:pPr>
      <w:r>
        <w:rPr>
          <w:rFonts w:hint="eastAsia"/>
        </w:rPr>
        <w:t>注：本表反映</w:t>
      </w:r>
      <w:r>
        <w:rPr>
          <w:rFonts w:hint="eastAsia"/>
          <w:lang w:eastAsia="zh-CN"/>
        </w:rPr>
        <w:t>单位</w:t>
      </w:r>
      <w:r>
        <w:rPr>
          <w:rFonts w:hint="eastAsia"/>
        </w:rPr>
        <w:t>本年度“三公”经费支出预决算情况。其中，2020年度预算数为“三公”经费年初预算数，决算数是包括当年一般公共预算财政拨款和以前年度结转资金安排的实际支出。</w:t>
      </w:r>
    </w:p>
    <w:p>
      <w:pPr>
        <w:ind w:firstLine="945" w:firstLineChars="450"/>
      </w:pPr>
    </w:p>
    <w:p>
      <w:pPr>
        <w:sectPr>
          <w:pgSz w:w="16838" w:h="11906" w:orient="landscape"/>
          <w:pgMar w:top="1378" w:right="1440" w:bottom="1797" w:left="1440" w:header="851" w:footer="992" w:gutter="0"/>
          <w:pgNumType w:fmt="numberInDash"/>
          <w:cols w:space="0" w:num="1"/>
          <w:rtlGutter w:val="0"/>
          <w:docGrid w:type="lines" w:linePitch="323" w:charSpace="0"/>
        </w:sectPr>
      </w:pPr>
    </w:p>
    <w:p/>
    <w:p/>
    <w:tbl>
      <w:tblPr>
        <w:tblStyle w:val="5"/>
        <w:tblW w:w="12480" w:type="dxa"/>
        <w:jc w:val="center"/>
        <w:tblInd w:w="0"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ind w:firstLine="945" w:firstLineChars="450"/>
      </w:pPr>
      <w:r>
        <w:rPr>
          <w:rFonts w:hint="eastAsia"/>
        </w:rPr>
        <w:t>注：本表反映</w:t>
      </w:r>
      <w:r>
        <w:rPr>
          <w:rFonts w:hint="eastAsia"/>
          <w:lang w:eastAsia="zh-CN"/>
        </w:rPr>
        <w:t>单位</w:t>
      </w:r>
      <w:r>
        <w:rPr>
          <w:rFonts w:hint="eastAsia"/>
        </w:rPr>
        <w:t>本年度政府性基金预算财政拨款收入支出及结转和结余情况。</w:t>
      </w:r>
    </w:p>
    <w:p>
      <w:pPr>
        <w:ind w:firstLine="945" w:firstLineChars="450"/>
      </w:pPr>
    </w:p>
    <w:p>
      <w:pPr>
        <w:spacing w:line="560" w:lineRule="exact"/>
        <w:ind w:firstLine="1050" w:firstLineChars="500"/>
      </w:pPr>
      <w:r>
        <w:rPr>
          <w:rFonts w:hint="eastAsia"/>
        </w:rPr>
        <w:t>说明：柳州市财政局干部教育中心没有政府性基金预算财政拨款收入，也没有政府性基金预算财政拨款安排的支出，故本表无数据</w:t>
      </w:r>
    </w:p>
    <w:p>
      <w:pPr>
        <w:spacing w:line="560" w:lineRule="exact"/>
        <w:ind w:firstLine="420"/>
      </w:pPr>
    </w:p>
    <w:tbl>
      <w:tblPr>
        <w:tblStyle w:val="5"/>
        <w:tblW w:w="13520" w:type="dxa"/>
        <w:jc w:val="center"/>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Layout w:type="fixed"/>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Layout w:type="fixed"/>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eastAsia="zh-CN"/>
              </w:rPr>
              <w:t>单位</w:t>
            </w:r>
            <w:r>
              <w:rPr>
                <w:rFonts w:hint="eastAsia" w:ascii="宋体" w:hAnsi="宋体" w:cs="宋体"/>
                <w:color w:val="000000"/>
                <w:kern w:val="0"/>
                <w:sz w:val="20"/>
                <w:szCs w:val="20"/>
              </w:rPr>
              <w:t>：</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Layout w:type="fixed"/>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Layout w:type="fixed"/>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Layout w:type="fixed"/>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Layout w:type="fixed"/>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Layout w:type="fixed"/>
          <w:tblCellMar>
            <w:top w:w="15" w:type="dxa"/>
            <w:left w:w="15" w:type="dxa"/>
            <w:bottom w:w="15" w:type="dxa"/>
            <w:right w:w="15" w:type="dxa"/>
          </w:tblCellMar>
        </w:tblPrEx>
        <w:trPr>
          <w:trHeight w:val="798" w:hRule="atLeast"/>
          <w:jc w:val="center"/>
        </w:trPr>
        <w:tc>
          <w:tcPr>
            <w:tcW w:w="13520" w:type="dxa"/>
            <w:gridSpan w:val="6"/>
            <w:tcBorders>
              <w:top w:val="single" w:color="000000" w:sz="12" w:space="0"/>
            </w:tcBorders>
            <w:shd w:val="clear" w:color="auto" w:fill="auto"/>
            <w:vAlign w:val="center"/>
          </w:tcPr>
          <w:p>
            <w:pPr>
              <w:rPr>
                <w:rFonts w:hint="eastAsia"/>
              </w:rPr>
            </w:pPr>
            <w:r>
              <w:rPr>
                <w:rFonts w:hint="eastAsia" w:ascii="宋体" w:hAnsi="宋体" w:cs="宋体"/>
                <w:color w:val="000000"/>
                <w:kern w:val="0"/>
                <w:sz w:val="24"/>
              </w:rPr>
              <w:t>注：本表反映</w:t>
            </w:r>
            <w:r>
              <w:rPr>
                <w:rFonts w:hint="eastAsia" w:ascii="宋体" w:hAnsi="宋体" w:cs="宋体"/>
                <w:color w:val="000000"/>
                <w:kern w:val="0"/>
                <w:sz w:val="24"/>
                <w:lang w:eastAsia="zh-CN"/>
              </w:rPr>
              <w:t>单位</w:t>
            </w:r>
            <w:r>
              <w:rPr>
                <w:rFonts w:hint="eastAsia" w:ascii="宋体" w:hAnsi="宋体" w:cs="宋体"/>
                <w:color w:val="000000"/>
                <w:kern w:val="0"/>
                <w:sz w:val="24"/>
              </w:rPr>
              <w:t>本年度国有资本经营预算财政拨款支出情况。</w:t>
            </w:r>
          </w:p>
          <w:p>
            <w:pPr>
              <w:ind w:firstLine="945" w:firstLineChars="450"/>
            </w:pPr>
          </w:p>
          <w:p>
            <w:r>
              <w:rPr>
                <w:rFonts w:hint="eastAsia"/>
              </w:rPr>
              <w:t>说明：柳州市财政局干部教育中心没有国有资本经营预算财政拨款收入，也没有国有资本经营预算财政拨款安排的支出，故本表无数据。</w:t>
            </w:r>
          </w:p>
          <w:p>
            <w:pPr>
              <w:widowControl/>
              <w:jc w:val="left"/>
              <w:textAlignment w:val="center"/>
              <w:rPr>
                <w:rFonts w:ascii="宋体" w:hAnsi="宋体" w:cs="宋体"/>
                <w:color w:val="000000"/>
                <w:sz w:val="24"/>
              </w:rPr>
            </w:pPr>
          </w:p>
        </w:tc>
      </w:tr>
    </w:tbl>
    <w:p>
      <w:pPr>
        <w:spacing w:line="560" w:lineRule="exact"/>
        <w:ind w:firstLine="420"/>
        <w:sectPr>
          <w:pgSz w:w="16838" w:h="11906" w:orient="landscape"/>
          <w:pgMar w:top="1378" w:right="1440" w:bottom="1797" w:left="1440" w:header="851" w:footer="992" w:gutter="0"/>
          <w:pgNumType w:fmt="numberInDash"/>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柳州市财政局干部教育中心</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w:t>
      </w:r>
      <w:r>
        <w:rPr>
          <w:rFonts w:ascii="仿宋_GB2312" w:eastAsia="仿宋_GB2312" w:cs="仿宋_GB2312"/>
          <w:bCs/>
          <w:kern w:val="0"/>
          <w:sz w:val="32"/>
          <w:szCs w:val="32"/>
        </w:rPr>
        <w:t>286.83</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286.83</w:t>
      </w:r>
      <w:r>
        <w:rPr>
          <w:rFonts w:hint="eastAsia" w:ascii="仿宋_GB2312" w:eastAsia="仿宋_GB2312" w:cs="仿宋_GB2312"/>
          <w:bCs/>
          <w:kern w:val="0"/>
          <w:sz w:val="32"/>
          <w:szCs w:val="32"/>
        </w:rPr>
        <w:t>万元，与2019年相比，收、支分均减少</w:t>
      </w:r>
      <w:r>
        <w:rPr>
          <w:rFonts w:ascii="仿宋_GB2312" w:eastAsia="仿宋_GB2312" w:cs="仿宋_GB2312"/>
          <w:bCs/>
          <w:kern w:val="0"/>
          <w:sz w:val="32"/>
          <w:szCs w:val="32"/>
        </w:rPr>
        <w:t>146.71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均下降</w:t>
      </w:r>
      <w:r>
        <w:rPr>
          <w:rFonts w:ascii="仿宋_GB2312" w:eastAsia="仿宋_GB2312" w:cs="仿宋_GB2312"/>
          <w:bCs/>
          <w:kern w:val="0"/>
          <w:sz w:val="32"/>
          <w:szCs w:val="32"/>
        </w:rPr>
        <w:t>33.84</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ascii="仿宋_GB2312" w:eastAsia="仿宋_GB2312" w:cs="仿宋_GB2312"/>
          <w:bCs/>
          <w:kern w:val="0"/>
          <w:sz w:val="32"/>
          <w:szCs w:val="32"/>
        </w:rPr>
        <w:t>118.98</w:t>
      </w:r>
      <w:r>
        <w:rPr>
          <w:rFonts w:hint="eastAsia" w:ascii="仿宋_GB2312" w:eastAsia="仿宋_GB2312" w:cs="仿宋_GB2312"/>
          <w:bCs/>
          <w:kern w:val="0"/>
          <w:sz w:val="32"/>
          <w:szCs w:val="32"/>
        </w:rPr>
        <w:t>万元 ，其中：一般公共预算财政拨款收入</w:t>
      </w:r>
      <w:r>
        <w:rPr>
          <w:rFonts w:ascii="仿宋_GB2312" w:eastAsia="仿宋_GB2312" w:cs="仿宋_GB2312"/>
          <w:bCs/>
          <w:kern w:val="0"/>
          <w:sz w:val="32"/>
          <w:szCs w:val="32"/>
        </w:rPr>
        <w:t>118.98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占比100%。</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ascii="仿宋_GB2312" w:eastAsia="仿宋_GB2312" w:cs="仿宋_GB2312"/>
          <w:bCs/>
          <w:kern w:val="0"/>
          <w:sz w:val="32"/>
          <w:szCs w:val="32"/>
        </w:rPr>
        <w:t>217.62</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38.30</w:t>
      </w:r>
      <w:r>
        <w:rPr>
          <w:rFonts w:hint="eastAsia" w:ascii="仿宋_GB2312" w:eastAsia="仿宋_GB2312" w:cs="仿宋_GB2312"/>
          <w:bCs/>
          <w:kern w:val="0"/>
          <w:sz w:val="32"/>
          <w:szCs w:val="32"/>
        </w:rPr>
        <w:t>万元，占17.60%；项目支出</w:t>
      </w:r>
      <w:r>
        <w:rPr>
          <w:rFonts w:ascii="仿宋_GB2312" w:eastAsia="仿宋_GB2312" w:cs="仿宋_GB2312"/>
          <w:bCs/>
          <w:kern w:val="0"/>
          <w:sz w:val="32"/>
          <w:szCs w:val="32"/>
        </w:rPr>
        <w:t>179.32</w:t>
      </w:r>
      <w:r>
        <w:rPr>
          <w:rFonts w:hint="eastAsia" w:ascii="仿宋_GB2312" w:eastAsia="仿宋_GB2312" w:cs="仿宋_GB2312"/>
          <w:bCs/>
          <w:kern w:val="0"/>
          <w:sz w:val="32"/>
          <w:szCs w:val="32"/>
        </w:rPr>
        <w:t>万元，占82.40%。</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2020年度财政拨款收、支总决算均为</w:t>
      </w:r>
      <w:r>
        <w:rPr>
          <w:rFonts w:ascii="仿宋_GB2312" w:eastAsia="仿宋_GB2312" w:cs="仿宋_GB2312"/>
          <w:bCs/>
          <w:kern w:val="0"/>
          <w:sz w:val="32"/>
          <w:szCs w:val="32"/>
        </w:rPr>
        <w:t>274.09</w:t>
      </w:r>
      <w:r>
        <w:rPr>
          <w:rFonts w:hint="eastAsia" w:ascii="仿宋_GB2312" w:eastAsia="仿宋_GB2312" w:cs="仿宋_GB2312"/>
          <w:bCs/>
          <w:kern w:val="0"/>
          <w:sz w:val="32"/>
          <w:szCs w:val="32"/>
        </w:rPr>
        <w:t>万元。与2019年相比，财政拨款收、支总计减少</w:t>
      </w:r>
      <w:r>
        <w:rPr>
          <w:rFonts w:ascii="仿宋_GB2312" w:eastAsia="仿宋_GB2312" w:cs="仿宋_GB2312"/>
          <w:bCs/>
          <w:kern w:val="0"/>
          <w:sz w:val="32"/>
          <w:szCs w:val="32"/>
        </w:rPr>
        <w:t>146.71</w:t>
      </w:r>
      <w:r>
        <w:rPr>
          <w:rFonts w:hint="eastAsia" w:ascii="仿宋_GB2312" w:eastAsia="仿宋_GB2312" w:cs="仿宋_GB2312"/>
          <w:bCs/>
          <w:kern w:val="0"/>
          <w:sz w:val="32"/>
          <w:szCs w:val="32"/>
        </w:rPr>
        <w:t>万元，均下降10.56%，下降</w:t>
      </w:r>
      <w:r>
        <w:rPr>
          <w:rFonts w:ascii="仿宋_GB2312" w:eastAsia="仿宋_GB2312" w:cs="仿宋_GB2312"/>
          <w:bCs/>
          <w:kern w:val="0"/>
          <w:sz w:val="32"/>
          <w:szCs w:val="32"/>
        </w:rPr>
        <w:t>34.86</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2020年度财政拨款支出</w:t>
      </w:r>
      <w:r>
        <w:rPr>
          <w:rFonts w:ascii="仿宋_GB2312" w:eastAsia="仿宋_GB2312" w:cs="仿宋_GB2312"/>
          <w:bCs/>
          <w:kern w:val="0"/>
          <w:sz w:val="32"/>
          <w:szCs w:val="32"/>
        </w:rPr>
        <w:t>217.62</w:t>
      </w:r>
      <w:r>
        <w:rPr>
          <w:rFonts w:hint="eastAsia" w:ascii="仿宋_GB2312" w:eastAsia="仿宋_GB2312" w:cs="仿宋_GB2312"/>
          <w:bCs/>
          <w:kern w:val="0"/>
          <w:sz w:val="32"/>
          <w:szCs w:val="32"/>
        </w:rPr>
        <w:t>万元，占本年支出合计的 100%。与2019年相比，财政拨款支出增（减）</w:t>
      </w:r>
      <w:r>
        <w:rPr>
          <w:rFonts w:ascii="仿宋_GB2312" w:eastAsia="仿宋_GB2312" w:cs="仿宋_GB2312"/>
          <w:bCs/>
          <w:kern w:val="0"/>
          <w:sz w:val="32"/>
          <w:szCs w:val="32"/>
        </w:rPr>
        <w:t>116.62</w:t>
      </w:r>
      <w:r>
        <w:rPr>
          <w:rFonts w:hint="eastAsia" w:ascii="仿宋_GB2312" w:eastAsia="仿宋_GB2312" w:cs="仿宋_GB2312"/>
          <w:bCs/>
          <w:kern w:val="0"/>
          <w:sz w:val="32"/>
          <w:szCs w:val="32"/>
        </w:rPr>
        <w:t>万元，增加24.66%。</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keepNext w:val="0"/>
        <w:keepLines w:val="0"/>
        <w:pageBreakBefore w:val="0"/>
        <w:widowControl w:val="0"/>
        <w:kinsoku/>
        <w:wordWrap/>
        <w:overflowPunct/>
        <w:topLinePunct w:val="0"/>
        <w:bidi w:val="0"/>
        <w:snapToGrid/>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ascii="仿宋_GB2312" w:eastAsia="仿宋_GB2312" w:cs="仿宋_GB2312"/>
          <w:bCs/>
          <w:kern w:val="0"/>
          <w:sz w:val="32"/>
          <w:szCs w:val="32"/>
        </w:rPr>
        <w:t>217.62</w:t>
      </w:r>
      <w:r>
        <w:rPr>
          <w:rFonts w:hint="eastAsia" w:ascii="仿宋_GB2312" w:eastAsia="仿宋_GB2312" w:cs="仿宋_GB2312"/>
          <w:bCs/>
          <w:kern w:val="0"/>
          <w:sz w:val="32"/>
          <w:szCs w:val="32"/>
        </w:rPr>
        <w:t>万元，主要用于以下方面：一般公共服务（类）支出205.53万元， 占94.44%；社会保障和就业（类）支出7.00万元，占3.22%；卫生健康支出支出</w:t>
      </w:r>
      <w:r>
        <w:rPr>
          <w:rFonts w:ascii="仿宋_GB2312" w:eastAsia="仿宋_GB2312" w:cs="仿宋_GB2312"/>
          <w:bCs/>
          <w:kern w:val="0"/>
          <w:sz w:val="32"/>
          <w:szCs w:val="32"/>
        </w:rPr>
        <w:t>2.37</w:t>
      </w:r>
      <w:r>
        <w:rPr>
          <w:rFonts w:hint="eastAsia" w:ascii="仿宋_GB2312" w:eastAsia="仿宋_GB2312" w:cs="仿宋_GB2312"/>
          <w:bCs/>
          <w:kern w:val="0"/>
          <w:sz w:val="32"/>
          <w:szCs w:val="32"/>
        </w:rPr>
        <w:t>万元，占1.09%； 住房保障（类）支出</w:t>
      </w:r>
      <w:r>
        <w:rPr>
          <w:rFonts w:ascii="仿宋_GB2312" w:eastAsia="仿宋_GB2312" w:cs="仿宋_GB2312"/>
          <w:bCs/>
          <w:kern w:val="0"/>
          <w:sz w:val="32"/>
          <w:szCs w:val="32"/>
        </w:rPr>
        <w:t>2.71</w:t>
      </w:r>
      <w:r>
        <w:rPr>
          <w:rFonts w:hint="eastAsia" w:ascii="仿宋_GB2312" w:eastAsia="仿宋_GB2312" w:cs="仿宋_GB2312"/>
          <w:bCs/>
          <w:kern w:val="0"/>
          <w:sz w:val="32"/>
          <w:szCs w:val="32"/>
        </w:rPr>
        <w:t>万元，占1.25%。</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
          <w:bCs/>
          <w:kern w:val="0"/>
          <w:sz w:val="32"/>
          <w:szCs w:val="32"/>
        </w:rPr>
      </w:pPr>
      <w:r>
        <w:rPr>
          <w:rFonts w:hint="eastAsia" w:ascii="仿宋_GB2312" w:eastAsia="仿宋_GB2312" w:cs="仿宋_GB2312"/>
          <w:bCs/>
          <w:kern w:val="0"/>
          <w:sz w:val="32"/>
          <w:szCs w:val="32"/>
        </w:rPr>
        <w:t>2020 年度财政拨款支出年初预算为262.85万元，支出决算为</w:t>
      </w:r>
      <w:r>
        <w:rPr>
          <w:rFonts w:ascii="仿宋_GB2312" w:eastAsia="仿宋_GB2312" w:cs="仿宋_GB2312"/>
          <w:bCs/>
          <w:kern w:val="0"/>
          <w:sz w:val="32"/>
          <w:szCs w:val="32"/>
        </w:rPr>
        <w:t>217.62</w:t>
      </w:r>
      <w:r>
        <w:rPr>
          <w:rFonts w:hint="eastAsia" w:ascii="仿宋_GB2312" w:eastAsia="仿宋_GB2312" w:cs="仿宋_GB2312"/>
          <w:bCs/>
          <w:kern w:val="0"/>
          <w:sz w:val="32"/>
          <w:szCs w:val="32"/>
        </w:rPr>
        <w:t>万元，完成年初预算的82.80%。决算数大于预算数的主要原因：一是继续教育培训费用支付存在时间差；二是柳州市财政局干部教育中心人员从2020年7月合并至绩效中心，人员经费在柳州市财政预算绩效管理中心进行支出，在原有单位只保留小部分开支进行过渡。其中：</w:t>
      </w:r>
      <w:r>
        <w:rPr>
          <w:rFonts w:hint="eastAsia" w:ascii="仿宋_GB2312" w:eastAsia="仿宋_GB2312" w:cs="仿宋_GB2312"/>
          <w:b/>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1.一般公共服务支出（类）财政事务（款）行政运行（项），支出功能分类科目编码2010650。年初预算为33.98万元，支出决算为</w:t>
      </w:r>
      <w:r>
        <w:rPr>
          <w:rFonts w:ascii="仿宋_GB2312" w:eastAsia="仿宋_GB2312" w:cs="仿宋_GB2312"/>
          <w:bCs/>
          <w:kern w:val="0"/>
          <w:sz w:val="32"/>
          <w:szCs w:val="32"/>
        </w:rPr>
        <w:t>26.21</w:t>
      </w:r>
      <w:r>
        <w:rPr>
          <w:rFonts w:hint="eastAsia" w:ascii="仿宋_GB2312" w:eastAsia="仿宋_GB2312" w:cs="仿宋_GB2312"/>
          <w:bCs/>
          <w:kern w:val="0"/>
          <w:sz w:val="32"/>
          <w:szCs w:val="32"/>
        </w:rPr>
        <w:t>万元，完成年初预算的77.13%。决算数小于预算数的主要原因是: 柳州市财政局干部教育中心人员从2020年7月合并至绩效中心，人员经费在柳州市财政预算绩效管理中心进行支出。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2.一般公共服务支出（类）财政事务（款）其他财政事务支出（项），支出功能分类科目编码2010699。年初预算为212.93万元，支出决算为</w:t>
      </w:r>
      <w:r>
        <w:rPr>
          <w:rFonts w:ascii="仿宋_GB2312" w:eastAsia="仿宋_GB2312" w:cs="仿宋_GB2312"/>
          <w:bCs/>
          <w:kern w:val="0"/>
          <w:sz w:val="32"/>
          <w:szCs w:val="32"/>
        </w:rPr>
        <w:t>179.32</w:t>
      </w:r>
      <w:r>
        <w:rPr>
          <w:rFonts w:hint="eastAsia" w:ascii="仿宋_GB2312" w:eastAsia="仿宋_GB2312" w:cs="仿宋_GB2312"/>
          <w:bCs/>
          <w:kern w:val="0"/>
          <w:sz w:val="32"/>
          <w:szCs w:val="32"/>
        </w:rPr>
        <w:t>万元，完成年初预算的84.22%，决算数小于预算数的主要原因是：一是继续教育培训费用支付存在时间差，部分费用需要跨年支付；二是每年为使考试顺利进行，需预备专用设备购置费。2020年设备使用正常，此项费用未使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rPr>
        <w:t xml:space="preserve"> </w:t>
      </w:r>
      <w:r>
        <w:rPr>
          <w:rFonts w:hint="eastAsia" w:ascii="仿宋_GB2312" w:eastAsia="仿宋_GB2312" w:cs="仿宋_GB2312"/>
          <w:bCs/>
          <w:kern w:val="0"/>
          <w:sz w:val="32"/>
          <w:szCs w:val="32"/>
        </w:rPr>
        <w:t>社会保障和就业支出（类）行政事业单位离退休（款）事业单位离退休（项），支出功能分类科目编码2080502。年初预算为</w:t>
      </w:r>
      <w:r>
        <w:rPr>
          <w:rFonts w:ascii="仿宋_GB2312" w:eastAsia="仿宋_GB2312" w:cs="仿宋_GB2312"/>
          <w:bCs/>
          <w:kern w:val="0"/>
          <w:sz w:val="32"/>
          <w:szCs w:val="32"/>
        </w:rPr>
        <w:t>3.69</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3.69</w:t>
      </w:r>
      <w:r>
        <w:rPr>
          <w:rFonts w:hint="eastAsia" w:ascii="仿宋_GB2312" w:eastAsia="仿宋_GB2312" w:cs="仿宋_GB2312"/>
          <w:bCs/>
          <w:kern w:val="0"/>
          <w:sz w:val="32"/>
          <w:szCs w:val="32"/>
        </w:rPr>
        <w:t>万元，完成年初预算的100%，决算数等于预算数的主要原因是：2020年退休人员没有变动，退休人员的公用经费按照年初预算安排。</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rPr>
        <w:t xml:space="preserve"> </w:t>
      </w:r>
      <w:r>
        <w:rPr>
          <w:rFonts w:hint="eastAsia" w:ascii="仿宋_GB2312" w:eastAsia="仿宋_GB2312" w:cs="仿宋_GB2312"/>
          <w:bCs/>
          <w:kern w:val="0"/>
          <w:sz w:val="32"/>
          <w:szCs w:val="32"/>
        </w:rPr>
        <w:t>社会保障和就业支出（类）行政事业单位离退休（款）机关事业单位基本养老保险缴费支出（项），支出功能分类科目编码2080505。年初预算为</w:t>
      </w:r>
      <w:r>
        <w:rPr>
          <w:rFonts w:ascii="仿宋_GB2312" w:eastAsia="仿宋_GB2312" w:cs="仿宋_GB2312"/>
          <w:bCs/>
          <w:kern w:val="0"/>
          <w:sz w:val="32"/>
          <w:szCs w:val="32"/>
        </w:rPr>
        <w:t>4.50</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2.14</w:t>
      </w:r>
      <w:r>
        <w:rPr>
          <w:rFonts w:hint="eastAsia" w:ascii="仿宋_GB2312" w:eastAsia="仿宋_GB2312" w:cs="仿宋_GB2312"/>
          <w:bCs/>
          <w:kern w:val="0"/>
          <w:sz w:val="32"/>
          <w:szCs w:val="32"/>
        </w:rPr>
        <w:t xml:space="preserve">万元，完成年初预算的47.56%。决算数小于预算数的主要原因是: 柳州市财政局干部教育中心人员从2020年7月合并至绩效中心，人员经费在柳州市财政预算绩效管理中心进行支出。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5. 社会保障和就业支出（类）行政事业单位离退休（款）职业年金缴费（项），支出功能分类科目编码2080506。年初预算为</w:t>
      </w:r>
      <w:r>
        <w:rPr>
          <w:rFonts w:ascii="仿宋_GB2312" w:eastAsia="仿宋_GB2312" w:cs="仿宋_GB2312"/>
          <w:bCs/>
          <w:kern w:val="0"/>
          <w:sz w:val="32"/>
          <w:szCs w:val="32"/>
        </w:rPr>
        <w:t>2.25</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1.18</w:t>
      </w:r>
      <w:r>
        <w:rPr>
          <w:rFonts w:hint="eastAsia" w:ascii="仿宋_GB2312" w:eastAsia="仿宋_GB2312" w:cs="仿宋_GB2312"/>
          <w:bCs/>
          <w:kern w:val="0"/>
          <w:sz w:val="32"/>
          <w:szCs w:val="32"/>
        </w:rPr>
        <w:t>万元，完成年初预算的52.44%。决算数小于预算数的主要原因是: 柳州市财政局干部教育中心人员从2020年7月合并至绩效中心，人员经费在柳州市财政预算绩效管理中心进行支出。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6.</w:t>
      </w:r>
      <w:r>
        <w:rPr>
          <w:rFonts w:hint="eastAsia"/>
        </w:rPr>
        <w:t xml:space="preserve"> </w:t>
      </w:r>
      <w:r>
        <w:rPr>
          <w:rFonts w:hint="eastAsia" w:ascii="仿宋_GB2312" w:eastAsia="仿宋_GB2312" w:cs="仿宋_GB2312"/>
          <w:bCs/>
          <w:kern w:val="0"/>
          <w:sz w:val="32"/>
          <w:szCs w:val="32"/>
        </w:rPr>
        <w:t>医疗卫生与计划生育支出（类）行政事业单位医疗（款）事业单位医疗（项），支出功能分类科目编码2101102。年初预算为2.13万元，支出决算为</w:t>
      </w:r>
      <w:r>
        <w:rPr>
          <w:rFonts w:ascii="仿宋_GB2312" w:eastAsia="仿宋_GB2312" w:cs="仿宋_GB2312"/>
          <w:bCs/>
          <w:kern w:val="0"/>
          <w:sz w:val="32"/>
          <w:szCs w:val="32"/>
        </w:rPr>
        <w:t>2.37</w:t>
      </w:r>
      <w:r>
        <w:rPr>
          <w:rFonts w:hint="eastAsia" w:ascii="仿宋_GB2312" w:eastAsia="仿宋_GB2312" w:cs="仿宋_GB2312"/>
          <w:bCs/>
          <w:kern w:val="0"/>
          <w:sz w:val="32"/>
          <w:szCs w:val="32"/>
        </w:rPr>
        <w:t>万元，完成年初预算的111.27%，决算数大于预算数的主要原因是：部分支出按规定通过使用上年结转结余资金解决。</w:t>
      </w:r>
    </w:p>
    <w:p>
      <w:pPr>
        <w:keepNext w:val="0"/>
        <w:keepLines w:val="0"/>
        <w:pageBreakBefore w:val="0"/>
        <w:widowControl w:val="0"/>
        <w:kinsoku/>
        <w:wordWrap/>
        <w:overflowPunct/>
        <w:topLinePunct w:val="0"/>
        <w:bidi w:val="0"/>
        <w:snapToGrid/>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7.住房保障支出（类）住房改革支出（款）住房公积金（项），支出功能分类科目编码2210201。年初预算为3.37万元，支出决算为</w:t>
      </w:r>
      <w:r>
        <w:rPr>
          <w:rFonts w:ascii="仿宋_GB2312" w:eastAsia="仿宋_GB2312" w:cs="仿宋_GB2312"/>
          <w:bCs/>
          <w:kern w:val="0"/>
          <w:sz w:val="32"/>
          <w:szCs w:val="32"/>
        </w:rPr>
        <w:t>2.71</w:t>
      </w:r>
      <w:r>
        <w:rPr>
          <w:rFonts w:hint="eastAsia" w:ascii="仿宋_GB2312" w:eastAsia="仿宋_GB2312" w:cs="仿宋_GB2312"/>
          <w:bCs/>
          <w:kern w:val="0"/>
          <w:sz w:val="32"/>
          <w:szCs w:val="32"/>
        </w:rPr>
        <w:t>万元，完成年初预算的80.42%。决算数小于预算数的主要原因是: 柳州市财政局干部教育中心人员从2020年7月合并至绩效中心，人员经费在柳州市财政预算绩效管理中心进行支出。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38.29</w:t>
      </w:r>
      <w:r>
        <w:rPr>
          <w:rFonts w:hint="eastAsia" w:ascii="仿宋_GB2312" w:eastAsia="仿宋_GB2312" w:cs="仿宋_GB2312"/>
          <w:bCs/>
          <w:kern w:val="0"/>
          <w:sz w:val="32"/>
          <w:szCs w:val="32"/>
        </w:rPr>
        <w:t>万元，其中：</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34.74</w:t>
      </w:r>
      <w:r>
        <w:rPr>
          <w:rFonts w:hint="eastAsia" w:ascii="仿宋_GB2312" w:eastAsia="仿宋_GB2312" w:cs="仿宋_GB2312"/>
          <w:bCs/>
          <w:kern w:val="0"/>
          <w:sz w:val="32"/>
          <w:szCs w:val="32"/>
        </w:rPr>
        <w:t>万元，主要包括：基本工资、津贴补贴、 奖金、绩效工资、机关事业单位基本养老保险缴费、职业年金缴费、其他社会保障缴费、住房公积金、奖励金、其他对个人和家庭的补助</w:t>
      </w:r>
      <w:r>
        <w:rPr>
          <w:rFonts w:hint="eastAsia" w:ascii="仿宋_GB2312" w:eastAsia="仿宋_GB2312" w:cs="仿宋_GB2312"/>
          <w:bCs/>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3.55</w:t>
      </w:r>
      <w:r>
        <w:rPr>
          <w:rFonts w:hint="eastAsia" w:ascii="仿宋_GB2312" w:eastAsia="仿宋_GB2312" w:cs="仿宋_GB2312"/>
          <w:bCs/>
          <w:kern w:val="0"/>
          <w:sz w:val="32"/>
          <w:szCs w:val="32"/>
        </w:rPr>
        <w:t>万元，主要包括：办公费、差旅费、工会经费、其他商品和服务支出。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 经费支出决算情况</w:t>
      </w:r>
      <w:r>
        <w:rPr>
          <w:rFonts w:hint="eastAsia" w:ascii="仿宋_GB2312" w:eastAsia="仿宋_GB2312" w:cs="仿宋_GB2312"/>
          <w:bCs/>
          <w:kern w:val="0"/>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0.11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%，其中：因公出国（境）费支出决算为0万元；公务用车购置及运行费支出决算为0万元；公务接待费支出决算为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%。2020年度“三公”经费支出决算数小于预算数的主要原因是受疫情影响，部分工作未按原计划开展。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w:t>
      </w:r>
      <w:r>
        <w:rPr>
          <w:rFonts w:hint="eastAsia" w:ascii="仿宋_GB2312" w:eastAsia="仿宋_GB2312" w:cs="仿宋_GB2312"/>
          <w:bCs/>
          <w:kern w:val="0"/>
          <w:sz w:val="32"/>
          <w:szCs w:val="32"/>
          <w:lang w:val="en-US" w:eastAsia="zh-CN"/>
        </w:rPr>
        <w:t>与</w:t>
      </w:r>
      <w:r>
        <w:rPr>
          <w:rFonts w:hint="eastAsia" w:ascii="仿宋_GB2312" w:eastAsia="仿宋_GB2312" w:cs="仿宋_GB2312"/>
          <w:bCs/>
          <w:kern w:val="0"/>
          <w:sz w:val="32"/>
          <w:szCs w:val="32"/>
        </w:rPr>
        <w:t>2019年</w:t>
      </w:r>
      <w:r>
        <w:rPr>
          <w:rFonts w:hint="eastAsia" w:ascii="仿宋_GB2312" w:eastAsia="仿宋_GB2312" w:cs="仿宋_GB2312"/>
          <w:bCs/>
          <w:kern w:val="0"/>
          <w:sz w:val="32"/>
          <w:szCs w:val="32"/>
          <w:lang w:val="en-US" w:eastAsia="zh-CN"/>
        </w:rPr>
        <w:t>持平，无增减变化</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2020年度“三公”经费财政拨款支出决算中，因公出国（境）费支出决算0万元，占0%；公务用车购置及运行费支出决算0万元，占0%；公务接待费支出决算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%。具体情况如下：</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1.因公出国（境）费支出0万元。全年安排机关和所属单位因公出国（境）团组0个，累计0人次。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2.公务用车购置及运行费支出0万元。其中：公务用车购置支出为0万元。公务用车运行支出0万元。2020年，机关所属单位开支财政拨款的公务用车保有量为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万元。其中：外宾接待支出0万元，国内公务接待支出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万元。主要用于工作</w:t>
      </w:r>
      <w:r>
        <w:rPr>
          <w:rFonts w:hint="eastAsia" w:ascii="仿宋_GB2312" w:eastAsia="仿宋_GB2312" w:cs="仿宋_GB2312"/>
          <w:bCs/>
          <w:kern w:val="0"/>
          <w:sz w:val="32"/>
          <w:szCs w:val="32"/>
          <w:lang w:val="en-US" w:eastAsia="zh-CN"/>
        </w:rPr>
        <w:t>开展</w:t>
      </w:r>
      <w:r>
        <w:rPr>
          <w:rFonts w:hint="eastAsia" w:ascii="仿宋_GB2312" w:eastAsia="仿宋_GB2312" w:cs="仿宋_GB2312"/>
          <w:bCs/>
          <w:kern w:val="0"/>
          <w:sz w:val="32"/>
          <w:szCs w:val="32"/>
        </w:rPr>
        <w:t>发生的接待支出。2020年共接待国内来访团组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仿宋_GB2312" w:eastAsia="仿宋_GB2312" w:cs="仿宋_GB2312"/>
          <w:bCs/>
          <w:kern w:val="0"/>
          <w:sz w:val="32"/>
          <w:szCs w:val="32"/>
        </w:rPr>
      </w:pPr>
      <w:r>
        <w:rPr>
          <w:rFonts w:hint="eastAsia" w:ascii="仿宋_GB2312" w:eastAsia="仿宋_GB2312" w:cs="仿宋_GB2312"/>
          <w:bCs/>
          <w:kern w:val="0"/>
          <w:sz w:val="32"/>
          <w:szCs w:val="32"/>
        </w:rPr>
        <w:t>本单位无政府性基金预算财政拨款收入支出决算数据。</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本单位无国有资本经营预算财政拨款支出决算数据。</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jc w:val="left"/>
        <w:textAlignment w:val="auto"/>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根据财政预算管理要求，我单位对2020一般公共预算项目支出全面开展绩效自评。其中，一级项目1个，共涉及预算资金</w:t>
      </w:r>
      <w:r>
        <w:rPr>
          <w:rFonts w:ascii="仿宋_GB2312" w:eastAsia="仿宋_GB2312" w:cs="仿宋_GB2312"/>
          <w:bCs/>
          <w:kern w:val="0"/>
          <w:sz w:val="32"/>
          <w:szCs w:val="32"/>
        </w:rPr>
        <w:t>217.62</w:t>
      </w:r>
      <w:r>
        <w:rPr>
          <w:rFonts w:hint="eastAsia" w:ascii="仿宋_GB2312" w:eastAsia="仿宋_GB2312" w:cs="仿宋_GB2312"/>
          <w:bCs/>
          <w:kern w:val="0"/>
          <w:sz w:val="32"/>
          <w:szCs w:val="32"/>
        </w:rPr>
        <w:t>万元，自评覆盖率</w:t>
      </w:r>
      <w:bookmarkStart w:id="0" w:name="_GoBack"/>
      <w:bookmarkEnd w:id="0"/>
      <w:r>
        <w:rPr>
          <w:rFonts w:hint="eastAsia" w:ascii="仿宋_GB2312" w:eastAsia="仿宋_GB2312" w:cs="仿宋_GB2312"/>
          <w:bCs/>
          <w:kern w:val="0"/>
          <w:sz w:val="32"/>
          <w:szCs w:val="32"/>
        </w:rPr>
        <w:t>达到100%。</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（二）单位决算中项目绩效自评结果。</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我单位根据年初设定的绩效目标，柳州市财政局干部教育中心单位整体自评得</w:t>
      </w:r>
      <w:r>
        <w:rPr>
          <w:rFonts w:hint="eastAsia" w:ascii="仿宋_GB2312" w:eastAsia="仿宋_GB2312" w:cs="仿宋_GB2312"/>
          <w:bCs/>
          <w:color w:val="auto"/>
          <w:kern w:val="0"/>
          <w:sz w:val="32"/>
          <w:szCs w:val="32"/>
        </w:rPr>
        <w:t>分为9</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分。发</w:t>
      </w:r>
      <w:r>
        <w:rPr>
          <w:rFonts w:hint="eastAsia" w:ascii="仿宋_GB2312" w:eastAsia="仿宋_GB2312" w:cs="仿宋_GB2312"/>
          <w:bCs/>
          <w:kern w:val="0"/>
          <w:sz w:val="32"/>
          <w:szCs w:val="32"/>
        </w:rPr>
        <w:t>现的主要问题及原因：指标设置体系比较完善，指标设置内容可以进一步完善与细化，更加贴近工作开展与制度的更新。下一步改进措施：加强业务的学习和培训，提高绩效工作人员的学习业务能力，积极研究新政策及时更新绩效知识储备，设立更加明确、完整、可细化及可操作的绩效指标。</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（一）机关运行经费支出情况。我单位为全额拨款事业单位，</w:t>
      </w:r>
      <w:r>
        <w:rPr>
          <w:rFonts w:hint="eastAsia" w:ascii="仿宋_GB2312" w:eastAsia="仿宋_GB2312" w:cs="仿宋_GB2312"/>
          <w:bCs/>
          <w:kern w:val="0"/>
          <w:sz w:val="32"/>
          <w:szCs w:val="32"/>
        </w:rPr>
        <w:t>无</w:t>
      </w:r>
      <w:r>
        <w:rPr>
          <w:rFonts w:hint="eastAsia" w:ascii="仿宋_GB2312" w:eastAsia="仿宋_GB2312" w:cs="仿宋_GB2312"/>
          <w:kern w:val="0"/>
          <w:sz w:val="32"/>
          <w:szCs w:val="32"/>
        </w:rPr>
        <w:t>机关运行经费支出</w:t>
      </w:r>
      <w:r>
        <w:rPr>
          <w:rFonts w:hint="eastAsia" w:ascii="仿宋_GB2312" w:eastAsia="仿宋_GB2312" w:cs="仿宋_GB2312"/>
          <w:bCs/>
          <w:kern w:val="0"/>
          <w:sz w:val="32"/>
          <w:szCs w:val="32"/>
        </w:rPr>
        <w:t>决算数据</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政府采购支出总额1.15万元，其中：货物支出1.15万元、工程支出0万元、服务支出0万元。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 xml:space="preserve">共有车辆0；单价50万元 以上通用设备0（套），单价100 万元以上专用设备0（套）。 </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378" w:header="851" w:footer="992" w:gutter="0"/>
      <w:pgNumType w:fmt="numberInDash"/>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- 14 -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15890"/>
    <w:rsid w:val="00066CA3"/>
    <w:rsid w:val="000758C4"/>
    <w:rsid w:val="000A531C"/>
    <w:rsid w:val="000B2BB4"/>
    <w:rsid w:val="0016643D"/>
    <w:rsid w:val="001A22F6"/>
    <w:rsid w:val="00241276"/>
    <w:rsid w:val="002455FA"/>
    <w:rsid w:val="00264F89"/>
    <w:rsid w:val="00271D8F"/>
    <w:rsid w:val="002A2F7E"/>
    <w:rsid w:val="00324455"/>
    <w:rsid w:val="00324846"/>
    <w:rsid w:val="00375FF1"/>
    <w:rsid w:val="003B3FCB"/>
    <w:rsid w:val="003E71CE"/>
    <w:rsid w:val="004155E0"/>
    <w:rsid w:val="0043625F"/>
    <w:rsid w:val="00445BF3"/>
    <w:rsid w:val="00496427"/>
    <w:rsid w:val="004B116A"/>
    <w:rsid w:val="00526EC3"/>
    <w:rsid w:val="00545736"/>
    <w:rsid w:val="005A04D3"/>
    <w:rsid w:val="005C123D"/>
    <w:rsid w:val="0064142F"/>
    <w:rsid w:val="00650FD9"/>
    <w:rsid w:val="00686B42"/>
    <w:rsid w:val="006C1367"/>
    <w:rsid w:val="006C4331"/>
    <w:rsid w:val="006D3D7F"/>
    <w:rsid w:val="007006D2"/>
    <w:rsid w:val="00715385"/>
    <w:rsid w:val="00717B86"/>
    <w:rsid w:val="00721FBF"/>
    <w:rsid w:val="007D712C"/>
    <w:rsid w:val="00806E4A"/>
    <w:rsid w:val="0081110D"/>
    <w:rsid w:val="00864540"/>
    <w:rsid w:val="008707AE"/>
    <w:rsid w:val="008B1952"/>
    <w:rsid w:val="009345D5"/>
    <w:rsid w:val="00951970"/>
    <w:rsid w:val="009950B5"/>
    <w:rsid w:val="009C6284"/>
    <w:rsid w:val="009E7E5E"/>
    <w:rsid w:val="00A55C26"/>
    <w:rsid w:val="00AC171C"/>
    <w:rsid w:val="00AC4F8E"/>
    <w:rsid w:val="00AE5E1B"/>
    <w:rsid w:val="00B3171A"/>
    <w:rsid w:val="00B45A40"/>
    <w:rsid w:val="00B610A2"/>
    <w:rsid w:val="00B716BF"/>
    <w:rsid w:val="00B91942"/>
    <w:rsid w:val="00BF5EA3"/>
    <w:rsid w:val="00C66275"/>
    <w:rsid w:val="00CA0FE2"/>
    <w:rsid w:val="00CB281F"/>
    <w:rsid w:val="00CF13BD"/>
    <w:rsid w:val="00D25F38"/>
    <w:rsid w:val="00D70E3A"/>
    <w:rsid w:val="00DB1917"/>
    <w:rsid w:val="00DE1138"/>
    <w:rsid w:val="00DF1438"/>
    <w:rsid w:val="00E1350B"/>
    <w:rsid w:val="00E23277"/>
    <w:rsid w:val="00E47EF2"/>
    <w:rsid w:val="00E507EA"/>
    <w:rsid w:val="00E8226D"/>
    <w:rsid w:val="00EA7F8B"/>
    <w:rsid w:val="00ED0248"/>
    <w:rsid w:val="00F20A57"/>
    <w:rsid w:val="00F3038C"/>
    <w:rsid w:val="00F532BA"/>
    <w:rsid w:val="00F6141D"/>
    <w:rsid w:val="00F66C5B"/>
    <w:rsid w:val="00FA3622"/>
    <w:rsid w:val="00FA79A9"/>
    <w:rsid w:val="00FB5474"/>
    <w:rsid w:val="00FE1E5B"/>
    <w:rsid w:val="00FF605D"/>
    <w:rsid w:val="01BC4A3D"/>
    <w:rsid w:val="0D7C1027"/>
    <w:rsid w:val="0E074DDF"/>
    <w:rsid w:val="0E0D352B"/>
    <w:rsid w:val="0E3E3B41"/>
    <w:rsid w:val="124204B5"/>
    <w:rsid w:val="14833E0F"/>
    <w:rsid w:val="14A60041"/>
    <w:rsid w:val="15063FAF"/>
    <w:rsid w:val="182962AB"/>
    <w:rsid w:val="19D073EB"/>
    <w:rsid w:val="1CC31F67"/>
    <w:rsid w:val="213416C1"/>
    <w:rsid w:val="24D337DC"/>
    <w:rsid w:val="26460DBA"/>
    <w:rsid w:val="27C175C1"/>
    <w:rsid w:val="29A61287"/>
    <w:rsid w:val="2AEC54AA"/>
    <w:rsid w:val="2B6F74EB"/>
    <w:rsid w:val="2C4219FE"/>
    <w:rsid w:val="2C4905D3"/>
    <w:rsid w:val="2CAE1420"/>
    <w:rsid w:val="2E9B55BD"/>
    <w:rsid w:val="33DD1E28"/>
    <w:rsid w:val="34020F86"/>
    <w:rsid w:val="34EB004A"/>
    <w:rsid w:val="354E1C64"/>
    <w:rsid w:val="373B3935"/>
    <w:rsid w:val="39A63F06"/>
    <w:rsid w:val="3ED1439F"/>
    <w:rsid w:val="44116807"/>
    <w:rsid w:val="44EA3439"/>
    <w:rsid w:val="46BF4358"/>
    <w:rsid w:val="47D85359"/>
    <w:rsid w:val="48374EDC"/>
    <w:rsid w:val="4C256E3D"/>
    <w:rsid w:val="4CB52F0F"/>
    <w:rsid w:val="4CB54A49"/>
    <w:rsid w:val="4D0E6F8E"/>
    <w:rsid w:val="52E907E9"/>
    <w:rsid w:val="532F1F9A"/>
    <w:rsid w:val="54E82F2C"/>
    <w:rsid w:val="56DA77E5"/>
    <w:rsid w:val="582C2EEB"/>
    <w:rsid w:val="59493916"/>
    <w:rsid w:val="5DD979BF"/>
    <w:rsid w:val="5E062797"/>
    <w:rsid w:val="5E995A3E"/>
    <w:rsid w:val="61E4021F"/>
    <w:rsid w:val="62163194"/>
    <w:rsid w:val="624D024D"/>
    <w:rsid w:val="631A0C8A"/>
    <w:rsid w:val="64721A88"/>
    <w:rsid w:val="650E086A"/>
    <w:rsid w:val="67F14827"/>
    <w:rsid w:val="6BAA0708"/>
    <w:rsid w:val="6F4663CF"/>
    <w:rsid w:val="74EC3064"/>
    <w:rsid w:val="78BE0442"/>
    <w:rsid w:val="79AD593A"/>
    <w:rsid w:val="7BDB0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5423</Words>
  <Characters>2288</Characters>
  <Lines>19</Lines>
  <Paragraphs>15</Paragraphs>
  <TotalTime>4</TotalTime>
  <ScaleCrop>false</ScaleCrop>
  <LinksUpToDate>false</LinksUpToDate>
  <CharactersWithSpaces>7696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韦丽玲</cp:lastModifiedBy>
  <cp:lastPrinted>2021-07-23T02:47:00Z</cp:lastPrinted>
  <dcterms:modified xsi:type="dcterms:W3CDTF">2022-09-07T07:53:45Z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F355C9E4B43B42E68E8F1D9B0F3D329B</vt:lpwstr>
  </property>
</Properties>
</file>