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kern w:val="0"/>
          <w:sz w:val="52"/>
          <w:szCs w:val="52"/>
        </w:rPr>
      </w:pPr>
      <w:r>
        <w:rPr>
          <w:rFonts w:hint="eastAsia" w:ascii="黑体" w:eastAsia="黑体"/>
          <w:kern w:val="0"/>
          <w:sz w:val="52"/>
          <w:szCs w:val="52"/>
        </w:rPr>
        <w:t>柳州市财政预算绩效管理中心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柳州市财政预算绩效管理中心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柳州市财政预算绩效管理中心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柳州市财政预算绩效管理中心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柳州市财政预算绩效管理中心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（一）承担财政政策、财政制度、财政支出结构和财政资金等预算绩效评价的事务性工作。</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（二）承担市本级</w:t>
      </w:r>
      <w:r>
        <w:rPr>
          <w:rFonts w:hint="eastAsia" w:ascii="仿宋_GB2312" w:hAnsi="华文仿宋" w:eastAsia="仿宋_GB2312" w:cs="宋体"/>
          <w:bCs/>
          <w:color w:val="000000"/>
          <w:kern w:val="0"/>
          <w:sz w:val="32"/>
          <w:szCs w:val="32"/>
          <w:lang w:eastAsia="zh-CN"/>
        </w:rPr>
        <w:t>单位</w:t>
      </w:r>
      <w:r>
        <w:rPr>
          <w:rFonts w:hint="eastAsia" w:ascii="仿宋_GB2312" w:hAnsi="华文仿宋" w:eastAsia="仿宋_GB2312" w:cs="宋体"/>
          <w:bCs/>
          <w:color w:val="000000"/>
          <w:kern w:val="0"/>
          <w:sz w:val="32"/>
          <w:szCs w:val="32"/>
        </w:rPr>
        <w:t>整体支出管理综合绩效评价的事务性工作。</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（三）负责财政信息化工作。</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（四）负责财政干部教育培训工作。</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（五）完成主管</w:t>
      </w:r>
      <w:r>
        <w:rPr>
          <w:rFonts w:hint="eastAsia" w:ascii="仿宋_GB2312" w:hAnsi="华文仿宋" w:eastAsia="仿宋_GB2312" w:cs="宋体"/>
          <w:bCs/>
          <w:color w:val="000000"/>
          <w:kern w:val="0"/>
          <w:sz w:val="32"/>
          <w:szCs w:val="32"/>
          <w:lang w:eastAsia="zh-CN"/>
        </w:rPr>
        <w:t>单位</w:t>
      </w:r>
      <w:r>
        <w:rPr>
          <w:rFonts w:hint="eastAsia" w:ascii="仿宋_GB2312" w:hAnsi="华文仿宋" w:eastAsia="仿宋_GB2312" w:cs="宋体"/>
          <w:bCs/>
          <w:color w:val="000000"/>
          <w:kern w:val="0"/>
          <w:sz w:val="32"/>
          <w:szCs w:val="32"/>
        </w:rPr>
        <w:t>交办的其他任务。</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adjustRightInd w:val="0"/>
        <w:snapToGrid w:val="0"/>
        <w:spacing w:line="560" w:lineRule="exact"/>
        <w:ind w:right="-218" w:rightChars="-104"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柳州市财政预算绩效管理中心为柳州市财政局管理的副处级公益一类全额拨款事业单位。下设科室有办公室、预算绩效评价科、预算绩效管理一科、预算绩效管理二科、信息管理科、干部教育科。</w:t>
      </w: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柳州市财政预算绩效管理中心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keepNext w:val="0"/>
        <w:keepLines w:val="0"/>
        <w:pageBreakBefore w:val="0"/>
        <w:widowControl w:val="0"/>
        <w:kinsoku/>
        <w:wordWrap/>
        <w:overflowPunct/>
        <w:topLinePunct w:val="0"/>
        <w:autoSpaceDE/>
        <w:autoSpaceDN/>
        <w:bidi w:val="0"/>
        <w:adjustRightInd/>
        <w:snapToGrid/>
        <w:jc w:val="center"/>
        <w:textAlignment w:val="auto"/>
      </w:pPr>
    </w:p>
    <w:p>
      <w:pPr>
        <w:jc w:val="center"/>
      </w:pPr>
    </w:p>
    <w:p>
      <w:pPr>
        <w:jc w:val="center"/>
      </w:pPr>
    </w:p>
    <w:p>
      <w:pPr>
        <w:jc w:val="center"/>
      </w:pPr>
    </w:p>
    <w:p>
      <w:pPr>
        <w:jc w:val="center"/>
      </w:pPr>
    </w:p>
    <w:p/>
    <w:tbl>
      <w:tblPr>
        <w:tblStyle w:val="5"/>
        <w:tblW w:w="8720" w:type="dxa"/>
        <w:jc w:val="center"/>
        <w:tblInd w:w="93"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412.97</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332.96</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76.01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21.39</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42.48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9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412.97</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472.84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177.76</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117.89</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590.73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590.73</w:t>
            </w:r>
          </w:p>
        </w:tc>
      </w:tr>
    </w:tbl>
    <w:p>
      <w:pPr>
        <w:rPr>
          <w:rFonts w:hint="eastAsia"/>
        </w:rPr>
      </w:pPr>
      <w:r>
        <w:rPr>
          <w:rFonts w:hint="eastAsia"/>
        </w:rPr>
        <w:t>注：本表反映</w:t>
      </w:r>
      <w:r>
        <w:rPr>
          <w:rFonts w:hint="eastAsia"/>
          <w:lang w:eastAsia="zh-CN"/>
        </w:rPr>
        <w:t>单位</w:t>
      </w:r>
      <w:r>
        <w:rPr>
          <w:rFonts w:hint="eastAsia"/>
        </w:rPr>
        <w:t>本年度的总收支和年末结转结余情况。</w:t>
      </w:r>
    </w:p>
    <w:p>
      <w:pPr>
        <w:rPr>
          <w:rFonts w:hint="eastAsia"/>
        </w:rPr>
      </w:pPr>
    </w:p>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963" w:right="1418" w:bottom="1134" w:left="1588" w:header="651" w:footer="992" w:gutter="0"/>
          <w:pgBorders>
            <w:top w:val="none" w:sz="0" w:space="0"/>
            <w:left w:val="none" w:sz="0" w:space="0"/>
            <w:bottom w:val="none" w:sz="0" w:space="0"/>
            <w:right w:val="none" w:sz="0" w:space="0"/>
          </w:pgBorders>
          <w:cols w:space="720" w:num="1"/>
          <w:docGrid w:type="lines" w:linePitch="312" w:charSpace="0"/>
        </w:sectPr>
      </w:pP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723" w:type="dxa"/>
        <w:jc w:val="center"/>
        <w:tblInd w:w="93" w:type="dxa"/>
        <w:tblLayout w:type="fixed"/>
        <w:tblCellMar>
          <w:top w:w="0" w:type="dxa"/>
          <w:left w:w="108" w:type="dxa"/>
          <w:bottom w:w="0" w:type="dxa"/>
          <w:right w:w="108" w:type="dxa"/>
        </w:tblCellMar>
      </w:tblPr>
      <w:tblGrid>
        <w:gridCol w:w="1565"/>
        <w:gridCol w:w="2485"/>
        <w:gridCol w:w="1540"/>
        <w:gridCol w:w="1540"/>
        <w:gridCol w:w="1540"/>
        <w:gridCol w:w="1433"/>
        <w:gridCol w:w="1540"/>
        <w:gridCol w:w="1540"/>
        <w:gridCol w:w="1540"/>
      </w:tblGrid>
      <w:tr>
        <w:tblPrEx>
          <w:tblLayout w:type="fixed"/>
          <w:tblCellMar>
            <w:top w:w="0" w:type="dxa"/>
            <w:left w:w="108" w:type="dxa"/>
            <w:bottom w:w="0" w:type="dxa"/>
            <w:right w:w="108" w:type="dxa"/>
          </w:tblCellMar>
        </w:tblPrEx>
        <w:trPr>
          <w:trHeight w:val="288" w:hRule="atLeast"/>
          <w:jc w:val="center"/>
        </w:trPr>
        <w:tc>
          <w:tcPr>
            <w:tcW w:w="405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43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4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43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40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412.97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412.97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bCs/>
                <w:i w:val="0"/>
                <w:color w:val="000000"/>
                <w:kern w:val="0"/>
                <w:sz w:val="22"/>
                <w:szCs w:val="22"/>
                <w:u w:val="none"/>
                <w:lang w:val="en-US" w:eastAsia="zh-CN" w:bidi="ar"/>
              </w:rPr>
              <w:t>一般公共服务支出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273.09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273.09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273.09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273.09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2010650</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265.22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265.22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2010699</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7.87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7.87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b/>
                <w:bCs/>
                <w:i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4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8.26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8.26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48.18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48.18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19.57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19.57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bCs/>
                <w:i w:val="0"/>
                <w:color w:val="000000"/>
                <w:kern w:val="0"/>
                <w:sz w:val="22"/>
                <w:szCs w:val="22"/>
                <w:u w:val="none"/>
                <w:lang w:val="en-US" w:eastAsia="zh-CN" w:bidi="ar"/>
              </w:rPr>
              <w:t>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b/>
                <w:bCs/>
                <w:i w:val="0"/>
                <w:color w:val="000000"/>
                <w:kern w:val="0"/>
                <w:sz w:val="22"/>
                <w:szCs w:val="22"/>
                <w:u w:val="none"/>
                <w:lang w:val="en-US" w:eastAsia="zh-CN" w:bidi="ar"/>
              </w:rPr>
              <w:t>住房保障支出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35.18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35.18</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r>
        <w:rPr>
          <w:rFonts w:hint="eastAsia"/>
        </w:rPr>
        <w:t>注：本表反映</w:t>
      </w:r>
      <w:r>
        <w:rPr>
          <w:rFonts w:hint="eastAsia"/>
          <w:lang w:eastAsia="zh-CN"/>
        </w:rPr>
        <w:t>单位</w:t>
      </w:r>
      <w:r>
        <w:rPr>
          <w:rFonts w:hint="eastAsia"/>
        </w:rPr>
        <w:t>本年度取得的各项收入情况。</w:t>
      </w:r>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3916" w:type="dxa"/>
        <w:jc w:val="center"/>
        <w:tblInd w:w="93" w:type="dxa"/>
        <w:tblLayout w:type="fixed"/>
        <w:tblCellMar>
          <w:top w:w="0" w:type="dxa"/>
          <w:left w:w="108" w:type="dxa"/>
          <w:bottom w:w="0" w:type="dxa"/>
          <w:right w:w="108" w:type="dxa"/>
        </w:tblCellMar>
      </w:tblPr>
      <w:tblGrid>
        <w:gridCol w:w="1565"/>
        <w:gridCol w:w="2460"/>
        <w:gridCol w:w="1985"/>
        <w:gridCol w:w="1650"/>
        <w:gridCol w:w="1439"/>
        <w:gridCol w:w="1683"/>
        <w:gridCol w:w="1607"/>
        <w:gridCol w:w="1527"/>
      </w:tblGrid>
      <w:tr>
        <w:tblPrEx>
          <w:tblLayout w:type="fixed"/>
          <w:tblCellMar>
            <w:top w:w="0" w:type="dxa"/>
            <w:left w:w="108" w:type="dxa"/>
            <w:bottom w:w="0" w:type="dxa"/>
            <w:right w:w="108" w:type="dxa"/>
          </w:tblCellMar>
        </w:tblPrEx>
        <w:trPr>
          <w:trHeight w:val="288" w:hRule="atLeast"/>
          <w:jc w:val="center"/>
        </w:trPr>
        <w:tc>
          <w:tcPr>
            <w:tcW w:w="40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6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639" w:hRule="atLeast"/>
          <w:jc w:val="center"/>
        </w:trPr>
        <w:tc>
          <w:tcPr>
            <w:tcW w:w="156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4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2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5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43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6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60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52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402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472.84</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444.77</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28.07</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332.96</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304.89</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28.07</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财政事务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332.96</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304.89</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28.07</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2010650</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304.89</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304.89</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2010699</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28.07</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28.07</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8.26</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8.26</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48.18</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48.18</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19.57</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19.57</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35.18</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35.18</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5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7.30</w:t>
            </w:r>
          </w:p>
        </w:tc>
        <w:tc>
          <w:tcPr>
            <w:tcW w:w="16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7.30</w:t>
            </w:r>
          </w:p>
        </w:tc>
        <w:tc>
          <w:tcPr>
            <w:tcW w:w="143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rPr>
          <w:rFonts w:hint="eastAsia"/>
        </w:rPr>
      </w:pPr>
      <w:r>
        <w:rPr>
          <w:rFonts w:hint="eastAsia"/>
        </w:rPr>
        <w:t>注：本表反映</w:t>
      </w:r>
      <w:r>
        <w:rPr>
          <w:rFonts w:hint="eastAsia"/>
          <w:lang w:eastAsia="zh-CN"/>
        </w:rPr>
        <w:t>单位</w:t>
      </w:r>
      <w:r>
        <w:rPr>
          <w:rFonts w:hint="eastAsia"/>
        </w:rPr>
        <w:t>本年度各项支出情况。</w:t>
      </w:r>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5"/>
        <w:tblpPr w:leftFromText="180" w:rightFromText="180" w:vertAnchor="text" w:horzAnchor="page" w:tblpX="1768" w:tblpY="24"/>
        <w:tblOverlap w:val="never"/>
        <w:tblW w:w="13520" w:type="dxa"/>
        <w:tblInd w:w="0" w:type="dxa"/>
        <w:tblLayout w:type="fixed"/>
        <w:tblCellMar>
          <w:top w:w="0" w:type="dxa"/>
          <w:left w:w="108" w:type="dxa"/>
          <w:bottom w:w="0" w:type="dxa"/>
          <w:right w:w="108" w:type="dxa"/>
        </w:tblCellMar>
      </w:tblPr>
      <w:tblGrid>
        <w:gridCol w:w="3594"/>
        <w:gridCol w:w="714"/>
        <w:gridCol w:w="1427"/>
        <w:gridCol w:w="3372"/>
        <w:gridCol w:w="681"/>
        <w:gridCol w:w="1267"/>
        <w:gridCol w:w="1149"/>
        <w:gridCol w:w="1316"/>
      </w:tblGrid>
      <w:tr>
        <w:tblPrEx>
          <w:tblLayout w:type="fixed"/>
          <w:tblCellMar>
            <w:top w:w="0" w:type="dxa"/>
            <w:left w:w="108" w:type="dxa"/>
            <w:bottom w:w="0" w:type="dxa"/>
            <w:right w:w="108" w:type="dxa"/>
          </w:tblCellMar>
        </w:tblPrEx>
        <w:trPr>
          <w:trHeight w:val="300" w:hRule="atLeast"/>
        </w:trPr>
        <w:tc>
          <w:tcPr>
            <w:tcW w:w="5735"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trPr>
        <w:tc>
          <w:tcPr>
            <w:tcW w:w="359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14"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2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1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2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63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412.97</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332.96</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332.96</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76.01</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42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21.39</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42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42.48</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42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42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42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42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412.97</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472.84</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176.62</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116.75</w:t>
            </w: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center"/>
              <w:rPr>
                <w:rFonts w:ascii="宋体" w:hAnsi="宋体" w:cs="Arial"/>
                <w:kern w:val="0"/>
                <w:sz w:val="22"/>
                <w:szCs w:val="22"/>
              </w:rPr>
            </w:pPr>
            <w:r>
              <w:rPr>
                <w:rFonts w:hint="eastAsia" w:ascii="宋体" w:hAnsi="宋体" w:cs="Arial"/>
                <w:kern w:val="0"/>
                <w:sz w:val="22"/>
                <w:szCs w:val="22"/>
                <w:lang w:val="en-US" w:eastAsia="zh-CN"/>
              </w:rPr>
              <w:t xml:space="preserve"> </w:t>
            </w:r>
            <w:r>
              <w:rPr>
                <w:rFonts w:hint="eastAsia" w:ascii="宋体" w:hAnsi="宋体" w:cs="Arial"/>
                <w:kern w:val="0"/>
                <w:sz w:val="22"/>
                <w:szCs w:val="22"/>
              </w:rPr>
              <w:t>一般公共预算财政拨款</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176.62</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lang w:val="en-US" w:eastAsia="zh-CN"/>
              </w:rPr>
              <w:t xml:space="preserve">   </w:t>
            </w:r>
            <w:r>
              <w:rPr>
                <w:rFonts w:hint="eastAsia" w:ascii="宋体" w:hAnsi="宋体" w:cs="Arial"/>
                <w:kern w:val="0"/>
                <w:sz w:val="22"/>
                <w:szCs w:val="22"/>
              </w:rPr>
              <w:t>政府性基金预算财政拨款</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59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1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w:t>
            </w:r>
          </w:p>
        </w:tc>
        <w:tc>
          <w:tcPr>
            <w:tcW w:w="14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589.59</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589.59</w:t>
            </w:r>
          </w:p>
        </w:tc>
      </w:tr>
    </w:tbl>
    <w:p>
      <w:pPr>
        <w:jc w:val="right"/>
        <w:rPr>
          <w:sz w:val="22"/>
          <w:szCs w:val="22"/>
        </w:rPr>
      </w:pPr>
    </w:p>
    <w:p>
      <w:pPr>
        <w:rPr>
          <w:rFonts w:hint="eastAsia"/>
        </w:rPr>
      </w:pPr>
      <w:r>
        <w:rPr>
          <w:rFonts w:hint="eastAsia"/>
        </w:rPr>
        <w:t>注：本表反映</w:t>
      </w:r>
      <w:r>
        <w:rPr>
          <w:rFonts w:hint="eastAsia"/>
          <w:lang w:eastAsia="zh-CN"/>
        </w:rPr>
        <w:t>单位</w:t>
      </w:r>
      <w:r>
        <w:rPr>
          <w:rFonts w:hint="eastAsia"/>
        </w:rPr>
        <w:t>本年度一般公共预算财政拨款和政府性基金预算财政拨款的总收支和年末结转结余情况。</w:t>
      </w:r>
    </w:p>
    <w:p>
      <w:pPr>
        <w:rPr>
          <w:rFonts w:hint="eastAsia"/>
        </w:rPr>
      </w:pP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46" w:type="dxa"/>
        <w:jc w:val="center"/>
        <w:tblInd w:w="250" w:type="dxa"/>
        <w:tblLayout w:type="fixed"/>
        <w:tblCellMar>
          <w:top w:w="0" w:type="dxa"/>
          <w:left w:w="108" w:type="dxa"/>
          <w:bottom w:w="0" w:type="dxa"/>
          <w:right w:w="108" w:type="dxa"/>
        </w:tblCellMar>
      </w:tblPr>
      <w:tblGrid>
        <w:gridCol w:w="1718"/>
        <w:gridCol w:w="4031"/>
        <w:gridCol w:w="2637"/>
        <w:gridCol w:w="2524"/>
        <w:gridCol w:w="2536"/>
      </w:tblGrid>
      <w:tr>
        <w:tblPrEx>
          <w:tblLayout w:type="fixed"/>
          <w:tblCellMar>
            <w:top w:w="0" w:type="dxa"/>
            <w:left w:w="108" w:type="dxa"/>
            <w:bottom w:w="0" w:type="dxa"/>
            <w:right w:w="108" w:type="dxa"/>
          </w:tblCellMar>
        </w:tblPrEx>
        <w:trPr>
          <w:trHeight w:val="300" w:hRule="atLeast"/>
          <w:jc w:val="center"/>
        </w:trPr>
        <w:tc>
          <w:tcPr>
            <w:tcW w:w="57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6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5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718"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4031"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5749"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637"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524"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53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5749"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472.84</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444.77</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28.07</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332.96</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304.89</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28.07</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财政事务</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332.96</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304.89</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28.07</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2010650</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事业运行</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304.89</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304.89</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2010699</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28.07</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28.07</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76.01</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76.01</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76.01</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76.01</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8.26</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8.26</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48.18</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48.18</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19.57</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19.57</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21.39</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21.39</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21.39</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21.39</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事业单位医疗</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21.39</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21.39</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42.48</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42.48</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42.48</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42.48</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35.18</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35.18</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7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403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63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7.30</w:t>
            </w:r>
          </w:p>
        </w:tc>
        <w:tc>
          <w:tcPr>
            <w:tcW w:w="25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7.30</w:t>
            </w:r>
          </w:p>
        </w:tc>
        <w:tc>
          <w:tcPr>
            <w:tcW w:w="25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w:t>
      </w:r>
      <w:r>
        <w:rPr>
          <w:rFonts w:hint="eastAsia"/>
          <w:lang w:eastAsia="zh-CN"/>
        </w:rPr>
        <w:t>单位</w:t>
      </w:r>
      <w:r>
        <w:rPr>
          <w:rFonts w:hint="eastAsia"/>
        </w:rPr>
        <w:t>本年度一般公共预算财政拨款实际支出情况。</w:t>
      </w:r>
    </w:p>
    <w:p/>
    <w:p/>
    <w:p>
      <w:pPr>
        <w:sectPr>
          <w:footerReference r:id="rId9" w:type="default"/>
          <w:footerReference r:id="rId10" w:type="even"/>
          <w:pgSz w:w="16838" w:h="11906" w:orient="landscape"/>
          <w:pgMar w:top="95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10076" w:type="dxa"/>
        <w:jc w:val="center"/>
        <w:tblInd w:w="93" w:type="dxa"/>
        <w:tblLayout w:type="fixed"/>
        <w:tblCellMar>
          <w:top w:w="0" w:type="dxa"/>
          <w:left w:w="108" w:type="dxa"/>
          <w:bottom w:w="0" w:type="dxa"/>
          <w:right w:w="108" w:type="dxa"/>
        </w:tblCellMar>
      </w:tblPr>
      <w:tblGrid>
        <w:gridCol w:w="1107"/>
        <w:gridCol w:w="3526"/>
        <w:gridCol w:w="1069"/>
        <w:gridCol w:w="1033"/>
        <w:gridCol w:w="2480"/>
        <w:gridCol w:w="861"/>
      </w:tblGrid>
      <w:tr>
        <w:tblPrEx>
          <w:tblLayout w:type="fixed"/>
          <w:tblCellMar>
            <w:top w:w="0" w:type="dxa"/>
            <w:left w:w="108" w:type="dxa"/>
            <w:bottom w:w="0" w:type="dxa"/>
            <w:right w:w="108" w:type="dxa"/>
          </w:tblCellMar>
        </w:tblPrEx>
        <w:trPr>
          <w:trHeight w:val="564" w:hRule="atLeast"/>
          <w:jc w:val="center"/>
        </w:trPr>
        <w:tc>
          <w:tcPr>
            <w:tcW w:w="570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37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jc w:val="center"/>
        </w:trPr>
        <w:tc>
          <w:tcPr>
            <w:tcW w:w="1107"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52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6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3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4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86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工资福利支出</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404.55</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商品和服务支出</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27.71</w:t>
            </w:r>
          </w:p>
        </w:tc>
      </w:tr>
      <w:tr>
        <w:tblPrEx>
          <w:tblLayout w:type="fixed"/>
          <w:tblCellMar>
            <w:top w:w="0" w:type="dxa"/>
            <w:left w:w="108" w:type="dxa"/>
            <w:bottom w:w="0" w:type="dxa"/>
            <w:right w:w="108" w:type="dxa"/>
          </w:tblCellMar>
        </w:tblPrEx>
        <w:trPr>
          <w:trHeight w:val="264"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30101</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基本工资</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93.13</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30201</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办公费</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w:t>
            </w:r>
          </w:p>
        </w:tc>
      </w:tr>
      <w:tr>
        <w:tblPrEx>
          <w:tblLayout w:type="fixed"/>
          <w:tblCellMar>
            <w:top w:w="0" w:type="dxa"/>
            <w:left w:w="108" w:type="dxa"/>
            <w:bottom w:w="0" w:type="dxa"/>
            <w:right w:w="108" w:type="dxa"/>
          </w:tblCellMar>
        </w:tblPrEx>
        <w:trPr>
          <w:trHeight w:val="264"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30102</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津贴补贴</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16.14</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30207</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邮电费</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0.50</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30103</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奖金</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0.91</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30211</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差旅费</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4.35</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30107</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绩效工资</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148.03</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30216</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培训费</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0.16</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30108</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48.18</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30228</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工会经费</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4.43</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30109</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职业年金缴费</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21.91</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30239</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其他交通费用</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0.13</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30110</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19.81</w:t>
            </w:r>
          </w:p>
        </w:tc>
        <w:tc>
          <w:tcPr>
            <w:tcW w:w="10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30299</w:t>
            </w:r>
          </w:p>
        </w:tc>
        <w:tc>
          <w:tcPr>
            <w:tcW w:w="24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8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17.04</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30111</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15.40</w:t>
            </w:r>
          </w:p>
        </w:tc>
        <w:tc>
          <w:tcPr>
            <w:tcW w:w="103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30112</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5.86</w:t>
            </w:r>
          </w:p>
        </w:tc>
        <w:tc>
          <w:tcPr>
            <w:tcW w:w="103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30113</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35.18</w:t>
            </w:r>
          </w:p>
        </w:tc>
        <w:tc>
          <w:tcPr>
            <w:tcW w:w="103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30199</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3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对个人和家庭的补助</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12.51</w:t>
            </w:r>
          </w:p>
        </w:tc>
        <w:tc>
          <w:tcPr>
            <w:tcW w:w="103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30309</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奖励金</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1.59</w:t>
            </w:r>
          </w:p>
        </w:tc>
        <w:tc>
          <w:tcPr>
            <w:tcW w:w="1033"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30399</w:t>
            </w:r>
          </w:p>
        </w:tc>
        <w:tc>
          <w:tcPr>
            <w:tcW w:w="352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0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10.91</w:t>
            </w:r>
          </w:p>
        </w:tc>
        <w:tc>
          <w:tcPr>
            <w:tcW w:w="1033"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ascii="宋体" w:hAnsi="宋体" w:cs="Arial"/>
                <w:color w:val="000000"/>
                <w:kern w:val="0"/>
                <w:sz w:val="22"/>
                <w:szCs w:val="22"/>
              </w:rPr>
              <w:t>　</w:t>
            </w: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52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c>
          <w:tcPr>
            <w:tcW w:w="106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33"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52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0"/>
                <w:szCs w:val="20"/>
              </w:rPr>
            </w:pPr>
          </w:p>
        </w:tc>
        <w:tc>
          <w:tcPr>
            <w:tcW w:w="106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033"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3526"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00"/>
                <w:kern w:val="0"/>
                <w:sz w:val="20"/>
                <w:szCs w:val="20"/>
              </w:rPr>
            </w:pPr>
          </w:p>
        </w:tc>
        <w:tc>
          <w:tcPr>
            <w:tcW w:w="106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33"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248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61"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107"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人员经费合计</w:t>
            </w:r>
          </w:p>
        </w:tc>
        <w:tc>
          <w:tcPr>
            <w:tcW w:w="3526" w:type="dxa"/>
            <w:tcBorders>
              <w:top w:val="nil"/>
              <w:left w:val="nil"/>
              <w:bottom w:val="single" w:color="auto" w:sz="4" w:space="0"/>
              <w:right w:val="single" w:color="auto" w:sz="4" w:space="0"/>
            </w:tcBorders>
            <w:vAlign w:val="bottom"/>
          </w:tcPr>
          <w:p>
            <w:pPr>
              <w:widowControl/>
              <w:jc w:val="left"/>
              <w:rPr>
                <w:rFonts w:hint="eastAsia" w:ascii="宋体" w:hAnsi="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417.06</w:t>
            </w:r>
          </w:p>
        </w:tc>
        <w:tc>
          <w:tcPr>
            <w:tcW w:w="106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4374" w:type="dxa"/>
            <w:gridSpan w:val="3"/>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27.71</w:t>
            </w:r>
          </w:p>
        </w:tc>
      </w:tr>
    </w:tbl>
    <w:p>
      <w:pPr>
        <w:rPr>
          <w:rFonts w:hint="eastAsia"/>
        </w:rPr>
      </w:pPr>
      <w:r>
        <w:rPr>
          <w:rFonts w:hint="eastAsia"/>
        </w:rPr>
        <w:t>注：本表反映</w:t>
      </w:r>
      <w:r>
        <w:rPr>
          <w:rFonts w:hint="eastAsia"/>
          <w:lang w:eastAsia="zh-CN"/>
        </w:rPr>
        <w:t>单位</w:t>
      </w:r>
      <w:r>
        <w:rPr>
          <w:rFonts w:hint="eastAsia"/>
        </w:rPr>
        <w:t>本年度一般公共预算财政拨款基本支出明细情况。</w:t>
      </w:r>
    </w:p>
    <w:p>
      <w:pPr>
        <w:rPr>
          <w:rFonts w:hint="eastAsia"/>
        </w:rPr>
      </w:pPr>
    </w:p>
    <w:p>
      <w:pPr>
        <w:rPr>
          <w:rFonts w:hint="eastAsia"/>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center"/>
              <w:rPr>
                <w:rFonts w:hint="eastAsia" w:ascii="Arial" w:hAnsi="Arial" w:cs="Arial"/>
                <w:color w:val="000000"/>
                <w:kern w:val="0"/>
                <w:sz w:val="20"/>
                <w:szCs w:val="20"/>
                <w:lang w:val="en-US" w:eastAsia="zh-CN"/>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0.84</w:t>
            </w:r>
          </w:p>
        </w:tc>
        <w:tc>
          <w:tcPr>
            <w:tcW w:w="160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828" w:type="dxa"/>
            <w:tcBorders>
              <w:top w:val="nil"/>
              <w:left w:val="nil"/>
              <w:bottom w:val="single" w:color="auto" w:sz="4" w:space="0"/>
              <w:right w:val="single" w:color="auto" w:sz="4" w:space="0"/>
            </w:tcBorders>
          </w:tcPr>
          <w:p>
            <w:pPr>
              <w:widowControl/>
              <w:ind w:firstLine="200" w:firstLineChars="100"/>
              <w:jc w:val="center"/>
              <w:rPr>
                <w:rFonts w:hint="eastAsia" w:ascii="Arial" w:hAnsi="Arial" w:cs="Arial"/>
                <w:color w:val="000000"/>
                <w:kern w:val="0"/>
                <w:sz w:val="20"/>
                <w:szCs w:val="20"/>
                <w:lang w:val="en-US" w:eastAsia="zh-CN"/>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0.84</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4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1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0.84</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560"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806"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1398" w:type="dxa"/>
            <w:tcBorders>
              <w:top w:val="nil"/>
              <w:left w:val="nil"/>
              <w:bottom w:val="single" w:color="auto" w:sz="4" w:space="0"/>
              <w:right w:val="single" w:color="auto" w:sz="4" w:space="0"/>
            </w:tcBorders>
          </w:tcPr>
          <w:p>
            <w:pPr>
              <w:widowControl/>
              <w:ind w:firstLine="400" w:firstLineChars="200"/>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p>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1183" w:type="dxa"/>
            <w:tcBorders>
              <w:top w:val="nil"/>
              <w:left w:val="nil"/>
              <w:bottom w:val="single" w:color="auto" w:sz="4" w:space="0"/>
              <w:right w:val="single" w:color="auto" w:sz="4" w:space="0"/>
            </w:tcBorders>
          </w:tcPr>
          <w:p>
            <w:pPr>
              <w:widowControl/>
              <w:ind w:firstLine="200" w:firstLineChars="100"/>
              <w:jc w:val="center"/>
              <w:rPr>
                <w:rFonts w:ascii="Arial" w:hAnsi="Arial" w:cs="Arial"/>
                <w:color w:val="000000"/>
                <w:kern w:val="0"/>
                <w:sz w:val="20"/>
                <w:szCs w:val="20"/>
              </w:rPr>
            </w:pPr>
          </w:p>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bl>
    <w:p>
      <w:pPr>
        <w:rPr>
          <w:rFonts w:hint="eastAsia"/>
        </w:rPr>
      </w:pPr>
      <w:r>
        <w:rPr>
          <w:rFonts w:hint="eastAsia"/>
        </w:rPr>
        <w:t>注：本表反映</w:t>
      </w:r>
      <w:r>
        <w:rPr>
          <w:rFonts w:hint="eastAsia"/>
          <w:lang w:eastAsia="zh-CN"/>
        </w:rPr>
        <w:t>单位</w:t>
      </w:r>
      <w:r>
        <w:rPr>
          <w:rFonts w:hint="eastAsia"/>
        </w:rPr>
        <w:t>本年度“三公”经费支出预决算情况。其中，2020年度预算数为“三公”经费年初预算数，决算数是包括当年一般公共预算财政拨款和以前年度结转资金安排的实际支出。</w:t>
      </w:r>
    </w:p>
    <w:p>
      <w:pPr>
        <w:ind w:firstLine="945" w:firstLineChars="450"/>
      </w:pPr>
    </w:p>
    <w:p/>
    <w:p>
      <w:pPr>
        <w:rPr>
          <w:rFonts w:hint="eastAsia"/>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
    <w:tbl>
      <w:tblPr>
        <w:tblStyle w:val="5"/>
        <w:tblW w:w="12480" w:type="dxa"/>
        <w:jc w:val="center"/>
        <w:tblInd w:w="93"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ind w:firstLine="945" w:firstLineChars="450"/>
      </w:pPr>
      <w:r>
        <w:rPr>
          <w:rFonts w:hint="eastAsia"/>
        </w:rPr>
        <w:t>注：本表反映</w:t>
      </w:r>
      <w:r>
        <w:rPr>
          <w:rFonts w:hint="eastAsia"/>
          <w:lang w:eastAsia="zh-CN"/>
        </w:rPr>
        <w:t>单位</w:t>
      </w:r>
      <w:r>
        <w:rPr>
          <w:rFonts w:hint="eastAsia"/>
        </w:rPr>
        <w:t>本年度政府性基金预算财政拨款收入支出及结转和结余情况。</w:t>
      </w:r>
    </w:p>
    <w:p>
      <w:pPr>
        <w:ind w:firstLine="945" w:firstLineChars="450"/>
      </w:pPr>
    </w:p>
    <w:p>
      <w:pPr>
        <w:ind w:firstLine="945" w:firstLineChars="450"/>
      </w:pPr>
      <w:r>
        <w:rPr>
          <w:rFonts w:hint="eastAsia"/>
        </w:rPr>
        <w:t>说明：柳州市财政预算绩效管理中心没有政府性基金预算财政拨款收入，也没有政府性基金预算财政拨款安排的支出，故本表无数据。</w:t>
      </w: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Layout w:type="fixed"/>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Layout w:type="fixed"/>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Layout w:type="fixed"/>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Layout w:type="fixed"/>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Layout w:type="fixed"/>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rPr>
                <w:rFonts w:hint="eastAsia"/>
              </w:rPr>
            </w:pPr>
            <w:r>
              <w:rPr>
                <w:rFonts w:hint="eastAsia" w:ascii="宋体" w:hAnsi="宋体" w:cs="宋体"/>
                <w:color w:val="000000"/>
                <w:kern w:val="0"/>
                <w:sz w:val="24"/>
              </w:rPr>
              <w:t>注：本表反映</w:t>
            </w:r>
            <w:r>
              <w:rPr>
                <w:rFonts w:hint="eastAsia" w:ascii="宋体" w:hAnsi="宋体" w:cs="宋体"/>
                <w:color w:val="000000"/>
                <w:kern w:val="0"/>
                <w:sz w:val="24"/>
                <w:lang w:eastAsia="zh-CN"/>
              </w:rPr>
              <w:t>单位</w:t>
            </w:r>
            <w:r>
              <w:rPr>
                <w:rFonts w:hint="eastAsia" w:ascii="宋体" w:hAnsi="宋体" w:cs="宋体"/>
                <w:color w:val="000000"/>
                <w:kern w:val="0"/>
                <w:sz w:val="24"/>
              </w:rPr>
              <w:t>本年度国有资本经营预算财政拨款支出情况。</w:t>
            </w:r>
          </w:p>
          <w:p>
            <w:pPr>
              <w:ind w:firstLine="945" w:firstLineChars="450"/>
            </w:pPr>
          </w:p>
          <w:p>
            <w:r>
              <w:rPr>
                <w:rFonts w:hint="eastAsia"/>
              </w:rPr>
              <w:t>说明：柳州市财政预算绩效管理中心没有国有资本经营预算财政拨款收入，也没有国有资本经营预算财政拨款安排的支出，故本表无数据。</w:t>
            </w:r>
          </w:p>
          <w:p>
            <w:pPr>
              <w:widowControl/>
              <w:jc w:val="left"/>
              <w:textAlignment w:val="center"/>
              <w:rPr>
                <w:rFonts w:ascii="宋体" w:hAnsi="宋体" w:cs="宋体"/>
                <w:color w:val="000000"/>
                <w:sz w:val="24"/>
              </w:rPr>
            </w:pPr>
          </w:p>
        </w:tc>
      </w:tr>
    </w:tbl>
    <w:p>
      <w:pPr>
        <w:spacing w:line="560" w:lineRule="exact"/>
        <w:ind w:firstLine="420"/>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柳州市财政预算绩效管理中心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2020年度收入总计</w:t>
      </w:r>
      <w:r>
        <w:rPr>
          <w:rFonts w:ascii="仿宋_GB2312" w:eastAsia="仿宋_GB2312" w:cs="仿宋_GB2312"/>
          <w:bCs/>
          <w:kern w:val="0"/>
          <w:sz w:val="32"/>
          <w:szCs w:val="32"/>
        </w:rPr>
        <w:t>590.73</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590.73</w:t>
      </w:r>
      <w:r>
        <w:rPr>
          <w:rFonts w:hint="eastAsia" w:ascii="仿宋_GB2312" w:eastAsia="仿宋_GB2312" w:cs="仿宋_GB2312"/>
          <w:bCs/>
          <w:kern w:val="0"/>
          <w:sz w:val="32"/>
          <w:szCs w:val="32"/>
        </w:rPr>
        <w:t>万元，与2019年相比，收、支分均增加</w:t>
      </w:r>
      <w:r>
        <w:rPr>
          <w:rFonts w:ascii="仿宋_GB2312" w:eastAsia="仿宋_GB2312" w:cs="仿宋_GB2312"/>
          <w:bCs/>
          <w:kern w:val="0"/>
          <w:sz w:val="32"/>
          <w:szCs w:val="32"/>
        </w:rPr>
        <w:t>56.74</w:t>
      </w:r>
      <w:r>
        <w:rPr>
          <w:rFonts w:hint="eastAsia" w:ascii="仿宋_GB2312" w:eastAsia="仿宋_GB2312" w:cs="仿宋_GB2312"/>
          <w:bCs/>
          <w:kern w:val="0"/>
          <w:sz w:val="32"/>
          <w:szCs w:val="32"/>
        </w:rPr>
        <w:t>；均增长10.63%</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412.97</w:t>
      </w:r>
      <w:r>
        <w:rPr>
          <w:rFonts w:hint="eastAsia" w:ascii="仿宋_GB2312" w:eastAsia="仿宋_GB2312" w:cs="仿宋_GB2312"/>
          <w:bCs/>
          <w:kern w:val="0"/>
          <w:sz w:val="32"/>
          <w:szCs w:val="32"/>
        </w:rPr>
        <w:t>万元 ，其中：一般公共预算财政拨款收入</w:t>
      </w:r>
      <w:r>
        <w:rPr>
          <w:rFonts w:ascii="仿宋_GB2312" w:eastAsia="仿宋_GB2312" w:cs="仿宋_GB2312"/>
          <w:bCs/>
          <w:kern w:val="0"/>
          <w:sz w:val="32"/>
          <w:szCs w:val="32"/>
        </w:rPr>
        <w:t>412.97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占比100%。</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472.84</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444.77</w:t>
      </w:r>
      <w:r>
        <w:rPr>
          <w:rFonts w:hint="eastAsia" w:ascii="仿宋_GB2312" w:eastAsia="仿宋_GB2312" w:cs="仿宋_GB2312"/>
          <w:bCs/>
          <w:kern w:val="0"/>
          <w:sz w:val="32"/>
          <w:szCs w:val="32"/>
        </w:rPr>
        <w:t>万元，占94.06%；项目支出</w:t>
      </w:r>
      <w:r>
        <w:rPr>
          <w:rFonts w:ascii="仿宋_GB2312" w:eastAsia="仿宋_GB2312" w:cs="仿宋_GB2312"/>
          <w:bCs/>
          <w:kern w:val="0"/>
          <w:sz w:val="32"/>
          <w:szCs w:val="32"/>
        </w:rPr>
        <w:t>28.07</w:t>
      </w:r>
      <w:r>
        <w:rPr>
          <w:rFonts w:hint="eastAsia" w:ascii="仿宋_GB2312" w:eastAsia="仿宋_GB2312" w:cs="仿宋_GB2312"/>
          <w:bCs/>
          <w:kern w:val="0"/>
          <w:sz w:val="32"/>
          <w:szCs w:val="32"/>
        </w:rPr>
        <w:t>万元，占5.94%。</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本单位2020年度财政拨款收、支总决算均为</w:t>
      </w:r>
      <w:r>
        <w:rPr>
          <w:rFonts w:ascii="仿宋_GB2312" w:eastAsia="仿宋_GB2312" w:cs="仿宋_GB2312"/>
          <w:bCs/>
          <w:kern w:val="0"/>
          <w:sz w:val="32"/>
          <w:szCs w:val="32"/>
        </w:rPr>
        <w:t>589.59</w:t>
      </w:r>
      <w:r>
        <w:rPr>
          <w:rFonts w:hint="eastAsia" w:ascii="仿宋_GB2312" w:eastAsia="仿宋_GB2312" w:cs="仿宋_GB2312"/>
          <w:bCs/>
          <w:kern w:val="0"/>
          <w:sz w:val="32"/>
          <w:szCs w:val="32"/>
        </w:rPr>
        <w:t>万元。与2019年相比，财政拨款收、支总计各均增加</w:t>
      </w:r>
      <w:r>
        <w:rPr>
          <w:rFonts w:ascii="仿宋_GB2312" w:eastAsia="仿宋_GB2312" w:cs="仿宋_GB2312"/>
          <w:bCs/>
          <w:kern w:val="0"/>
          <w:sz w:val="32"/>
          <w:szCs w:val="32"/>
        </w:rPr>
        <w:t>56.75</w:t>
      </w:r>
      <w:r>
        <w:rPr>
          <w:rFonts w:hint="eastAsia" w:ascii="仿宋_GB2312" w:eastAsia="仿宋_GB2312" w:cs="仿宋_GB2312"/>
          <w:bCs/>
          <w:kern w:val="0"/>
          <w:sz w:val="32"/>
          <w:szCs w:val="32"/>
        </w:rPr>
        <w:t>万元，均增长</w:t>
      </w:r>
      <w:r>
        <w:rPr>
          <w:rFonts w:ascii="仿宋_GB2312" w:eastAsia="仿宋_GB2312" w:cs="仿宋_GB2312"/>
          <w:bCs/>
          <w:kern w:val="0"/>
          <w:sz w:val="32"/>
          <w:szCs w:val="32"/>
        </w:rPr>
        <w:t>10.65</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单位2020年度财政拨款支出</w:t>
      </w:r>
      <w:r>
        <w:rPr>
          <w:rFonts w:ascii="仿宋_GB2312" w:eastAsia="仿宋_GB2312" w:cs="仿宋_GB2312"/>
          <w:bCs/>
          <w:kern w:val="0"/>
          <w:sz w:val="32"/>
          <w:szCs w:val="32"/>
        </w:rPr>
        <w:t>472.84</w:t>
      </w:r>
      <w:r>
        <w:rPr>
          <w:rFonts w:hint="eastAsia" w:ascii="仿宋_GB2312" w:eastAsia="仿宋_GB2312" w:cs="仿宋_GB2312"/>
          <w:bCs/>
          <w:kern w:val="0"/>
          <w:sz w:val="32"/>
          <w:szCs w:val="32"/>
        </w:rPr>
        <w:t>万元，占本年支出合计的 100%。与2019年相比，财政拨款支出增</w:t>
      </w:r>
      <w:r>
        <w:rPr>
          <w:rFonts w:ascii="仿宋_GB2312" w:eastAsia="仿宋_GB2312" w:cs="仿宋_GB2312"/>
          <w:bCs/>
          <w:kern w:val="0"/>
          <w:sz w:val="32"/>
          <w:szCs w:val="32"/>
        </w:rPr>
        <w:t>116.62</w:t>
      </w:r>
      <w:r>
        <w:rPr>
          <w:rFonts w:hint="eastAsia" w:ascii="仿宋_GB2312" w:eastAsia="仿宋_GB2312" w:cs="仿宋_GB2312"/>
          <w:bCs/>
          <w:kern w:val="0"/>
          <w:sz w:val="32"/>
          <w:szCs w:val="32"/>
        </w:rPr>
        <w:t>万元，增加</w:t>
      </w:r>
      <w:r>
        <w:rPr>
          <w:rFonts w:ascii="仿宋_GB2312" w:eastAsia="仿宋_GB2312" w:cs="仿宋_GB2312"/>
          <w:bCs/>
          <w:kern w:val="0"/>
          <w:sz w:val="32"/>
          <w:szCs w:val="32"/>
        </w:rPr>
        <w:t>32.73</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ascii="仿宋_GB2312" w:eastAsia="仿宋_GB2312" w:cs="仿宋_GB2312"/>
          <w:bCs/>
          <w:kern w:val="0"/>
          <w:sz w:val="32"/>
          <w:szCs w:val="32"/>
        </w:rPr>
        <w:t>472.84</w:t>
      </w:r>
      <w:r>
        <w:rPr>
          <w:rFonts w:hint="eastAsia" w:ascii="仿宋_GB2312" w:eastAsia="仿宋_GB2312" w:cs="仿宋_GB2312"/>
          <w:bCs/>
          <w:kern w:val="0"/>
          <w:sz w:val="32"/>
          <w:szCs w:val="32"/>
        </w:rPr>
        <w:t>万元，主要用于以下方面：一般公共服务（类）支出</w:t>
      </w:r>
      <w:r>
        <w:rPr>
          <w:rFonts w:ascii="仿宋_GB2312" w:eastAsia="仿宋_GB2312" w:cs="仿宋_GB2312"/>
          <w:bCs/>
          <w:kern w:val="0"/>
          <w:sz w:val="32"/>
          <w:szCs w:val="32"/>
        </w:rPr>
        <w:t>332</w:t>
      </w:r>
      <w:r>
        <w:rPr>
          <w:rFonts w:hint="eastAsia" w:ascii="仿宋_GB2312" w:eastAsia="仿宋_GB2312" w:cs="仿宋_GB2312"/>
          <w:bCs/>
          <w:kern w:val="0"/>
          <w:sz w:val="32"/>
          <w:szCs w:val="32"/>
        </w:rPr>
        <w:t>.</w:t>
      </w:r>
      <w:r>
        <w:rPr>
          <w:rFonts w:ascii="仿宋_GB2312" w:eastAsia="仿宋_GB2312" w:cs="仿宋_GB2312"/>
          <w:bCs/>
          <w:kern w:val="0"/>
          <w:sz w:val="32"/>
          <w:szCs w:val="32"/>
        </w:rPr>
        <w:t>96</w:t>
      </w:r>
      <w:r>
        <w:rPr>
          <w:rFonts w:hint="eastAsia" w:ascii="仿宋_GB2312" w:eastAsia="仿宋_GB2312" w:cs="仿宋_GB2312"/>
          <w:bCs/>
          <w:kern w:val="0"/>
          <w:sz w:val="32"/>
          <w:szCs w:val="32"/>
        </w:rPr>
        <w:t>万元，占70.42%；社会保障和就业（类）支出</w:t>
      </w:r>
      <w:r>
        <w:rPr>
          <w:rFonts w:ascii="仿宋_GB2312" w:eastAsia="仿宋_GB2312" w:cs="仿宋_GB2312"/>
          <w:bCs/>
          <w:kern w:val="0"/>
          <w:sz w:val="32"/>
          <w:szCs w:val="32"/>
        </w:rPr>
        <w:t>76</w:t>
      </w:r>
      <w:r>
        <w:rPr>
          <w:rFonts w:hint="eastAsia" w:ascii="仿宋_GB2312" w:eastAsia="仿宋_GB2312" w:cs="仿宋_GB2312"/>
          <w:bCs/>
          <w:kern w:val="0"/>
          <w:sz w:val="32"/>
          <w:szCs w:val="32"/>
        </w:rPr>
        <w:t>.</w:t>
      </w:r>
      <w:r>
        <w:rPr>
          <w:rFonts w:ascii="仿宋_GB2312" w:eastAsia="仿宋_GB2312" w:cs="仿宋_GB2312"/>
          <w:bCs/>
          <w:kern w:val="0"/>
          <w:sz w:val="32"/>
          <w:szCs w:val="32"/>
        </w:rPr>
        <w:t>0</w:t>
      </w:r>
      <w:r>
        <w:rPr>
          <w:rFonts w:hint="eastAsia" w:ascii="仿宋_GB2312" w:eastAsia="仿宋_GB2312" w:cs="仿宋_GB2312"/>
          <w:bCs/>
          <w:kern w:val="0"/>
          <w:sz w:val="32"/>
          <w:szCs w:val="32"/>
        </w:rPr>
        <w:t>1万元，占16.08%；卫生健康支出支出</w:t>
      </w:r>
      <w:r>
        <w:rPr>
          <w:rFonts w:ascii="仿宋_GB2312" w:eastAsia="仿宋_GB2312" w:cs="仿宋_GB2312"/>
          <w:bCs/>
          <w:kern w:val="0"/>
          <w:sz w:val="32"/>
          <w:szCs w:val="32"/>
        </w:rPr>
        <w:t>21</w:t>
      </w:r>
      <w:r>
        <w:rPr>
          <w:rFonts w:hint="eastAsia" w:ascii="仿宋_GB2312" w:eastAsia="仿宋_GB2312" w:cs="仿宋_GB2312"/>
          <w:bCs/>
          <w:kern w:val="0"/>
          <w:sz w:val="32"/>
          <w:szCs w:val="32"/>
        </w:rPr>
        <w:t>.</w:t>
      </w:r>
      <w:r>
        <w:rPr>
          <w:rFonts w:ascii="仿宋_GB2312" w:eastAsia="仿宋_GB2312" w:cs="仿宋_GB2312"/>
          <w:bCs/>
          <w:kern w:val="0"/>
          <w:sz w:val="32"/>
          <w:szCs w:val="32"/>
        </w:rPr>
        <w:t>3</w:t>
      </w:r>
      <w:r>
        <w:rPr>
          <w:rFonts w:hint="eastAsia" w:ascii="仿宋_GB2312" w:eastAsia="仿宋_GB2312" w:cs="仿宋_GB2312"/>
          <w:bCs/>
          <w:kern w:val="0"/>
          <w:sz w:val="32"/>
          <w:szCs w:val="32"/>
        </w:rPr>
        <w:t>9万元，占4.52%；住房保障（类）支出</w:t>
      </w:r>
      <w:r>
        <w:rPr>
          <w:rFonts w:ascii="仿宋_GB2312" w:eastAsia="仿宋_GB2312" w:cs="仿宋_GB2312"/>
          <w:bCs/>
          <w:kern w:val="0"/>
          <w:sz w:val="32"/>
          <w:szCs w:val="32"/>
        </w:rPr>
        <w:t>42</w:t>
      </w:r>
      <w:r>
        <w:rPr>
          <w:rFonts w:hint="eastAsia" w:ascii="仿宋_GB2312" w:eastAsia="仿宋_GB2312" w:cs="仿宋_GB2312"/>
          <w:bCs/>
          <w:kern w:val="0"/>
          <w:sz w:val="32"/>
          <w:szCs w:val="32"/>
        </w:rPr>
        <w:t>.</w:t>
      </w:r>
      <w:r>
        <w:rPr>
          <w:rFonts w:ascii="仿宋_GB2312" w:eastAsia="仿宋_GB2312" w:cs="仿宋_GB2312"/>
          <w:bCs/>
          <w:kern w:val="0"/>
          <w:sz w:val="32"/>
          <w:szCs w:val="32"/>
        </w:rPr>
        <w:t>4</w:t>
      </w:r>
      <w:r>
        <w:rPr>
          <w:rFonts w:hint="eastAsia" w:ascii="仿宋_GB2312" w:eastAsia="仿宋_GB2312" w:cs="仿宋_GB2312"/>
          <w:bCs/>
          <w:kern w:val="0"/>
          <w:sz w:val="32"/>
          <w:szCs w:val="32"/>
        </w:rPr>
        <w:t>8万元，占8.98%。</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
          <w:bCs/>
          <w:kern w:val="0"/>
          <w:sz w:val="32"/>
          <w:szCs w:val="32"/>
        </w:rPr>
      </w:pPr>
      <w:r>
        <w:rPr>
          <w:rFonts w:hint="eastAsia" w:ascii="仿宋_GB2312" w:eastAsia="仿宋_GB2312" w:cs="仿宋_GB2312"/>
          <w:bCs/>
          <w:kern w:val="0"/>
          <w:sz w:val="32"/>
          <w:szCs w:val="32"/>
        </w:rPr>
        <w:t>2020 年度财政拨款支出年初预算为436.86万元，支出决算为</w:t>
      </w:r>
      <w:r>
        <w:rPr>
          <w:rFonts w:ascii="仿宋_GB2312" w:eastAsia="仿宋_GB2312" w:cs="仿宋_GB2312"/>
          <w:bCs/>
          <w:kern w:val="0"/>
          <w:sz w:val="32"/>
          <w:szCs w:val="32"/>
        </w:rPr>
        <w:t>472.84</w:t>
      </w:r>
      <w:r>
        <w:rPr>
          <w:rFonts w:hint="eastAsia" w:ascii="仿宋_GB2312" w:eastAsia="仿宋_GB2312" w:cs="仿宋_GB2312"/>
          <w:bCs/>
          <w:kern w:val="0"/>
          <w:sz w:val="32"/>
          <w:szCs w:val="32"/>
        </w:rPr>
        <w:t>万元，完成年初预算的 108.24%。决算数大于预算数的主要原因：一是2020年7月柳州市财政局干部教育中心人员从合并至柳州市财政预算绩效管理中心，柳州市信托投资公司撤销清算组调入柳州市财政预算绩效管理中心，人员经费在我单位支出；二是年中追加安排财政拨款支出预算，涉及项目有扶贫工作人员伙食补助、艰苦边远地区津贴、乡镇工作补贴，人员经费等；三是部分支出按规定通过使用以前年度财政拨款结转资金解决。其中：</w:t>
      </w:r>
      <w:r>
        <w:rPr>
          <w:rFonts w:hint="eastAsia" w:ascii="仿宋_GB2312" w:eastAsia="仿宋_GB2312" w:cs="仿宋_GB2312"/>
          <w:b/>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rPr>
        <w:t xml:space="preserve"> </w:t>
      </w:r>
      <w:r>
        <w:rPr>
          <w:rFonts w:hint="eastAsia" w:ascii="仿宋_GB2312" w:eastAsia="仿宋_GB2312" w:cs="仿宋_GB2312"/>
          <w:bCs/>
          <w:kern w:val="0"/>
          <w:sz w:val="32"/>
          <w:szCs w:val="32"/>
        </w:rPr>
        <w:t>一般公共服务支出（类）财政事务（款）事业运行（项），支出功能分类科目编码2010650。年初预算为268.26万元，支出决算为</w:t>
      </w:r>
      <w:r>
        <w:rPr>
          <w:rFonts w:ascii="仿宋_GB2312" w:eastAsia="仿宋_GB2312" w:cs="仿宋_GB2312"/>
          <w:bCs/>
          <w:kern w:val="0"/>
          <w:sz w:val="32"/>
          <w:szCs w:val="32"/>
        </w:rPr>
        <w:t>304.89</w:t>
      </w:r>
      <w:r>
        <w:rPr>
          <w:rFonts w:hint="eastAsia" w:ascii="仿宋_GB2312" w:eastAsia="仿宋_GB2312" w:cs="仿宋_GB2312"/>
          <w:bCs/>
          <w:kern w:val="0"/>
          <w:sz w:val="32"/>
          <w:szCs w:val="32"/>
        </w:rPr>
        <w:t>万元，完成年初预算的113.65%。决算数大于预算数的主要原因是: 1、部分支出按规定通过使用上年结转结余资金解决；2、年中追加安排部分财政拨款预算。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rPr>
        <w:t xml:space="preserve"> </w:t>
      </w:r>
      <w:r>
        <w:rPr>
          <w:rFonts w:hint="eastAsia" w:ascii="仿宋_GB2312" w:eastAsia="仿宋_GB2312" w:cs="仿宋_GB2312"/>
          <w:bCs/>
          <w:kern w:val="0"/>
          <w:sz w:val="32"/>
          <w:szCs w:val="32"/>
        </w:rPr>
        <w:t>一般公共服务支出（类）财政事务（款）其他财政事务支出（项），支出功能分类科目编码2010699。年初预算为63.87万元，支出决算为28.07万元，完成年初预算的43.95%，决算数小于预算数的主要原因是：2020年因为疫情原因对绩效目标未进行统一审核，市财政预算绩效管理局不再另外聘请第三方机构和专家进行绩效目标审核，而采用由财政内部科室组织自身力量的方式进行审核，此部分费用也未能按原预算方案进行支付，费用与项目预算存在较大差异。</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rPr>
        <w:t xml:space="preserve"> </w:t>
      </w:r>
      <w:r>
        <w:rPr>
          <w:rFonts w:hint="eastAsia" w:ascii="仿宋_GB2312" w:eastAsia="仿宋_GB2312" w:cs="仿宋_GB2312"/>
          <w:bCs/>
          <w:kern w:val="0"/>
          <w:sz w:val="32"/>
          <w:szCs w:val="32"/>
        </w:rPr>
        <w:t>社会保障和就业支出（类）行政事业单位离退休（款）事业单位离退休（项），支出功能分类科目编码2080502。年初预算为</w:t>
      </w:r>
      <w:r>
        <w:rPr>
          <w:rFonts w:ascii="仿宋_GB2312" w:eastAsia="仿宋_GB2312" w:cs="仿宋_GB2312"/>
          <w:bCs/>
          <w:kern w:val="0"/>
          <w:sz w:val="32"/>
          <w:szCs w:val="32"/>
        </w:rPr>
        <w:t>8.26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8.26</w:t>
      </w:r>
      <w:r>
        <w:rPr>
          <w:rFonts w:hint="eastAsia" w:ascii="仿宋_GB2312" w:eastAsia="仿宋_GB2312" w:cs="仿宋_GB2312"/>
          <w:bCs/>
          <w:kern w:val="0"/>
          <w:sz w:val="32"/>
          <w:szCs w:val="32"/>
        </w:rPr>
        <w:t>万元，完成年初预算的100%，决算数等于预算数的主要原因是：2020年退休人员没有变动，退休人员的公用经费按照年初预算安排。</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rPr>
        <w:t xml:space="preserve"> </w:t>
      </w:r>
      <w:r>
        <w:rPr>
          <w:rFonts w:hint="eastAsia" w:ascii="仿宋_GB2312" w:eastAsia="仿宋_GB2312" w:cs="仿宋_GB2312"/>
          <w:bCs/>
          <w:kern w:val="0"/>
          <w:sz w:val="32"/>
          <w:szCs w:val="32"/>
        </w:rPr>
        <w:t>社会保障和就业支出（类）行政事业单位离退休（款）机关事业单位基本养老保险缴费支出（项），支出功能分类科目编码2080505。年初预算为</w:t>
      </w:r>
      <w:r>
        <w:rPr>
          <w:rFonts w:ascii="仿宋_GB2312" w:eastAsia="仿宋_GB2312" w:cs="仿宋_GB2312"/>
          <w:bCs/>
          <w:kern w:val="0"/>
          <w:sz w:val="32"/>
          <w:szCs w:val="32"/>
        </w:rPr>
        <w:t>35.42</w:t>
      </w:r>
      <w:r>
        <w:rPr>
          <w:rFonts w:hint="eastAsia" w:ascii="仿宋_GB2312" w:eastAsia="仿宋_GB2312" w:cs="仿宋_GB2312"/>
          <w:bCs/>
          <w:kern w:val="0"/>
          <w:sz w:val="32"/>
          <w:szCs w:val="32"/>
        </w:rPr>
        <w:t xml:space="preserve">万元，支出决算为 </w:t>
      </w:r>
      <w:r>
        <w:rPr>
          <w:rFonts w:ascii="仿宋_GB2312" w:eastAsia="仿宋_GB2312" w:cs="仿宋_GB2312"/>
          <w:bCs/>
          <w:kern w:val="0"/>
          <w:sz w:val="32"/>
          <w:szCs w:val="32"/>
        </w:rPr>
        <w:t>48.18</w:t>
      </w:r>
      <w:r>
        <w:rPr>
          <w:rFonts w:hint="eastAsia" w:ascii="仿宋_GB2312" w:eastAsia="仿宋_GB2312" w:cs="仿宋_GB2312"/>
          <w:bCs/>
          <w:kern w:val="0"/>
          <w:sz w:val="32"/>
          <w:szCs w:val="32"/>
        </w:rPr>
        <w:t xml:space="preserve">万元，完成年初预算的136.02%。决算数大于预算数的主要原因是：1、部分支出按规定通过使用上年结转结余资金解决；2、年中追加安排部分财政拨款预算。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5. 社会保障和就业支出（类）行政事业单位离退休（款）职业年金缴费（项），支出功能分类科目编码2080506。年初预算为</w:t>
      </w:r>
      <w:r>
        <w:rPr>
          <w:rFonts w:ascii="仿宋_GB2312" w:eastAsia="仿宋_GB2312" w:cs="仿宋_GB2312"/>
          <w:bCs/>
          <w:kern w:val="0"/>
          <w:sz w:val="32"/>
          <w:szCs w:val="32"/>
        </w:rPr>
        <w:t>17.71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19.57</w:t>
      </w:r>
      <w:r>
        <w:rPr>
          <w:rFonts w:hint="eastAsia" w:ascii="仿宋_GB2312" w:eastAsia="仿宋_GB2312" w:cs="仿宋_GB2312"/>
          <w:bCs/>
          <w:kern w:val="0"/>
          <w:sz w:val="32"/>
          <w:szCs w:val="32"/>
        </w:rPr>
        <w:t>万元，完成年初预算的110.50%。决算数大于预算数的主要原因是：1、部分支出按规定通过使用上年结转结余资金解决；2、年中追加安排部分财政拨款预算。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6.</w:t>
      </w:r>
      <w:r>
        <w:rPr>
          <w:rFonts w:hint="eastAsia"/>
        </w:rPr>
        <w:t xml:space="preserve"> </w:t>
      </w:r>
      <w:r>
        <w:rPr>
          <w:rFonts w:hint="eastAsia" w:ascii="仿宋_GB2312" w:eastAsia="仿宋_GB2312" w:cs="仿宋_GB2312"/>
          <w:bCs/>
          <w:kern w:val="0"/>
          <w:sz w:val="32"/>
          <w:szCs w:val="32"/>
        </w:rPr>
        <w:t>医疗卫生与计划生育支出（类）行政事业单位医疗（款）事业单位医疗（项），支出功能分类科目编码2101102。年初预算为15.61万元，支出决算为17.06万元，完成年初预算的109.29%，决算数大于预算数的主要原因是：1、部分支出按规定通过使用上年结转结余资金解决；2、年中追加安排部分财政拨款预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7.住房保障支出（类）住房改革支出（款）住房公积金（项），支出功能分类科目编码2210201。年初预算为</w:t>
      </w:r>
      <w:r>
        <w:rPr>
          <w:rFonts w:ascii="仿宋_GB2312" w:eastAsia="仿宋_GB2312" w:cs="仿宋_GB2312"/>
          <w:bCs/>
          <w:kern w:val="0"/>
          <w:sz w:val="32"/>
          <w:szCs w:val="32"/>
        </w:rPr>
        <w:t>26.56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35.18</w:t>
      </w:r>
      <w:r>
        <w:rPr>
          <w:rFonts w:hint="eastAsia" w:ascii="仿宋_GB2312" w:eastAsia="仿宋_GB2312" w:cs="仿宋_GB2312"/>
          <w:bCs/>
          <w:kern w:val="0"/>
          <w:sz w:val="32"/>
          <w:szCs w:val="32"/>
        </w:rPr>
        <w:t>万元，完成年初预算的132.45%。决算数大于预算数的主要原因是：1、部分支出按规定通过使用上年结转结余资金解决；2、年中追加安排部分财政拨款预算。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8.住房保障支出（类）住房改革支出（款）购房补贴（项），支出功能分类科目编码2210203。年初预算为0万元，支出决算为</w:t>
      </w:r>
      <w:r>
        <w:rPr>
          <w:rFonts w:ascii="仿宋_GB2312" w:eastAsia="仿宋_GB2312" w:cs="仿宋_GB2312"/>
          <w:bCs/>
          <w:kern w:val="0"/>
          <w:sz w:val="32"/>
          <w:szCs w:val="32"/>
        </w:rPr>
        <w:t>7.30</w:t>
      </w:r>
      <w:r>
        <w:rPr>
          <w:rFonts w:hint="eastAsia" w:ascii="仿宋_GB2312" w:eastAsia="仿宋_GB2312" w:cs="仿宋_GB2312"/>
          <w:bCs/>
          <w:kern w:val="0"/>
          <w:sz w:val="32"/>
          <w:szCs w:val="32"/>
        </w:rPr>
        <w:t>万元，决算数大于预算数的主要原因是：年初未安排财政拨款预算，年中调整增加购房补贴财政拨款预算。</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ascii="仿宋_GB2312" w:eastAsia="仿宋_GB2312" w:cs="仿宋_GB2312"/>
          <w:bCs/>
          <w:kern w:val="0"/>
          <w:sz w:val="32"/>
          <w:szCs w:val="32"/>
        </w:rPr>
        <w:t>444.77</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417.06</w:t>
      </w:r>
      <w:r>
        <w:rPr>
          <w:rFonts w:hint="eastAsia" w:ascii="仿宋_GB2312" w:eastAsia="仿宋_GB2312" w:cs="仿宋_GB2312"/>
          <w:bCs/>
          <w:kern w:val="0"/>
          <w:sz w:val="32"/>
          <w:szCs w:val="32"/>
        </w:rPr>
        <w:t>万元，主要包括：基本工资、津贴补贴、 奖金、绩效工资、机关事业单位基本养老保险缴费、职业年金缴费、其他社会保障缴费、住房公积金、奖励金、其他对个人和家庭的补助；</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27.71</w:t>
      </w:r>
      <w:r>
        <w:rPr>
          <w:rFonts w:hint="eastAsia" w:ascii="仿宋_GB2312" w:eastAsia="仿宋_GB2312" w:cs="仿宋_GB2312"/>
          <w:bCs/>
          <w:kern w:val="0"/>
          <w:sz w:val="32"/>
          <w:szCs w:val="32"/>
        </w:rPr>
        <w:t>万元，主要包括：办公费、邮电费、差旅费、培训费、工会经费、其他交通费用、其他商品和服务支出。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 经费支出决算情况</w:t>
      </w:r>
      <w:r>
        <w:rPr>
          <w:rFonts w:hint="eastAsia" w:ascii="仿宋_GB2312" w:eastAsia="仿宋_GB2312" w:cs="仿宋_GB2312"/>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%，其中：因公出国（境）费支出决算为0万元；公务用车购置及运行费支出决算为0万元；公务接待费支出决算为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%。2020年度“三公”经费支出决算数小于预算数的主要原因是受疫情影响，部分工作未按原计划开展。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val="en-US"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val="en-US" w:eastAsia="zh-CN"/>
        </w:rPr>
        <w:t>持平，无增减变化</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2020年度“三公”经费财政拨款支出决算中，因公出国（境）费支出决算0万元，占0%；公务用车购置及运行费支出决算0万元，占0%；公务接待费支出决算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1.因公出国（境）费支出0万元。全年安排机关和所属单位因公出国（境）团组0个，累计0人次。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2.公务用车购置及运行费支出0万元。其中：公务用车购置支出为0万元。公务用车运行支出0万元。2020年，机关所属单位开支财政拨款的公务用车保有量为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万元。其中：外宾接待支出0万元，国内公务接待支出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万元。主要用于工作</w:t>
      </w:r>
      <w:r>
        <w:rPr>
          <w:rFonts w:hint="eastAsia" w:ascii="仿宋_GB2312" w:eastAsia="仿宋_GB2312" w:cs="仿宋_GB2312"/>
          <w:bCs/>
          <w:kern w:val="0"/>
          <w:sz w:val="32"/>
          <w:szCs w:val="32"/>
          <w:lang w:val="en-US" w:eastAsia="zh-CN"/>
        </w:rPr>
        <w:t>开展</w:t>
      </w:r>
      <w:r>
        <w:rPr>
          <w:rFonts w:hint="eastAsia" w:ascii="仿宋_GB2312" w:eastAsia="仿宋_GB2312" w:cs="仿宋_GB2312"/>
          <w:bCs/>
          <w:kern w:val="0"/>
          <w:sz w:val="32"/>
          <w:szCs w:val="32"/>
        </w:rPr>
        <w:t>发生的接待支出。2020年共接待国内来访团组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Cs/>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2020年度政府性基金预算财政拨款收入支出决算情况说明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本单位无政府性基金预算财政拨款收入支出决算数据。  </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本单位无国有资本经营预算财政拨款支出决算数据。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5"/>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根据财政预算管理要求，我单位对2020一般公共预算项目支出全面开展绩效自评。其中，一级项目1个，共涉及预</w:t>
      </w:r>
      <w:r>
        <w:rPr>
          <w:rFonts w:hint="eastAsia" w:ascii="仿宋_GB2312" w:eastAsia="仿宋_GB2312" w:cs="仿宋_GB2312"/>
          <w:bCs/>
          <w:kern w:val="0"/>
          <w:sz w:val="32"/>
          <w:szCs w:val="32"/>
          <w:highlight w:val="none"/>
        </w:rPr>
        <w:t>算资金</w:t>
      </w:r>
      <w:r>
        <w:rPr>
          <w:rFonts w:ascii="仿宋_GB2312" w:eastAsia="仿宋_GB2312" w:cs="仿宋_GB2312"/>
          <w:bCs/>
          <w:kern w:val="0"/>
          <w:sz w:val="32"/>
          <w:szCs w:val="32"/>
          <w:highlight w:val="none"/>
        </w:rPr>
        <w:t>472.84</w:t>
      </w:r>
      <w:r>
        <w:rPr>
          <w:rFonts w:hint="eastAsia" w:ascii="仿宋_GB2312" w:eastAsia="仿宋_GB2312" w:cs="仿宋_GB2312"/>
          <w:bCs/>
          <w:kern w:val="0"/>
          <w:sz w:val="32"/>
          <w:szCs w:val="32"/>
          <w:highlight w:val="none"/>
        </w:rPr>
        <w:t>万元，自评覆盖率达到100%。</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（二）单位决算中项目绩效自评结果</w:t>
      </w:r>
      <w:bookmarkStart w:id="0" w:name="_GoBack"/>
      <w:bookmarkEnd w:id="0"/>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rPr>
        <w:t>我单位根据年初设定的绩效目标，柳州市财政预算绩效管理中心单位</w:t>
      </w:r>
      <w:r>
        <w:rPr>
          <w:rFonts w:hint="eastAsia" w:ascii="仿宋_GB2312" w:eastAsia="仿宋_GB2312" w:cs="仿宋_GB2312"/>
          <w:bCs/>
          <w:kern w:val="0"/>
          <w:sz w:val="32"/>
          <w:szCs w:val="32"/>
        </w:rPr>
        <w:t>整体自评得分为93分。发现的主要问题及原因：指标设置体系比较完善，指标设置内容可以进一步完善与细化，更加贴近工作开展与制度的更新。下一步改进措施：加强业务的学习和培训，提高绩效工作人员的学习业务能力，积极研究新政策及时更新绩效知识储备，设立更加明确、完整、可细化及可操作的绩效指标。</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（一）机关运行经费支出情况。我单位为全额拨款事业单位，</w:t>
      </w:r>
      <w:r>
        <w:rPr>
          <w:rFonts w:hint="eastAsia" w:ascii="仿宋_GB2312" w:eastAsia="仿宋_GB2312" w:cs="仿宋_GB2312"/>
          <w:bCs/>
          <w:kern w:val="0"/>
          <w:sz w:val="32"/>
          <w:szCs w:val="32"/>
        </w:rPr>
        <w:t>无</w:t>
      </w:r>
      <w:r>
        <w:rPr>
          <w:rFonts w:hint="eastAsia" w:ascii="仿宋_GB2312" w:eastAsia="仿宋_GB2312" w:cs="仿宋_GB2312"/>
          <w:kern w:val="0"/>
          <w:sz w:val="32"/>
          <w:szCs w:val="32"/>
        </w:rPr>
        <w:t>机关运行经费支出</w:t>
      </w:r>
      <w:r>
        <w:rPr>
          <w:rFonts w:hint="eastAsia" w:ascii="仿宋_GB2312" w:eastAsia="仿宋_GB2312" w:cs="仿宋_GB2312"/>
          <w:bCs/>
          <w:kern w:val="0"/>
          <w:sz w:val="32"/>
          <w:szCs w:val="32"/>
        </w:rPr>
        <w:t>决算数据。</w:t>
      </w:r>
    </w:p>
    <w:p>
      <w:pPr>
        <w:keepNext w:val="0"/>
        <w:keepLines w:val="0"/>
        <w:pageBreakBefore w:val="0"/>
        <w:widowControl w:val="0"/>
        <w:kinsoku/>
        <w:wordWrap/>
        <w:overflowPunct/>
        <w:topLinePunct w:val="0"/>
        <w:bidi w:val="0"/>
        <w:snapToGrid/>
        <w:ind w:firstLine="640" w:firstLineChars="200"/>
        <w:jc w:val="left"/>
        <w:textAlignment w:val="auto"/>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（二）政府采购支出情况。2020年度</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政府采购支出总额</w:t>
      </w:r>
      <w:r>
        <w:rPr>
          <w:rFonts w:hint="eastAsia" w:ascii="仿宋_GB2312" w:eastAsia="仿宋_GB2312" w:cs="仿宋_GB2312"/>
          <w:bCs/>
          <w:color w:val="auto"/>
          <w:kern w:val="0"/>
          <w:sz w:val="32"/>
          <w:szCs w:val="32"/>
        </w:rPr>
        <w:t>2.41</w:t>
      </w:r>
      <w:r>
        <w:rPr>
          <w:rFonts w:hint="eastAsia" w:ascii="仿宋_GB2312" w:eastAsia="仿宋_GB2312" w:cs="仿宋_GB2312"/>
          <w:color w:val="auto"/>
          <w:kern w:val="0"/>
          <w:sz w:val="32"/>
          <w:szCs w:val="32"/>
        </w:rPr>
        <w:t>万元，其中：货物支</w:t>
      </w:r>
      <w:r>
        <w:rPr>
          <w:rFonts w:hint="eastAsia" w:ascii="仿宋_GB2312" w:eastAsia="仿宋_GB2312" w:cs="仿宋_GB2312"/>
          <w:bCs/>
          <w:color w:val="auto"/>
          <w:kern w:val="0"/>
          <w:sz w:val="32"/>
          <w:szCs w:val="32"/>
        </w:rPr>
        <w:t>出2.41</w:t>
      </w:r>
      <w:r>
        <w:rPr>
          <w:rFonts w:hint="eastAsia" w:ascii="仿宋_GB2312" w:eastAsia="仿宋_GB2312" w:cs="仿宋_GB2312"/>
          <w:color w:val="auto"/>
          <w:kern w:val="0"/>
          <w:sz w:val="32"/>
          <w:szCs w:val="32"/>
        </w:rPr>
        <w:t>万元、工程支出0万元、服务支出0万元。</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共有车辆0；单价50万元 以上通用设备0（套），单价100 万元以上专用设备0（套）。 </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- 19 -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10F84"/>
    <w:rsid w:val="00014710"/>
    <w:rsid w:val="000314C4"/>
    <w:rsid w:val="00037F70"/>
    <w:rsid w:val="00066CA3"/>
    <w:rsid w:val="000A531C"/>
    <w:rsid w:val="000B2BB4"/>
    <w:rsid w:val="000B49CC"/>
    <w:rsid w:val="000E4637"/>
    <w:rsid w:val="00106752"/>
    <w:rsid w:val="001519EF"/>
    <w:rsid w:val="0016643D"/>
    <w:rsid w:val="00173F1C"/>
    <w:rsid w:val="001C237A"/>
    <w:rsid w:val="001E77EE"/>
    <w:rsid w:val="002277F8"/>
    <w:rsid w:val="002455FA"/>
    <w:rsid w:val="00264F89"/>
    <w:rsid w:val="002A6DAB"/>
    <w:rsid w:val="002B6CAD"/>
    <w:rsid w:val="002D4DFA"/>
    <w:rsid w:val="002F0CAE"/>
    <w:rsid w:val="00364053"/>
    <w:rsid w:val="00375FF1"/>
    <w:rsid w:val="003A282E"/>
    <w:rsid w:val="003D1844"/>
    <w:rsid w:val="003E3203"/>
    <w:rsid w:val="0040271F"/>
    <w:rsid w:val="004155E0"/>
    <w:rsid w:val="004242BE"/>
    <w:rsid w:val="004349BF"/>
    <w:rsid w:val="004640B9"/>
    <w:rsid w:val="00475BC6"/>
    <w:rsid w:val="004A428C"/>
    <w:rsid w:val="004B116A"/>
    <w:rsid w:val="004B4291"/>
    <w:rsid w:val="004C1E19"/>
    <w:rsid w:val="00510AF0"/>
    <w:rsid w:val="00522F32"/>
    <w:rsid w:val="00545736"/>
    <w:rsid w:val="005778D8"/>
    <w:rsid w:val="00577C92"/>
    <w:rsid w:val="005C123D"/>
    <w:rsid w:val="005D6763"/>
    <w:rsid w:val="006C1367"/>
    <w:rsid w:val="006C725E"/>
    <w:rsid w:val="006C72E1"/>
    <w:rsid w:val="006F0A4A"/>
    <w:rsid w:val="006F77ED"/>
    <w:rsid w:val="007025B0"/>
    <w:rsid w:val="00715385"/>
    <w:rsid w:val="00726BA3"/>
    <w:rsid w:val="00743517"/>
    <w:rsid w:val="00746E0C"/>
    <w:rsid w:val="007775D7"/>
    <w:rsid w:val="007D48C6"/>
    <w:rsid w:val="008112CA"/>
    <w:rsid w:val="008707AE"/>
    <w:rsid w:val="0089259B"/>
    <w:rsid w:val="009345D5"/>
    <w:rsid w:val="00947746"/>
    <w:rsid w:val="00951970"/>
    <w:rsid w:val="009728A3"/>
    <w:rsid w:val="009B348A"/>
    <w:rsid w:val="009C6284"/>
    <w:rsid w:val="00A22260"/>
    <w:rsid w:val="00A510A5"/>
    <w:rsid w:val="00A70000"/>
    <w:rsid w:val="00AC424A"/>
    <w:rsid w:val="00AC4F8E"/>
    <w:rsid w:val="00AD0E68"/>
    <w:rsid w:val="00AE5E1B"/>
    <w:rsid w:val="00B3171A"/>
    <w:rsid w:val="00B610A2"/>
    <w:rsid w:val="00B67774"/>
    <w:rsid w:val="00B716BF"/>
    <w:rsid w:val="00B91942"/>
    <w:rsid w:val="00C9385B"/>
    <w:rsid w:val="00C971C2"/>
    <w:rsid w:val="00D11B59"/>
    <w:rsid w:val="00D24ABA"/>
    <w:rsid w:val="00D37721"/>
    <w:rsid w:val="00D70E3A"/>
    <w:rsid w:val="00DE0C20"/>
    <w:rsid w:val="00E1350B"/>
    <w:rsid w:val="00E27E95"/>
    <w:rsid w:val="00E3639A"/>
    <w:rsid w:val="00E45015"/>
    <w:rsid w:val="00E464A0"/>
    <w:rsid w:val="00E62A0B"/>
    <w:rsid w:val="00E85B02"/>
    <w:rsid w:val="00EB3149"/>
    <w:rsid w:val="00EE0AA1"/>
    <w:rsid w:val="00EF0228"/>
    <w:rsid w:val="00F12B5C"/>
    <w:rsid w:val="00F246F6"/>
    <w:rsid w:val="00F435E6"/>
    <w:rsid w:val="00F55472"/>
    <w:rsid w:val="00F57664"/>
    <w:rsid w:val="00F66C5B"/>
    <w:rsid w:val="00F813CB"/>
    <w:rsid w:val="00F82A5D"/>
    <w:rsid w:val="00FD196F"/>
    <w:rsid w:val="00FE1E5B"/>
    <w:rsid w:val="06007307"/>
    <w:rsid w:val="07A053AD"/>
    <w:rsid w:val="0B445377"/>
    <w:rsid w:val="0D7C694D"/>
    <w:rsid w:val="0E074DDF"/>
    <w:rsid w:val="0E3573B1"/>
    <w:rsid w:val="11E85362"/>
    <w:rsid w:val="124204B5"/>
    <w:rsid w:val="156223A7"/>
    <w:rsid w:val="166D560D"/>
    <w:rsid w:val="1766233C"/>
    <w:rsid w:val="182962AB"/>
    <w:rsid w:val="196C20B7"/>
    <w:rsid w:val="19D073EB"/>
    <w:rsid w:val="1AC116AB"/>
    <w:rsid w:val="1B0F3AFF"/>
    <w:rsid w:val="1BAA5933"/>
    <w:rsid w:val="1CC31F67"/>
    <w:rsid w:val="1F2D04C5"/>
    <w:rsid w:val="20A51511"/>
    <w:rsid w:val="243C6F76"/>
    <w:rsid w:val="24B65BAE"/>
    <w:rsid w:val="24D337DC"/>
    <w:rsid w:val="26460DBA"/>
    <w:rsid w:val="2B6F74EB"/>
    <w:rsid w:val="2C4219FE"/>
    <w:rsid w:val="2E664246"/>
    <w:rsid w:val="2EBD201C"/>
    <w:rsid w:val="337356A1"/>
    <w:rsid w:val="34020F86"/>
    <w:rsid w:val="39A63F06"/>
    <w:rsid w:val="3BF51ACD"/>
    <w:rsid w:val="3ED1439F"/>
    <w:rsid w:val="433F20EB"/>
    <w:rsid w:val="43D82CCA"/>
    <w:rsid w:val="48374EDC"/>
    <w:rsid w:val="48674DE5"/>
    <w:rsid w:val="4C256E3D"/>
    <w:rsid w:val="4CB52F0F"/>
    <w:rsid w:val="4F01370B"/>
    <w:rsid w:val="50ED3141"/>
    <w:rsid w:val="52210690"/>
    <w:rsid w:val="532F1F9A"/>
    <w:rsid w:val="55EA57ED"/>
    <w:rsid w:val="5E995A3E"/>
    <w:rsid w:val="5EF004C1"/>
    <w:rsid w:val="613B0018"/>
    <w:rsid w:val="62163194"/>
    <w:rsid w:val="624D024D"/>
    <w:rsid w:val="62CA1536"/>
    <w:rsid w:val="631A0C8A"/>
    <w:rsid w:val="649D074C"/>
    <w:rsid w:val="650E086A"/>
    <w:rsid w:val="663C332E"/>
    <w:rsid w:val="69D25357"/>
    <w:rsid w:val="6BAA0708"/>
    <w:rsid w:val="6C652FDD"/>
    <w:rsid w:val="6E91258C"/>
    <w:rsid w:val="6EE67B4B"/>
    <w:rsid w:val="73B82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95195-BB59-4FD8-9AFE-3906B140ADA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5830</Words>
  <Characters>2271</Characters>
  <Lines>18</Lines>
  <Paragraphs>16</Paragraphs>
  <TotalTime>80</TotalTime>
  <ScaleCrop>false</ScaleCrop>
  <LinksUpToDate>false</LinksUpToDate>
  <CharactersWithSpaces>8085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韦丽玲</cp:lastModifiedBy>
  <cp:lastPrinted>2021-07-23T02:47:00Z</cp:lastPrinted>
  <dcterms:modified xsi:type="dcterms:W3CDTF">2022-09-07T07:49:40Z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