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ascii="黑体" w:hAnsi="黑体" w:eastAsia="黑体"/>
          <w:b/>
          <w:bCs/>
          <w:color w:val="auto"/>
          <w:sz w:val="52"/>
          <w:szCs w:val="52"/>
          <w:highlight w:val="none"/>
        </w:rPr>
      </w:pPr>
      <w:r>
        <w:rPr>
          <w:rFonts w:hint="eastAsia" w:ascii="黑体" w:eastAsia="黑体" w:cs="ArialUnicodeMS"/>
          <w:b/>
          <w:color w:val="auto"/>
          <w:kern w:val="0"/>
          <w:sz w:val="52"/>
          <w:szCs w:val="52"/>
          <w:highlight w:val="none"/>
        </w:rPr>
        <w:t>柳州市</w:t>
      </w:r>
      <w:r>
        <w:rPr>
          <w:rFonts w:hint="eastAsia" w:ascii="黑体" w:hAnsi="黑体" w:eastAsia="黑体"/>
          <w:b/>
          <w:bCs/>
          <w:color w:val="auto"/>
          <w:sz w:val="52"/>
          <w:szCs w:val="52"/>
          <w:highlight w:val="none"/>
        </w:rPr>
        <w:t>农村合作经济经营管理站</w:t>
      </w:r>
    </w:p>
    <w:p>
      <w:pPr>
        <w:jc w:val="center"/>
        <w:rPr>
          <w:rFonts w:ascii="黑体" w:eastAsia="黑体" w:cs="ArialUnicodeMS"/>
          <w:b/>
          <w:color w:val="auto"/>
          <w:kern w:val="0"/>
          <w:sz w:val="52"/>
          <w:szCs w:val="52"/>
          <w:highlight w:val="none"/>
        </w:rPr>
      </w:pPr>
      <w:r>
        <w:rPr>
          <w:rFonts w:hint="eastAsia" w:ascii="黑体" w:eastAsia="黑体"/>
          <w:b/>
          <w:color w:val="auto"/>
          <w:kern w:val="0"/>
          <w:sz w:val="52"/>
          <w:szCs w:val="52"/>
          <w:highlight w:val="none"/>
        </w:rPr>
        <w:t>2020</w:t>
      </w:r>
      <w:r>
        <w:rPr>
          <w:rFonts w:hint="eastAsia" w:ascii="黑体" w:eastAsia="黑体" w:cs="ArialUnicodeMS"/>
          <w:b/>
          <w:color w:val="auto"/>
          <w:kern w:val="0"/>
          <w:sz w:val="52"/>
          <w:szCs w:val="52"/>
          <w:highlight w:val="none"/>
        </w:rPr>
        <w:t>年度决算</w:t>
      </w:r>
    </w:p>
    <w:p>
      <w:pPr>
        <w:rPr>
          <w:rFonts w:ascii="ArialUnicodeMS" w:eastAsia="ArialUnicodeMS" w:cs="ArialUnicodeMS"/>
          <w:b/>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2020年决算报表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表九：国有资本经营预算财政拨款支出决算表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2020年度决算情况说明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年度政府性基金预算财政拨款收入支出决算情况</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九、国有资本经营预算财政拨款支出决算情况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十一、其他重要事项的情况说明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 xml:space="preserve">（一）参与推进农村集体产权制度改革和农村集体经济组织发展工作； </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（二）参与推进新型农业经营主体建设与发展工作，指导开展农村集体经济组织资产规范化管理工作。负责统计和分析农村经营管理情况工作；</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（三）参与推进农村宅基地改革和管理工作；</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（四）协助开展农村土地承包、减轻农民负担、农业产业化经营、农村社会化服务体系建设等工作；</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（五）完成主管部门交办的其他任务。</w:t>
      </w:r>
    </w:p>
    <w:p>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adjustRightInd w:val="0"/>
        <w:snapToGrid w:val="0"/>
        <w:spacing w:line="560" w:lineRule="exact"/>
        <w:ind w:right="-218" w:rightChars="-104" w:firstLine="640" w:firstLineChars="200"/>
        <w:rPr>
          <w:rFonts w:ascii="仿宋_GB2312" w:hAnsi="华文仿宋" w:eastAsia="仿宋_GB2312"/>
          <w:b/>
          <w:bCs/>
          <w:color w:val="auto"/>
          <w:sz w:val="32"/>
          <w:szCs w:val="32"/>
          <w:highlight w:val="none"/>
        </w:rPr>
      </w:pPr>
      <w:r>
        <w:rPr>
          <w:rFonts w:hint="eastAsia" w:ascii="仿宋_GB2312" w:hAnsi="华文仿宋" w:eastAsia="仿宋_GB2312"/>
          <w:color w:val="auto"/>
          <w:sz w:val="32"/>
          <w:szCs w:val="32"/>
          <w:highlight w:val="none"/>
        </w:rPr>
        <w:t>柳州市农村合作经济经营管理站为市农业农村局管理的正科级公益一类事业单位,单位编制数12人,2020年年末实有人数6人</w:t>
      </w:r>
      <w:r>
        <w:rPr>
          <w:rFonts w:hint="eastAsia" w:eastAsia="仿宋_GB2312"/>
          <w:color w:val="auto"/>
          <w:sz w:val="32"/>
          <w:szCs w:val="32"/>
          <w:highlight w:val="none"/>
        </w:rPr>
        <w:t>。</w:t>
      </w:r>
    </w:p>
    <w:p>
      <w:pPr>
        <w:rPr>
          <w:rFonts w:ascii="仿宋_GB2312" w:eastAsia="仿宋_GB2312"/>
          <w:b/>
          <w:color w:val="auto"/>
          <w:sz w:val="32"/>
          <w:szCs w:val="32"/>
          <w:highlight w:val="none"/>
        </w:rPr>
      </w:pPr>
    </w:p>
    <w:p>
      <w:pPr>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2020年决算报表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表九：国有资本经营预算财政拨款支出决算表</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上述报表详见附件。</w:t>
      </w:r>
    </w:p>
    <w:p>
      <w:pPr>
        <w:spacing w:line="580" w:lineRule="exact"/>
        <w:ind w:left="2026" w:leftChars="200" w:hanging="1606" w:hangingChars="500"/>
        <w:rPr>
          <w:rFonts w:ascii="仿宋_GB2312" w:eastAsia="仿宋_GB2312"/>
          <w:b/>
          <w:color w:val="auto"/>
          <w:sz w:val="32"/>
          <w:szCs w:val="32"/>
          <w:highlight w:val="none"/>
        </w:rPr>
      </w:pPr>
    </w:p>
    <w:p>
      <w:pPr>
        <w:spacing w:line="580" w:lineRule="exact"/>
        <w:ind w:left="2026" w:leftChars="200" w:hanging="1606" w:hangingChars="500"/>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华文仿宋" w:eastAsia="仿宋_GB2312"/>
          <w:b/>
          <w:color w:val="auto"/>
          <w:sz w:val="32"/>
          <w:szCs w:val="32"/>
          <w:highlight w:val="none"/>
        </w:rPr>
        <w:t>柳州市农村合作经济经营管理站</w:t>
      </w:r>
      <w:r>
        <w:rPr>
          <w:rFonts w:hint="eastAsia" w:ascii="仿宋_GB2312" w:eastAsia="仿宋_GB2312"/>
          <w:b/>
          <w:color w:val="auto"/>
          <w:sz w:val="32"/>
          <w:szCs w:val="32"/>
          <w:highlight w:val="none"/>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收入总计323.59万元，其中本年收入154.65万元，年初结转和结余168.94万元，支出总计323.59万元，其中：本年支出158.7万元，年末结转和结余164.89万元，与2019年相比，收、支均减少11.72万元；收、支均下降3.5%。下降原因：一是压减单位支出；二是当年5月有1名干部退休，人员减少1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本年收入总计154.65万元，其中：一般公共预算财政拨款收入154.02万元；占比99.59% ；其他收入0.63万元，占比0.41%。</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本年支出合计158.7 万元，其中：基本支出143.27万元，占90.28%；项目支出15.43万元，占9.72%。</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本单位2020年度财政拨款收、支总决算均为304.38万元。与2019年相比，财政拨款收、支总计均增加15.22万元，收、支均增长5.26%。</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本单位2020年度财政拨款支出146.12万元，占本年支出合计的92.07%。与2019 年相比，财政拨款支出增加8.18 万元，增加5.93%。</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 年度财政拨款支出146.12万元，主要用于以下方面：社会保障和就业（类）支出22.86万元，占15.65%；卫生健康类支出11.94万元，占8.17%；农林水（类）支出102.22万元，占 69.95%； 住房保障（类）支出9.1万元，占6.23%。</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 年度财政拨款支出年初预算为139.56万元，支出决算为146.12万元，完成年初预算的104.7%。决算数大于预算数的主要原因：年中追加安排绩效考评奖励、公积金等财政拨款支出预算。</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1. 社会保障和就业（类）行政事业单位养老支出（款）行政单位离退休（项）。年初预算为4.93万元，支出决算为5.43万元，完成年初预算的110.14%。决算数大于预算数的主要原因是当年新增退休人员1人形成的支出。</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社会保障和就业（类）行政事业单位养老支出（款）机关事业单位基本养老保险缴费支出（项）。年初预算为11.32万元，支出决算为11.76万元，完成年初预算的103.89%。决算数大于预算数的主要原因是社保基数增加形成的支出。</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3、社会保障和就业（类）行政事业单位养老支出（款）机关事业单位职业年金缴费支出（项）。年初预算为5.66万元，支出决算为5.66万元，完成年初预算的100%。决算数与预算数持平。</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4. 卫生健康支出（类）行政事业单位医疗（款）行政单位医疗（项）。年初预算为5.31万元，支出决算为5.5万元，完成年初预算的103.58%。决算数大于预算数的主要原因是社保基数增加形成的支出增加。</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5、卫生健康支出（类）行政事业单位医疗（款）公务员医疗补助（项）。年初预算为6.1万元，支出决算为6.45万元，完成年初预算的105.74%。决算数大于预算数的主要原因是社保基数增加形成的支出增加。</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6. 农林水支出（类）农业农村（款）行政运行（项）。年初预算为87万元，支出决算为99.37元，完成年初预算的114.22%。决算数大于预算数的主要原因是年中追加绩效考评奖励及人员增资经费。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7、农林水支出（类）农业农村（款）其他农业农村支出（项）。年初预算为10.75万元，支出决算为2.85元，完成年初预算的26.51%。决算数小于预算数的主要原因是项目实施进度慢，资金跨年度使用。</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8、住房保障支出（类）住房改革支出（款）住房公积金（项）。年初预算为8.49万元，支出决算为8.8万元，完成年初预算的103.65%。决算数大于预算数的主要原因是年中追加增人增资公积金 。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9、住房保障支出（类）住房改革支出（款）购房补贴（项）。年初预算为0万元，支出决算为0.31万元。决算数大于预算数的主要原因是年中追加购房补贴。 </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2020年度财政拨款基本支出143.27元，其中：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人员经费120.9万元，主要包括：基本工资、津贴补贴、 奖金、伙食补助费、绩效工资、机关事业单位基本养老保险缴费、职业年金缴费、其他社会保障缴费、其他工资福利支出、 离休费、退休费、抚恤金、生活补助、医疗费、奖励金、住房公积金等；</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公用经费22.37万元，主要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料费、劳务费、委托业务费、工会经费、福利费、公务用车运行维护费、其他交通费用、税金及附加费用、其他商品和服务支出、办公设备购置等。</w:t>
      </w:r>
    </w:p>
    <w:p>
      <w:p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七、2020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 年度“三公”经费财政拨款支出预算为0.28万元，支出决算为0.23万元，完成预算的82.14%，其中：因公出国（境）费支出决算为0万元，完成预算的0%；公务用车购置及运行费支出决算为0万元，完成预算的0%；公务接待费支出决算为0.23万元，完成预算的82.14%。2020年度“三公”经费支出决算数小于预算数的主要原因是认真贯彻落实中央八项规定精神和厉行节约要求，进一步从严控制“三公”经费开支，全年实际支出比预算节约0.05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三公”经费财政拨款支出决算数比2019年增加0.01万元，增加4.55%，其中：因公出国（境）费支出决算减少0万元，下降0%；公务用车购置及运行费支出决算减少0万元，下降0%；公务接待费支出决算增加0.01万元，增加4.55%。</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因公出国（境）费支出减少的主要原因是当年无因公出国（境）费支出；公务用车购置及运行费支出减少的主要原因是单位无公务用车车辆，无公务用车购置及运行费支出；公务接待费支出增加的主要原因是接待人数增加。</w:t>
      </w:r>
    </w:p>
    <w:p>
      <w:pPr>
        <w:autoSpaceDE w:val="0"/>
        <w:autoSpaceDN w:val="0"/>
        <w:adjustRightInd w:val="0"/>
        <w:spacing w:line="580" w:lineRule="exact"/>
        <w:ind w:firstLine="480" w:firstLineChars="15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2020年度“三公”经费财政拨款支出决算中，因公出国（境）费支出决算0万元，占0%；公务用车购置及运行费支出决算0万元，占0%；公务接待费支出决算0.23万元，占100 %。具体情况如下：  </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1.因公出国（境）费支出0万元。全年安排单位因公出国 （境）团组0个，累计0人次。</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2.公务用车购置及运行费支出0万元。其中： 公务用车购置支出为0万元，公务用车运行支出0万元。主要原因为单位已进行公车改革，无保留公务车辆。</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3.公务接待费支出0.23万元。其中：</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外宾接待支出0万元。2020 年共接待国（境）外来访团组0个、来访外宾0人次。</w:t>
      </w:r>
    </w:p>
    <w:p>
      <w:pPr>
        <w:autoSpaceDE w:val="0"/>
        <w:autoSpaceDN w:val="0"/>
        <w:adjustRightInd w:val="0"/>
        <w:spacing w:line="580" w:lineRule="exact"/>
        <w:ind w:firstLine="480" w:firstLineChars="15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国内公务接待支出0.23万元。主要用于上下级业务往来交流接待支出。2020 年共接待国内来访团组3个、来宾22人次。</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八、2020 年度政府性基金预算财政拨款收入支出决算情况说明</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本单位2020年度无政府</w:t>
      </w:r>
      <w:bookmarkStart w:id="0" w:name="_GoBack"/>
      <w:bookmarkEnd w:id="0"/>
      <w:r>
        <w:rPr>
          <w:rFonts w:hint="eastAsia" w:ascii="仿宋_GB2312" w:eastAsia="仿宋_GB2312" w:cs="仿宋_GB2312"/>
          <w:bCs/>
          <w:color w:val="auto"/>
          <w:kern w:val="0"/>
          <w:sz w:val="32"/>
          <w:szCs w:val="32"/>
          <w:highlight w:val="none"/>
        </w:rPr>
        <w:t>基金预算财政拨款收、支情况。</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九、2020 年度国有资本经营预算财政拨款支出决算情况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本单位2020年度无国有资本经营预算财政拨款收、支情况。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
          <w:color w:val="auto"/>
          <w:kern w:val="0"/>
          <w:sz w:val="32"/>
          <w:szCs w:val="32"/>
          <w:highlight w:val="none"/>
        </w:rPr>
        <w:t>十、2020 年度预算绩效情况说明</w:t>
      </w:r>
    </w:p>
    <w:p>
      <w:pPr>
        <w:autoSpaceDE w:val="0"/>
        <w:autoSpaceDN w:val="0"/>
        <w:adjustRightInd w:val="0"/>
        <w:spacing w:line="580" w:lineRule="exact"/>
        <w:ind w:firstLine="480" w:firstLineChars="15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（一）绩效管理工作开展情况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根据财政预算管理要求，我单位组织对2020年度一般公共预算整体支出开展绩效自评。其中，设定一级考核指标3个，设定二级考核指标6个，共涉及预算资金139.56万元，预算资金执行率达100%。</w:t>
      </w:r>
    </w:p>
    <w:p>
      <w:pPr>
        <w:autoSpaceDE w:val="0"/>
        <w:autoSpaceDN w:val="0"/>
        <w:adjustRightInd w:val="0"/>
        <w:spacing w:line="580" w:lineRule="exact"/>
        <w:ind w:firstLine="320" w:firstLineChars="1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（二）单位整体绩效自评结果</w:t>
      </w:r>
    </w:p>
    <w:p>
      <w:pPr>
        <w:autoSpaceDE w:val="0"/>
        <w:autoSpaceDN w:val="0"/>
        <w:adjustRightInd w:val="0"/>
        <w:spacing w:line="580" w:lineRule="exact"/>
        <w:ind w:firstLine="480" w:firstLineChars="15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我单位根据年初设定的绩效目标，</w:t>
      </w:r>
      <w:r>
        <w:rPr>
          <w:rFonts w:hint="eastAsia" w:ascii="仿宋_GB2312" w:eastAsia="仿宋_GB2312" w:cs="仿宋_GB2312"/>
          <w:bCs/>
          <w:color w:val="auto"/>
          <w:kern w:val="0"/>
          <w:sz w:val="32"/>
          <w:szCs w:val="32"/>
          <w:highlight w:val="none"/>
        </w:rPr>
        <w:t>整体支出</w:t>
      </w:r>
      <w:r>
        <w:rPr>
          <w:rFonts w:hint="eastAsia" w:ascii="仿宋_GB2312" w:eastAsia="仿宋_GB2312" w:cs="仿宋_GB2312"/>
          <w:color w:val="auto"/>
          <w:kern w:val="0"/>
          <w:sz w:val="32"/>
          <w:szCs w:val="32"/>
          <w:highlight w:val="none"/>
        </w:rPr>
        <w:t>自评得分为97分，自评结果为优。全部完成设定的年度指标值。</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十一、其他重要事项的情况</w:t>
      </w:r>
    </w:p>
    <w:p>
      <w:pPr>
        <w:autoSpaceDE w:val="0"/>
        <w:autoSpaceDN w:val="0"/>
        <w:adjustRightInd w:val="0"/>
        <w:spacing w:line="580" w:lineRule="exact"/>
        <w:ind w:firstLine="480" w:firstLineChars="15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（一）机关运行经费支出情况。2020年度部门机关运行经费支出22.37万元，比2019年增加3.04万元，增长15.73%，增加原因绩效奖增加。</w:t>
      </w:r>
    </w:p>
    <w:p>
      <w:pPr>
        <w:autoSpaceDE w:val="0"/>
        <w:autoSpaceDN w:val="0"/>
        <w:adjustRightInd w:val="0"/>
        <w:spacing w:line="580" w:lineRule="exact"/>
        <w:ind w:firstLine="480" w:firstLineChars="15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（二）政府采购支出情况。2020年度部门政府采购支出总额5.02万元，其中：货物支出0.75万元、服务支出4.27万元。</w:t>
      </w:r>
    </w:p>
    <w:p>
      <w:pPr>
        <w:autoSpaceDE w:val="0"/>
        <w:autoSpaceDN w:val="0"/>
        <w:adjustRightInd w:val="0"/>
        <w:spacing w:line="580" w:lineRule="exact"/>
        <w:ind w:firstLine="480" w:firstLineChars="15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 xml:space="preserve">（三）国有资产占用情况。截至年末部门共有车辆0辆，单价50万元 以上通用设备0台（套），单价100 万元以上专用设备0台（套）。 </w:t>
      </w: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pPr>
        <w:rPr>
          <w:color w:val="auto"/>
          <w:highlight w:val="none"/>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TeamViewer15"/>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- 8 -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kYzE2NmQzZmQzM2RmNWU4MzcxODJhYzgwMTMwYzkifQ=="/>
  </w:docVars>
  <w:rsids>
    <w:rsidRoot w:val="4C256E3D"/>
    <w:rsid w:val="000429CB"/>
    <w:rsid w:val="00044671"/>
    <w:rsid w:val="00066CA3"/>
    <w:rsid w:val="00092D01"/>
    <w:rsid w:val="00182B21"/>
    <w:rsid w:val="001A5CD9"/>
    <w:rsid w:val="001C735A"/>
    <w:rsid w:val="001D5616"/>
    <w:rsid w:val="001E716B"/>
    <w:rsid w:val="001F14B4"/>
    <w:rsid w:val="00240F98"/>
    <w:rsid w:val="002D7F3F"/>
    <w:rsid w:val="00320C7E"/>
    <w:rsid w:val="003337D7"/>
    <w:rsid w:val="00337993"/>
    <w:rsid w:val="00386982"/>
    <w:rsid w:val="003E3CB3"/>
    <w:rsid w:val="003E75A3"/>
    <w:rsid w:val="00421B9E"/>
    <w:rsid w:val="00424187"/>
    <w:rsid w:val="0045016C"/>
    <w:rsid w:val="004A5160"/>
    <w:rsid w:val="004B5F5F"/>
    <w:rsid w:val="004D7BEA"/>
    <w:rsid w:val="005145EB"/>
    <w:rsid w:val="005379E0"/>
    <w:rsid w:val="00570C11"/>
    <w:rsid w:val="00592A38"/>
    <w:rsid w:val="005954D1"/>
    <w:rsid w:val="005D646B"/>
    <w:rsid w:val="005D7D9F"/>
    <w:rsid w:val="005F7DA6"/>
    <w:rsid w:val="00622963"/>
    <w:rsid w:val="00656542"/>
    <w:rsid w:val="00696514"/>
    <w:rsid w:val="006C1367"/>
    <w:rsid w:val="006E5897"/>
    <w:rsid w:val="007118BD"/>
    <w:rsid w:val="00715385"/>
    <w:rsid w:val="007353AB"/>
    <w:rsid w:val="0075417A"/>
    <w:rsid w:val="00773473"/>
    <w:rsid w:val="00777FDA"/>
    <w:rsid w:val="00790761"/>
    <w:rsid w:val="00791F10"/>
    <w:rsid w:val="007A499E"/>
    <w:rsid w:val="00807558"/>
    <w:rsid w:val="00834A59"/>
    <w:rsid w:val="008869C3"/>
    <w:rsid w:val="00891D31"/>
    <w:rsid w:val="008A50AE"/>
    <w:rsid w:val="008D1583"/>
    <w:rsid w:val="008E5BAA"/>
    <w:rsid w:val="008F40F3"/>
    <w:rsid w:val="008F65DA"/>
    <w:rsid w:val="009A3B0C"/>
    <w:rsid w:val="009C68A6"/>
    <w:rsid w:val="009D61A2"/>
    <w:rsid w:val="009E07FF"/>
    <w:rsid w:val="00A41DD5"/>
    <w:rsid w:val="00A50DD6"/>
    <w:rsid w:val="00A67F04"/>
    <w:rsid w:val="00A81504"/>
    <w:rsid w:val="00AA3E58"/>
    <w:rsid w:val="00B2539F"/>
    <w:rsid w:val="00B27EBF"/>
    <w:rsid w:val="00B41799"/>
    <w:rsid w:val="00B456E1"/>
    <w:rsid w:val="00C51EBF"/>
    <w:rsid w:val="00C60AE5"/>
    <w:rsid w:val="00C67F19"/>
    <w:rsid w:val="00C847D1"/>
    <w:rsid w:val="00C8627E"/>
    <w:rsid w:val="00CD3EE0"/>
    <w:rsid w:val="00CF3C37"/>
    <w:rsid w:val="00D75D21"/>
    <w:rsid w:val="00D8438A"/>
    <w:rsid w:val="00DA1ED3"/>
    <w:rsid w:val="00DF4A1B"/>
    <w:rsid w:val="00E250C0"/>
    <w:rsid w:val="00E35C18"/>
    <w:rsid w:val="00E65403"/>
    <w:rsid w:val="00E7299E"/>
    <w:rsid w:val="00E800E2"/>
    <w:rsid w:val="00E84E29"/>
    <w:rsid w:val="00EB109F"/>
    <w:rsid w:val="00ED6CBF"/>
    <w:rsid w:val="00EE36A0"/>
    <w:rsid w:val="00EF0827"/>
    <w:rsid w:val="00F16D75"/>
    <w:rsid w:val="00F32B9C"/>
    <w:rsid w:val="00F44CBF"/>
    <w:rsid w:val="00F66C5B"/>
    <w:rsid w:val="00F93305"/>
    <w:rsid w:val="00FA1744"/>
    <w:rsid w:val="00FE7A2D"/>
    <w:rsid w:val="0C3D784A"/>
    <w:rsid w:val="124204B5"/>
    <w:rsid w:val="26460DBA"/>
    <w:rsid w:val="2B6F74EB"/>
    <w:rsid w:val="2C4219FE"/>
    <w:rsid w:val="34020F86"/>
    <w:rsid w:val="367F0B77"/>
    <w:rsid w:val="38AE2EAB"/>
    <w:rsid w:val="39A63F06"/>
    <w:rsid w:val="3B0E22E4"/>
    <w:rsid w:val="3CDD6288"/>
    <w:rsid w:val="3ED1439F"/>
    <w:rsid w:val="43F6675D"/>
    <w:rsid w:val="4C256E3D"/>
    <w:rsid w:val="4CB52F0F"/>
    <w:rsid w:val="532F1F9A"/>
    <w:rsid w:val="5E995A3E"/>
    <w:rsid w:val="61186978"/>
    <w:rsid w:val="62163194"/>
    <w:rsid w:val="624D024D"/>
    <w:rsid w:val="650E086A"/>
    <w:rsid w:val="6BAA0708"/>
    <w:rsid w:val="6ED62E02"/>
    <w:rsid w:val="7EF8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4634</Words>
  <Characters>5140</Characters>
  <Lines>38</Lines>
  <Paragraphs>10</Paragraphs>
  <TotalTime>83</TotalTime>
  <ScaleCrop>false</ScaleCrop>
  <LinksUpToDate>false</LinksUpToDate>
  <CharactersWithSpaces>5238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2021-07-19T02:02:00Z</dcterms:created>
  <dc:creator>陈冬雪</dc:creator>
  <cp:lastModifiedBy>Administrator</cp:lastModifiedBy>
  <cp:lastPrinted>2021-07-30T08:42:00Z</cp:lastPrinted>
  <dcterms:modified xsi:type="dcterms:W3CDTF">2022-09-06T09:40:13Z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8E73CB66E869413DA096F833D7D8143F</vt:lpwstr>
  </property>
</Properties>
</file>