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渔业技术推广站</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柳州市渔业技术推广站</w:t>
      </w:r>
      <w:r>
        <w:rPr>
          <w:rFonts w:hint="eastAsia" w:ascii="仿宋_GB2312" w:hAnsi="黑体" w:eastAsia="仿宋_GB2312"/>
          <w:b/>
          <w:bCs/>
          <w:color w:val="000000"/>
          <w:sz w:val="32"/>
          <w:szCs w:val="32"/>
          <w:u w:val="none"/>
        </w:rPr>
        <w:t xml:space="preserve"> </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柳州市渔业技术推广站</w:t>
      </w:r>
      <w:r>
        <w:rPr>
          <w:rFonts w:hint="eastAsia" w:ascii="仿宋_GB2312" w:hAnsi="黑体" w:eastAsia="仿宋_GB2312"/>
          <w:b/>
          <w:bCs/>
          <w:color w:val="000000"/>
          <w:sz w:val="32"/>
          <w:szCs w:val="32"/>
          <w:u w:val="none"/>
        </w:rPr>
        <w:t xml:space="preserve">  </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0" w:firstLineChars="200"/>
        <w:rPr>
          <w:rFonts w:hint="eastAsia" w:eastAsia="仿宋_GB2312"/>
          <w:lang w:val="en-US" w:eastAsia="zh-CN"/>
        </w:rPr>
      </w:pPr>
      <w:r>
        <w:rPr>
          <w:rFonts w:hint="eastAsia" w:ascii="仿宋_GB2312" w:eastAsia="仿宋_GB2312"/>
          <w:sz w:val="32"/>
          <w:szCs w:val="32"/>
          <w:lang w:val="en-US"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柳州市渔业技术推广站</w:t>
      </w:r>
      <w:r>
        <w:rPr>
          <w:rFonts w:hint="eastAsia" w:ascii="仿宋_GB2312" w:hAnsi="黑体" w:eastAsia="仿宋_GB2312"/>
          <w:b/>
          <w:bCs/>
          <w:color w:val="000000"/>
          <w:sz w:val="32"/>
          <w:szCs w:val="32"/>
          <w:u w:val="none"/>
        </w:rPr>
        <w:t xml:space="preserve"> </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柳州市渔业技术推广站</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(1)负责全市关键渔业技术、水产养殖新品种、新模式及有关渔业技术引进、试验、示范和推广，提出渔业技术</w:t>
      </w:r>
      <w:r>
        <w:rPr>
          <w:rFonts w:hint="eastAsia" w:ascii="仿宋_GB2312" w:eastAsia="仿宋_GB2312"/>
          <w:sz w:val="32"/>
          <w:szCs w:val="32"/>
          <w:lang w:val="en-US" w:eastAsia="zh-CN"/>
        </w:rPr>
        <w:t xml:space="preserve"> </w:t>
      </w:r>
      <w:r>
        <w:rPr>
          <w:rFonts w:hint="eastAsia" w:ascii="仿宋_GB2312" w:eastAsia="仿宋_GB2312"/>
          <w:sz w:val="32"/>
          <w:szCs w:val="32"/>
        </w:rPr>
        <w:t>推广方案，组织实施渔业技术科技攻关。(2)负责全市水产养殖动物病害的监测、诊断及防治，疫情的调查、分析、收集、汇总、预警预报并依法上报水产养殖动物病害疫情。(3)负责渔业生态环境、养殖环境和渔业投入品使用监测与规范使用指导，开展渔业水质检测、投入品检测、渔业产品检测。(4)负责全市水生动物重大疫病防控和水生动物防疫检疫技术指导，开展水生动物重大疫情的采样、监测、防控和评价工作。(5)负责全市渔业资源和生态安全技术指导工作，承担江河渔业资源调查、鱼类资源研究及保护、鱼类标本制作及保存、渔业生态环境保护及安全评估、渔业灾害预报与防控。（6）负责全市渔业公共信息、渔业技术宣传教育与培训，提供现代渔业信息、养殖科技知识及咨询等服务，指导基层水产技术服务体系建设、渔业信息网络建设，对各县区渔业技术推广及培训工作进行指导和考核，负责解决渔业技术难题。</w:t>
      </w:r>
    </w:p>
    <w:p>
      <w:pPr>
        <w:ind w:firstLine="646"/>
        <w:rPr>
          <w:rFonts w:ascii="仿宋_GB2312" w:eastAsia="仿宋_GB2312"/>
          <w:sz w:val="32"/>
          <w:szCs w:val="32"/>
        </w:rPr>
      </w:pPr>
      <w:r>
        <w:rPr>
          <w:rFonts w:hint="eastAsia" w:ascii="仿宋_GB2312" w:eastAsia="仿宋_GB2312"/>
          <w:sz w:val="32"/>
          <w:szCs w:val="32"/>
        </w:rPr>
        <w:t>二、决算单位构成</w:t>
      </w:r>
    </w:p>
    <w:p>
      <w:pPr>
        <w:ind w:firstLine="640" w:firstLineChars="200"/>
      </w:pPr>
      <w:r>
        <w:rPr>
          <w:rFonts w:hint="eastAsia" w:ascii="仿宋_GB2312" w:eastAsia="仿宋_GB2312"/>
          <w:sz w:val="32"/>
          <w:szCs w:val="32"/>
          <w:lang w:eastAsia="zh-CN"/>
        </w:rPr>
        <w:t>柳州市渔业技术推广站内设4个职能室（办公室、业务室、实验室、财务室），编制8名，其中：管理人员2名（站长1名，副站长1名），专业技术人员8名。</w:t>
      </w:r>
    </w:p>
    <w:p>
      <w:pPr>
        <w:jc w:val="both"/>
      </w:pPr>
    </w:p>
    <w:p>
      <w:pPr>
        <w:jc w:val="center"/>
      </w:pPr>
    </w:p>
    <w:p>
      <w:pPr>
        <w:ind w:firstLine="0" w:firstLineChars="0"/>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柳州市渔业技推广站</w:t>
      </w:r>
      <w:r>
        <w:rPr>
          <w:rFonts w:hint="eastAsia" w:ascii="仿宋_GB2312" w:eastAsia="仿宋_GB2312"/>
          <w:b/>
          <w:sz w:val="32"/>
          <w:szCs w:val="32"/>
          <w:u w:val="none"/>
        </w:rPr>
        <w:t xml:space="preserve"> </w:t>
      </w:r>
      <w:r>
        <w:rPr>
          <w:rFonts w:hint="eastAsia" w:ascii="仿宋_GB2312" w:eastAsia="仿宋_GB2312"/>
          <w:b/>
          <w:sz w:val="32"/>
          <w:szCs w:val="32"/>
        </w:rPr>
        <w:t>2020年决算报表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表一：收入支出决算总表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表二：收入决算表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表三：支出决算表</w:t>
      </w:r>
      <w:bookmarkStart w:id="0" w:name="_GoBack"/>
      <w:bookmarkEnd w:id="0"/>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表四：财政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款收入支出决算总表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表五：一般公共预算财政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款支出决算表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表六：一般公共预算财政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款基本支出决算表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表七：一般公共预算财政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款“三公”经费支出决算表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表八：政府性基金预算财政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款收入支出决算表</w:t>
      </w:r>
    </w:p>
    <w:p>
      <w:pPr>
        <w:ind w:firstLine="0"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表九：国有资本经营预算财政</w:t>
      </w:r>
      <w:r>
        <w:rPr>
          <w:rFonts w:hint="eastAsia" w:ascii="仿宋_GB2312" w:eastAsia="仿宋_GB2312"/>
          <w:b w:val="0"/>
          <w:bCs/>
          <w:sz w:val="32"/>
          <w:szCs w:val="32"/>
          <w:lang w:val="en-US" w:eastAsia="zh-CN"/>
        </w:rPr>
        <w:t>拨</w:t>
      </w:r>
      <w:r>
        <w:rPr>
          <w:rFonts w:hint="eastAsia" w:ascii="仿宋_GB2312" w:eastAsia="仿宋_GB2312"/>
          <w:b w:val="0"/>
          <w:bCs/>
          <w:sz w:val="32"/>
          <w:szCs w:val="32"/>
          <w:lang w:eastAsia="zh-CN"/>
        </w:rPr>
        <w:t>款支出决算表</w:t>
      </w:r>
    </w:p>
    <w:p>
      <w:pPr>
        <w:ind w:firstLine="0" w:firstLineChars="0"/>
        <w:rPr>
          <w:rFonts w:hint="default" w:ascii="仿宋_GB2312" w:eastAsia="仿宋_GB2312"/>
          <w:b w:val="0"/>
          <w:bCs/>
          <w:sz w:val="32"/>
          <w:szCs w:val="32"/>
          <w:lang w:val="en-US" w:eastAsia="zh-CN"/>
        </w:rPr>
      </w:pPr>
      <w:r>
        <w:rPr>
          <w:rFonts w:hint="eastAsia" w:ascii="仿宋_GB2312" w:eastAsia="仿宋_GB2312"/>
          <w:b w:val="0"/>
          <w:bCs/>
          <w:sz w:val="32"/>
          <w:szCs w:val="32"/>
          <w:lang w:eastAsia="zh-CN"/>
        </w:rPr>
        <w:t>上述表详见附件（柳州市渔业技术推广站</w:t>
      </w:r>
      <w:r>
        <w:rPr>
          <w:rFonts w:hint="eastAsia" w:ascii="仿宋_GB2312" w:eastAsia="仿宋_GB2312"/>
          <w:b w:val="0"/>
          <w:bCs/>
          <w:sz w:val="32"/>
          <w:szCs w:val="32"/>
          <w:lang w:val="en-US" w:eastAsia="zh-CN"/>
        </w:rPr>
        <w:t>2020年决算附表）</w:t>
      </w:r>
    </w:p>
    <w:p>
      <w:pPr>
        <w:ind w:firstLine="0" w:firstLineChars="0"/>
        <w:rPr>
          <w:rFonts w:hint="eastAsia" w:ascii="仿宋_GB2312" w:eastAsia="仿宋_GB2312"/>
          <w:b/>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rPr>
          <w:rFonts w:hint="eastAsia" w:ascii="仿宋_GB2312" w:eastAsia="仿宋_GB2312"/>
          <w:b w:val="0"/>
          <w:bCs/>
          <w:sz w:val="32"/>
          <w:szCs w:val="32"/>
          <w:lang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柳州市渔业技术推广站</w:t>
      </w:r>
      <w:r>
        <w:rPr>
          <w:rFonts w:hint="eastAsia" w:ascii="仿宋_GB2312" w:hAnsi="黑体" w:eastAsia="仿宋_GB2312"/>
          <w:b/>
          <w:bCs/>
          <w:color w:val="000000"/>
          <w:sz w:val="32"/>
          <w:szCs w:val="32"/>
          <w:u w:val="none"/>
        </w:rPr>
        <w:t xml:space="preserve"> </w:t>
      </w:r>
      <w:r>
        <w:rPr>
          <w:rFonts w:hint="eastAsia" w:ascii="仿宋_GB2312" w:eastAsia="仿宋_GB2312"/>
          <w:b/>
          <w:sz w:val="32"/>
          <w:szCs w:val="32"/>
        </w:rPr>
        <w:t>2020年度决算情况说明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390.55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390.55</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79.52万元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25.56%。</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eastAsia="仿宋_GB2312" w:cs="仿宋_GB2312"/>
          <w:b/>
          <w:kern w:val="0"/>
          <w:sz w:val="32"/>
          <w:szCs w:val="32"/>
          <w:lang w:val="en-US" w:eastAsia="zh-CN"/>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345.35</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296.17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85.76%</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48.84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14.14%</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0.34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347.25</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208.19</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60</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139.06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40</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318.92万元</w:t>
      </w:r>
      <w:r>
        <w:rPr>
          <w:rFonts w:hint="eastAsia" w:ascii="仿宋_GB2312" w:eastAsia="仿宋_GB2312" w:cs="仿宋_GB2312"/>
          <w:bCs/>
          <w:kern w:val="0"/>
          <w:sz w:val="32"/>
          <w:szCs w:val="32"/>
        </w:rPr>
        <w:t>。与 2019 年相比，财政拨款收、支总计各增加</w:t>
      </w:r>
      <w:r>
        <w:rPr>
          <w:rFonts w:hint="eastAsia" w:ascii="仿宋_GB2312" w:eastAsia="仿宋_GB2312" w:cs="仿宋_GB2312"/>
          <w:bCs/>
          <w:kern w:val="0"/>
          <w:sz w:val="32"/>
          <w:szCs w:val="32"/>
          <w:lang w:val="en-US" w:eastAsia="zh-CN"/>
        </w:rPr>
        <w:t>63.53</w:t>
      </w:r>
      <w:r>
        <w:rPr>
          <w:rFonts w:hint="eastAsia" w:ascii="仿宋_GB2312" w:eastAsia="仿宋_GB2312" w:cs="仿宋_GB2312"/>
          <w:bCs/>
          <w:kern w:val="0"/>
          <w:sz w:val="32"/>
          <w:szCs w:val="32"/>
        </w:rPr>
        <w:t>万元。分别增长</w:t>
      </w:r>
      <w:r>
        <w:rPr>
          <w:rFonts w:hint="eastAsia" w:ascii="仿宋_GB2312" w:eastAsia="仿宋_GB2312" w:cs="仿宋_GB2312"/>
          <w:bCs/>
          <w:kern w:val="0"/>
          <w:sz w:val="32"/>
          <w:szCs w:val="32"/>
          <w:lang w:val="en-US" w:eastAsia="zh-CN"/>
        </w:rPr>
        <w:t>25%</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305</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88</w:t>
      </w:r>
      <w:r>
        <w:rPr>
          <w:rFonts w:hint="eastAsia" w:ascii="仿宋_GB2312" w:eastAsia="仿宋_GB2312" w:cs="仿宋_GB2312"/>
          <w:bCs/>
          <w:kern w:val="0"/>
          <w:sz w:val="32"/>
          <w:szCs w:val="32"/>
        </w:rPr>
        <w:t xml:space="preserve"> %。与2019年相比，财政拨款支出增</w:t>
      </w:r>
      <w:r>
        <w:rPr>
          <w:rFonts w:hint="eastAsia" w:ascii="仿宋_GB2312" w:eastAsia="仿宋_GB2312" w:cs="仿宋_GB2312"/>
          <w:bCs/>
          <w:kern w:val="0"/>
          <w:sz w:val="32"/>
          <w:szCs w:val="32"/>
          <w:lang w:val="en-US" w:eastAsia="zh-CN"/>
        </w:rPr>
        <w:t>75.09</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305</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28.27</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9.3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8.11万元，占 2.6%；</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253.13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83</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15.48</w:t>
      </w:r>
      <w:r>
        <w:rPr>
          <w:rFonts w:hint="eastAsia" w:ascii="仿宋_GB2312" w:eastAsia="仿宋_GB2312" w:cs="仿宋_GB2312"/>
          <w:bCs/>
          <w:kern w:val="0"/>
          <w:sz w:val="32"/>
          <w:szCs w:val="32"/>
        </w:rPr>
        <w:t xml:space="preserve">元，占 </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w:t>
      </w:r>
      <w:r>
        <w:rPr>
          <w:rFonts w:hint="eastAsia" w:ascii="仿宋_GB2312" w:eastAsia="仿宋_GB2312" w:cs="仿宋_GB2312"/>
          <w:bCs/>
          <w:kern w:val="0"/>
          <w:sz w:val="32"/>
          <w:szCs w:val="32"/>
          <w:lang w:val="en-US" w:eastAsia="zh-CN"/>
        </w:rPr>
        <w:t>258.58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118</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：人员经变动、其他农业农村支出《柳州螺蛳农产品地理标志》项目</w:t>
      </w:r>
      <w:r>
        <w:rPr>
          <w:rFonts w:hint="eastAsia" w:ascii="仿宋_GB2312" w:eastAsia="仿宋_GB2312" w:cs="仿宋_GB2312"/>
          <w:bCs/>
          <w:kern w:val="0"/>
          <w:sz w:val="32"/>
          <w:szCs w:val="32"/>
        </w:rPr>
        <w:t>；二是部分支出按规定，通过使用以前年度财政拨款结转资金解决。其中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社</w:t>
      </w:r>
      <w:r>
        <w:rPr>
          <w:rFonts w:hint="eastAsia" w:ascii="仿宋_GB2312" w:eastAsia="仿宋_GB2312" w:cs="仿宋_GB2312"/>
          <w:bCs/>
          <w:kern w:val="0"/>
          <w:sz w:val="32"/>
          <w:szCs w:val="32"/>
          <w:lang w:val="en-US" w:eastAsia="zh-CN"/>
        </w:rPr>
        <w:t>会保障和就业</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w:t>
      </w:r>
      <w:r>
        <w:rPr>
          <w:rFonts w:hint="eastAsia" w:ascii="仿宋_GB2312" w:eastAsia="仿宋_GB2312" w:cs="仿宋_GB2312"/>
          <w:bCs/>
          <w:kern w:val="0"/>
          <w:sz w:val="32"/>
          <w:szCs w:val="32"/>
          <w:lang w:val="en-US" w:eastAsia="zh-CN"/>
        </w:rPr>
        <w:t>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w:t>
      </w:r>
      <w:r>
        <w:rPr>
          <w:rFonts w:hint="eastAsia" w:ascii="仿宋_GB2312" w:eastAsia="仿宋_GB2312" w:cs="仿宋_GB2312"/>
          <w:bCs/>
          <w:kern w:val="0"/>
          <w:sz w:val="32"/>
          <w:szCs w:val="32"/>
          <w:lang w:val="en-US" w:eastAsia="zh-CN"/>
        </w:rPr>
        <w:t>位离退休</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1.94</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1.94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社会保障和就业</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w:t>
      </w:r>
      <w:r>
        <w:rPr>
          <w:rFonts w:hint="eastAsia" w:ascii="仿宋_GB2312" w:eastAsia="仿宋_GB2312" w:cs="仿宋_GB2312"/>
          <w:bCs/>
          <w:kern w:val="0"/>
          <w:sz w:val="32"/>
          <w:szCs w:val="32"/>
          <w:lang w:val="en-US" w:eastAsia="zh-CN"/>
        </w:rPr>
        <w:t>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机关事业单位基本养老保险缴费（项）年初预算为17.45万元，支出</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17.60万元，完成年初预算的100.8%，决算数</w:t>
      </w:r>
      <w:r>
        <w:rPr>
          <w:rFonts w:hint="eastAsia" w:ascii="仿宋_GB2312" w:eastAsia="仿宋_GB2312" w:cs="仿宋_GB2312"/>
          <w:bCs/>
          <w:kern w:val="0"/>
          <w:sz w:val="32"/>
          <w:szCs w:val="32"/>
        </w:rPr>
        <w:t>大于预算数的主要原因是</w:t>
      </w:r>
      <w:r>
        <w:rPr>
          <w:rFonts w:hint="eastAsia" w:ascii="仿宋_GB2312" w:eastAsia="仿宋_GB2312" w:cs="仿宋_GB2312"/>
          <w:bCs/>
          <w:kern w:val="0"/>
          <w:sz w:val="32"/>
          <w:szCs w:val="32"/>
          <w:lang w:eastAsia="zh-CN"/>
        </w:rPr>
        <w:t>年中增人增资人员经费变动，补</w:t>
      </w:r>
      <w:r>
        <w:rPr>
          <w:rFonts w:hint="eastAsia" w:ascii="仿宋_GB2312" w:eastAsia="仿宋_GB2312" w:cs="仿宋_GB2312"/>
          <w:bCs/>
          <w:kern w:val="0"/>
          <w:sz w:val="32"/>
          <w:szCs w:val="32"/>
          <w:lang w:val="en-US" w:eastAsia="zh-CN"/>
        </w:rPr>
        <w:t>2019年事业单位绩效工资总量差额：机关事业单位养老保险缴费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社</w:t>
      </w:r>
      <w:r>
        <w:rPr>
          <w:rFonts w:hint="eastAsia" w:ascii="仿宋_GB2312" w:eastAsia="仿宋_GB2312" w:cs="仿宋_GB2312"/>
          <w:bCs/>
          <w:kern w:val="0"/>
          <w:sz w:val="32"/>
          <w:szCs w:val="32"/>
          <w:lang w:val="en-US" w:eastAsia="zh-CN"/>
        </w:rPr>
        <w:t>会保障和就业</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w:t>
      </w:r>
      <w:r>
        <w:rPr>
          <w:rFonts w:hint="eastAsia" w:ascii="仿宋_GB2312" w:eastAsia="仿宋_GB2312" w:cs="仿宋_GB2312"/>
          <w:bCs/>
          <w:kern w:val="0"/>
          <w:sz w:val="32"/>
          <w:szCs w:val="32"/>
          <w:lang w:val="en-US" w:eastAsia="zh-CN"/>
        </w:rPr>
        <w:t>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机关事业单位职业年金缴费支出（项）年初预算为8.72万元，支出</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8.72，完成年初预算的100%。</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w:t>
      </w:r>
      <w:r>
        <w:rPr>
          <w:rFonts w:hint="eastAsia" w:ascii="仿宋_GB2312" w:eastAsia="仿宋_GB2312" w:cs="仿宋_GB2312"/>
          <w:bCs/>
          <w:kern w:val="0"/>
          <w:sz w:val="32"/>
          <w:szCs w:val="32"/>
          <w:lang w:val="en-US" w:eastAsia="zh-CN"/>
        </w:rPr>
        <w:t>位医疗</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8.18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8.11</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医疗保险缴费基数跨年变更</w:t>
      </w:r>
      <w:r>
        <w:rPr>
          <w:rFonts w:hint="eastAsia" w:ascii="仿宋_GB2312" w:eastAsia="仿宋_GB2312" w:cs="仿宋_GB2312"/>
          <w:bCs/>
          <w:kern w:val="0"/>
          <w:sz w:val="32"/>
          <w:szCs w:val="32"/>
        </w:rPr>
        <w:t xml:space="preserve"> 。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144.76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171.12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145</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是年中增人增资人员经费变动，</w:t>
      </w:r>
      <w:r>
        <w:rPr>
          <w:rFonts w:hint="eastAsia" w:ascii="仿宋_GB2312" w:eastAsia="仿宋_GB2312" w:cs="仿宋_GB2312"/>
          <w:bCs/>
          <w:kern w:val="0"/>
          <w:sz w:val="32"/>
          <w:szCs w:val="32"/>
          <w:lang w:val="en-US" w:eastAsia="zh-CN"/>
        </w:rPr>
        <w:t>201</w:t>
      </w:r>
      <w:r>
        <w:rPr>
          <w:rFonts w:hint="eastAsia" w:ascii="仿宋_GB2312" w:eastAsia="仿宋_GB2312" w:cs="仿宋_GB2312"/>
          <w:bCs/>
          <w:kern w:val="0"/>
          <w:sz w:val="32"/>
          <w:szCs w:val="32"/>
          <w:lang w:eastAsia="zh-CN"/>
        </w:rPr>
        <w:t>9年结转：2018.2019年事业单位绩效工资总量补差。</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科技转化与推广服务（项）年初预算19万元，支出决算为24.21万元，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127</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是动用上年结转经费。主要用于柳江河渔业增殖保护项目支出。</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病虫害控制（项）年初预算4万元，支出决算为4万元，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其他农业农村支出（项）</w:t>
      </w:r>
      <w:r>
        <w:rPr>
          <w:rFonts w:hint="eastAsia" w:ascii="仿宋_GB2312" w:eastAsia="仿宋_GB2312" w:cs="仿宋_GB2312"/>
          <w:bCs/>
          <w:kern w:val="0"/>
          <w:sz w:val="32"/>
          <w:szCs w:val="32"/>
          <w:lang w:val="en-US" w:eastAsia="zh-CN"/>
        </w:rPr>
        <w:t>年初预算为41.45万元，支出决算为53.81万元，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130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是年中预算追加，主要用于《柳州螺蛳农产品地理标志》项目支出和聘用人员工资。</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住房保障支出（类）住房改革支出（款）住房公积金（项）年初预算为13.08万元，支出决算为15.48万元。完成年初预算的118%。</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是年中增人增资人员经费变动。。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208.19</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191.44</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奖金、伙食补助费、绩效工资、机关事业单位基本养老保险缴费、职业年金缴费、其他社会保障缴费、离休费、退休费、生活补助、医疗费、住房公积金</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16.75</w:t>
      </w:r>
      <w:r>
        <w:rPr>
          <w:rFonts w:hint="eastAsia" w:ascii="仿宋_GB2312" w:eastAsia="仿宋_GB2312" w:cs="仿宋_GB2312"/>
          <w:bCs/>
          <w:kern w:val="0"/>
          <w:sz w:val="32"/>
          <w:szCs w:val="32"/>
        </w:rPr>
        <w:t>元，主要 包括：办公费、印刷费、手续费、水费、电费、邮电费、差旅费、维 修（护）费、培训费、公务接待费、工会经费、公务用车运行维护费、税金及附加费用、其他商品和服务支出</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17.32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16.80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%，其中：公务用车购置及运行费支出决算为</w:t>
      </w:r>
      <w:r>
        <w:rPr>
          <w:rFonts w:hint="eastAsia" w:ascii="仿宋_GB2312" w:eastAsia="仿宋_GB2312" w:cs="仿宋_GB2312"/>
          <w:bCs/>
          <w:kern w:val="0"/>
          <w:sz w:val="32"/>
          <w:szCs w:val="32"/>
          <w:lang w:val="en-US" w:eastAsia="zh-CN"/>
        </w:rPr>
        <w:t>16.49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0.32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14.57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653</w:t>
      </w:r>
      <w:r>
        <w:rPr>
          <w:rFonts w:hint="eastAsia" w:ascii="仿宋_GB2312" w:eastAsia="仿宋_GB2312" w:cs="仿宋_GB2312"/>
          <w:bCs/>
          <w:kern w:val="0"/>
          <w:sz w:val="32"/>
          <w:szCs w:val="32"/>
        </w:rPr>
        <w:t>%，其中：</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 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14.49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725</w:t>
      </w:r>
      <w:r>
        <w:rPr>
          <w:rFonts w:hint="eastAsia" w:ascii="仿宋_GB2312" w:eastAsia="仿宋_GB2312" w:cs="仿宋_GB2312"/>
          <w:bCs/>
          <w:kern w:val="0"/>
          <w:sz w:val="32"/>
          <w:szCs w:val="32"/>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2020年新采购一辆业务车辆</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因项目开展各市县单</w:t>
      </w:r>
      <w:r>
        <w:rPr>
          <w:rFonts w:hint="eastAsia" w:ascii="仿宋_GB2312" w:eastAsia="仿宋_GB2312" w:cs="仿宋_GB2312"/>
          <w:bCs/>
          <w:kern w:val="0"/>
          <w:sz w:val="32"/>
          <w:szCs w:val="32"/>
          <w:lang w:val="en-US" w:eastAsia="zh-CN"/>
        </w:rPr>
        <w:t>位人员来往增多</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w:t>
      </w:r>
      <w:r>
        <w:rPr>
          <w:rFonts w:hint="eastAsia" w:ascii="仿宋_GB2312" w:eastAsia="仿宋_GB2312" w:cs="仿宋_GB2312"/>
          <w:bCs/>
          <w:kern w:val="0"/>
          <w:sz w:val="32"/>
          <w:szCs w:val="32"/>
          <w:lang w:eastAsia="zh-CN"/>
        </w:rPr>
        <w:t>算</w:t>
      </w:r>
      <w:r>
        <w:rPr>
          <w:rFonts w:hint="eastAsia" w:ascii="仿宋_GB2312" w:eastAsia="仿宋_GB2312" w:cs="仿宋_GB2312"/>
          <w:bCs/>
          <w:kern w:val="0"/>
          <w:sz w:val="32"/>
          <w:szCs w:val="32"/>
          <w:lang w:val="en-US" w:eastAsia="zh-CN"/>
        </w:rPr>
        <w:t>16.49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0.32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 xml:space="preserve">%。具体情况如下：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left="640" w:leftChars="0" w:firstLine="0" w:firstLineChars="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left="640" w:leftChars="0" w:firstLine="0" w:firstLineChars="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lang w:val="en-US" w:eastAsia="zh-CN"/>
        </w:rPr>
        <w:t>16.49</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14.49</w:t>
      </w:r>
      <w:r>
        <w:rPr>
          <w:rFonts w:hint="eastAsia" w:ascii="仿宋_GB2312" w:eastAsia="仿宋_GB2312" w:cs="仿宋_GB2312"/>
          <w:bCs/>
          <w:kern w:val="0"/>
          <w:sz w:val="32"/>
          <w:szCs w:val="32"/>
        </w:rPr>
        <w:t>万元。公务用车运行支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到各县区开展业务工作下乡服务指导等</w:t>
      </w:r>
      <w:r>
        <w:rPr>
          <w:rFonts w:hint="eastAsia" w:ascii="仿宋_GB2312" w:eastAsia="仿宋_GB2312" w:cs="仿宋_GB2312"/>
          <w:bCs/>
          <w:kern w:val="0"/>
          <w:sz w:val="32"/>
          <w:szCs w:val="32"/>
        </w:rPr>
        <w:t>。2020年，</w:t>
      </w:r>
      <w:r>
        <w:rPr>
          <w:rFonts w:hint="eastAsia" w:ascii="仿宋_GB2312" w:eastAsia="仿宋_GB2312" w:cs="仿宋_GB2312"/>
          <w:bCs/>
          <w:kern w:val="0"/>
          <w:sz w:val="32"/>
          <w:szCs w:val="32"/>
          <w:lang w:eastAsia="zh-CN"/>
        </w:rPr>
        <w:t>本</w:t>
      </w:r>
      <w:r>
        <w:rPr>
          <w:rFonts w:hint="eastAsia" w:ascii="仿宋_GB2312" w:eastAsia="仿宋_GB2312" w:cs="仿宋_GB2312"/>
          <w:bCs/>
          <w:kern w:val="0"/>
          <w:sz w:val="32"/>
          <w:szCs w:val="32"/>
        </w:rPr>
        <w:t>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left="640" w:leftChars="0" w:firstLine="0" w:firstLineChars="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0.32</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0.32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上下级单</w:t>
      </w:r>
      <w:r>
        <w:rPr>
          <w:rFonts w:hint="eastAsia" w:ascii="仿宋_GB2312" w:eastAsia="仿宋_GB2312" w:cs="仿宋_GB2312"/>
          <w:bCs/>
          <w:kern w:val="0"/>
          <w:sz w:val="32"/>
          <w:szCs w:val="32"/>
          <w:lang w:val="en-US" w:eastAsia="zh-CN"/>
        </w:rPr>
        <w:t>位</w:t>
      </w:r>
      <w:r>
        <w:rPr>
          <w:rFonts w:hint="eastAsia" w:ascii="仿宋_GB2312" w:eastAsia="仿宋_GB2312" w:cs="仿宋_GB2312"/>
          <w:bCs/>
          <w:kern w:val="0"/>
          <w:sz w:val="32"/>
          <w:szCs w:val="32"/>
          <w:lang w:eastAsia="zh-CN"/>
        </w:rPr>
        <w:t>项目工作业务交流接待</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r>
        <w:rPr>
          <w:rFonts w:hint="eastAsia" w:asci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2020年基金拨款年初预算为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九、2020年度国有资本经营预算财政拨款支出情况说明</w:t>
      </w:r>
    </w:p>
    <w:p>
      <w:pPr>
        <w:tabs>
          <w:tab w:val="center" w:pos="4475"/>
        </w:tabs>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年本单位无国有资本经营预算财政拨款支出。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、2020 年度预算绩效情况说明</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ascii="仿宋_GB2312" w:eastAsia="仿宋_GB2312" w:cs="仿宋_GB2312"/>
          <w:bCs/>
          <w:kern w:val="0"/>
          <w:sz w:val="32"/>
          <w:szCs w:val="32"/>
        </w:rPr>
      </w:pPr>
      <w:r>
        <w:rPr>
          <w:rFonts w:ascii="仿宋_GB2312" w:hAnsi="宋体" w:eastAsia="仿宋_GB2312" w:cs="仿宋_GB2312"/>
          <w:color w:val="333333"/>
          <w:sz w:val="32"/>
          <w:szCs w:val="32"/>
          <w:shd w:val="clear" w:fill="FFFFFF"/>
        </w:rPr>
        <w:t>根据财政预算管理要求，我</w:t>
      </w:r>
      <w:r>
        <w:rPr>
          <w:rFonts w:hint="eastAsia" w:ascii="仿宋_GB2312" w:hAnsi="宋体" w:eastAsia="仿宋_GB2312" w:cs="仿宋_GB2312"/>
          <w:color w:val="333333"/>
          <w:sz w:val="32"/>
          <w:szCs w:val="32"/>
          <w:shd w:val="clear" w:fill="FFFFFF"/>
          <w:lang w:eastAsia="zh-CN"/>
        </w:rPr>
        <w:t>单位</w:t>
      </w:r>
      <w:r>
        <w:rPr>
          <w:rFonts w:ascii="仿宋_GB2312" w:hAnsi="宋体" w:eastAsia="仿宋_GB2312" w:cs="仿宋_GB2312"/>
          <w:color w:val="333333"/>
          <w:sz w:val="32"/>
          <w:szCs w:val="32"/>
          <w:shd w:val="clear" w:fill="FFFFFF"/>
        </w:rPr>
        <w:t>组织对</w:t>
      </w:r>
      <w:r>
        <w:rPr>
          <w:rFonts w:hint="eastAsia" w:ascii="仿宋_GB2312" w:hAnsi="Helvetica" w:eastAsia="仿宋_GB2312" w:cs="仿宋_GB2312"/>
          <w:color w:val="333333"/>
          <w:sz w:val="32"/>
          <w:szCs w:val="32"/>
          <w:shd w:val="clear" w:fill="FFFFFF"/>
        </w:rPr>
        <w:t>20</w:t>
      </w:r>
      <w:r>
        <w:rPr>
          <w:rFonts w:hint="eastAsia" w:ascii="仿宋_GB2312" w:hAnsi="Helvetica" w:eastAsia="仿宋_GB2312" w:cs="仿宋_GB2312"/>
          <w:color w:val="333333"/>
          <w:sz w:val="32"/>
          <w:szCs w:val="32"/>
          <w:shd w:val="clear" w:fill="FFFFFF"/>
          <w:lang w:val="en-US" w:eastAsia="zh-CN"/>
        </w:rPr>
        <w:t>20</w:t>
      </w:r>
      <w:r>
        <w:rPr>
          <w:rFonts w:hint="eastAsia" w:ascii="仿宋_GB2312" w:hAnsi="宋体" w:eastAsia="仿宋_GB2312" w:cs="仿宋_GB2312"/>
          <w:color w:val="333333"/>
          <w:sz w:val="32"/>
          <w:szCs w:val="32"/>
          <w:shd w:val="clear" w:fill="FFFFFF"/>
        </w:rPr>
        <w:t>年度一般公共预算整体支</w:t>
      </w:r>
      <w:r>
        <w:rPr>
          <w:rFonts w:hint="eastAsia" w:ascii="仿宋_GB2312" w:hAnsi="宋体" w:eastAsia="仿宋_GB2312" w:cs="仿宋_GB2312"/>
          <w:color w:val="333333"/>
          <w:sz w:val="32"/>
          <w:szCs w:val="32"/>
          <w:shd w:val="clear" w:fill="FFFFFF"/>
          <w:lang w:eastAsia="zh-CN"/>
        </w:rPr>
        <w:t>出</w:t>
      </w:r>
      <w:r>
        <w:rPr>
          <w:rFonts w:hint="eastAsia" w:ascii="仿宋_GB2312" w:eastAsia="仿宋_GB2312" w:cs="仿宋_GB2312"/>
          <w:bCs/>
          <w:kern w:val="0"/>
          <w:sz w:val="32"/>
          <w:szCs w:val="32"/>
        </w:rPr>
        <w:t>全面开展绩效自评</w:t>
      </w:r>
      <w:r>
        <w:rPr>
          <w:rFonts w:hint="eastAsia" w:ascii="仿宋_GB2312" w:eastAsia="仿宋_GB2312" w:cs="仿宋_GB2312"/>
          <w:bCs/>
          <w:kern w:val="0"/>
          <w:sz w:val="32"/>
          <w:szCs w:val="32"/>
          <w:lang w:eastAsia="zh-CN"/>
        </w:rPr>
        <w:t>。</w:t>
      </w:r>
      <w:r>
        <w:rPr>
          <w:rFonts w:hint="eastAsia" w:ascii="仿宋_GB2312" w:hAnsi="宋体" w:eastAsia="仿宋_GB2312" w:cs="仿宋_GB2312"/>
          <w:color w:val="333333"/>
          <w:sz w:val="32"/>
          <w:szCs w:val="32"/>
          <w:shd w:val="clear" w:fill="FFFFFF"/>
          <w:lang w:val="en-US" w:eastAsia="zh-CN"/>
        </w:rPr>
        <w:t>按时按质完成设定4项年度总体绩效目标任务，</w:t>
      </w:r>
      <w:r>
        <w:rPr>
          <w:rFonts w:hint="eastAsia" w:ascii="仿宋_GB2312" w:hAnsi="宋体" w:eastAsia="仿宋_GB2312" w:cs="仿宋_GB2312"/>
          <w:color w:val="333333"/>
          <w:sz w:val="32"/>
          <w:szCs w:val="32"/>
          <w:shd w:val="clear" w:fill="FFFFFF"/>
        </w:rPr>
        <w:t>整体绩效目标评分</w:t>
      </w:r>
      <w:r>
        <w:rPr>
          <w:rFonts w:hint="eastAsia" w:ascii="仿宋_GB2312" w:hAnsi="宋体" w:eastAsia="仿宋_GB2312" w:cs="仿宋_GB2312"/>
          <w:color w:val="333333"/>
          <w:sz w:val="32"/>
          <w:szCs w:val="32"/>
          <w:shd w:val="clear" w:fill="FFFFFF"/>
          <w:lang w:val="en-US" w:eastAsia="zh-CN"/>
        </w:rPr>
        <w:t>94.2</w:t>
      </w:r>
      <w:r>
        <w:rPr>
          <w:rFonts w:hint="eastAsia" w:ascii="仿宋_GB2312" w:hAnsi="宋体" w:eastAsia="仿宋_GB2312" w:cs="仿宋_GB2312"/>
          <w:color w:val="333333"/>
          <w:sz w:val="32"/>
          <w:szCs w:val="32"/>
          <w:shd w:val="clear" w:fill="FFFFFF"/>
        </w:rPr>
        <w:t>分。</w:t>
      </w:r>
      <w:r>
        <w:rPr>
          <w:rFonts w:hint="eastAsia" w:ascii="仿宋_GB2312" w:hAnsi="宋体" w:eastAsia="仿宋_GB2312" w:cs="仿宋_GB2312"/>
          <w:color w:val="333333"/>
          <w:sz w:val="32"/>
          <w:szCs w:val="32"/>
          <w:shd w:val="clear" w:fill="FFFFFF"/>
          <w:lang w:val="en-US" w:eastAsia="zh-CN"/>
        </w:rPr>
        <w:t>2020年度预算</w:t>
      </w:r>
      <w:r>
        <w:rPr>
          <w:rFonts w:hint="eastAsia" w:ascii="仿宋_GB2312" w:hAnsi="宋体" w:eastAsia="仿宋_GB2312" w:cs="仿宋_GB2312"/>
          <w:color w:val="333333"/>
          <w:sz w:val="32"/>
          <w:szCs w:val="32"/>
          <w:shd w:val="clear" w:fill="FFFFFF"/>
        </w:rPr>
        <w:t>整体绩效目标完成优。</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eastAsia="zh-CN"/>
        </w:rPr>
        <w:t>事业</w:t>
      </w:r>
      <w:r>
        <w:rPr>
          <w:rFonts w:hint="eastAsia" w:ascii="仿宋_GB2312" w:eastAsia="仿宋_GB2312" w:cs="仿宋_GB2312"/>
          <w:kern w:val="0"/>
          <w:sz w:val="32"/>
          <w:szCs w:val="32"/>
        </w:rPr>
        <w:t>运行经费支出情况。2020年度</w:t>
      </w:r>
      <w:r>
        <w:rPr>
          <w:rFonts w:hint="eastAsia" w:ascii="仿宋_GB2312" w:eastAsia="仿宋_GB2312" w:cs="仿宋_GB2312"/>
          <w:kern w:val="0"/>
          <w:sz w:val="32"/>
          <w:szCs w:val="32"/>
          <w:lang w:eastAsia="zh-CN"/>
        </w:rPr>
        <w:t>单</w:t>
      </w:r>
      <w:r>
        <w:rPr>
          <w:rFonts w:hint="eastAsia" w:ascii="仿宋_GB2312" w:eastAsia="仿宋_GB2312" w:cs="仿宋_GB2312"/>
          <w:kern w:val="0"/>
          <w:sz w:val="32"/>
          <w:szCs w:val="32"/>
          <w:lang w:val="en-US" w:eastAsia="zh-CN"/>
        </w:rPr>
        <w:t>位事业</w:t>
      </w:r>
      <w:r>
        <w:rPr>
          <w:rFonts w:hint="eastAsia" w:ascii="仿宋_GB2312" w:eastAsia="仿宋_GB2312" w:cs="仿宋_GB2312"/>
          <w:kern w:val="0"/>
          <w:sz w:val="32"/>
          <w:szCs w:val="32"/>
        </w:rPr>
        <w:t>运行经费支出</w:t>
      </w:r>
      <w:r>
        <w:rPr>
          <w:rFonts w:hint="eastAsia" w:ascii="仿宋_GB2312" w:eastAsia="仿宋_GB2312" w:cs="仿宋_GB2312"/>
          <w:kern w:val="0"/>
          <w:sz w:val="32"/>
          <w:szCs w:val="32"/>
          <w:lang w:val="en-US" w:eastAsia="zh-CN"/>
        </w:rPr>
        <w:t>171.12</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44.30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35</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是</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采购了一辆公务用车；</w:t>
      </w:r>
      <w:r>
        <w:rPr>
          <w:rFonts w:hint="eastAsia" w:ascii="仿宋_GB2312" w:eastAsia="仿宋_GB2312" w:cs="仿宋_GB2312"/>
          <w:kern w:val="0"/>
          <w:sz w:val="32"/>
          <w:szCs w:val="32"/>
          <w:lang w:val="en-US" w:eastAsia="zh-CN"/>
        </w:rPr>
        <w:t>2.</w:t>
      </w:r>
      <w:r>
        <w:rPr>
          <w:rFonts w:hint="eastAsia" w:ascii="仿宋_GB2312" w:eastAsia="仿宋_GB2312" w:cs="仿宋_GB2312"/>
          <w:bCs/>
          <w:kern w:val="0"/>
          <w:sz w:val="32"/>
          <w:szCs w:val="32"/>
          <w:lang w:eastAsia="zh-CN"/>
        </w:rPr>
        <w:t>年中增人增资人员经费变动和上年结转：2018.2019年事业单位绩效工资总量补差</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15.48</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15.48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keepNext w:val="0"/>
        <w:keepLines w:val="0"/>
        <w:pageBreakBefore w:val="0"/>
        <w:widowControl w:val="0"/>
        <w:kinsoku/>
        <w:wordWrap/>
        <w:overflowPunct/>
        <w:topLinePunct w:val="0"/>
        <w:bidi w:val="0"/>
        <w:snapToGrid/>
        <w:spacing w:line="580" w:lineRule="exact"/>
        <w:ind w:firstLine="645"/>
        <w:jc w:val="left"/>
        <w:textAlignment w:val="auto"/>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5"/>
        </w:numPr>
        <w:kinsoku/>
        <w:wordWrap/>
        <w:overflowPunct/>
        <w:topLinePunct w:val="0"/>
        <w:bidi w:val="0"/>
        <w:snapToGrid/>
        <w:spacing w:line="580" w:lineRule="exact"/>
        <w:ind w:firstLine="645"/>
        <w:jc w:val="left"/>
        <w:textAlignment w:val="auto"/>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left"/>
        <w:textAlignment w:val="auto"/>
        <w:rPr>
          <w:rFonts w:ascii="仿宋_GB2312" w:eastAsia="仿宋_GB2312" w:cs="仿宋_GB2312"/>
          <w:kern w:val="0"/>
          <w:sz w:val="32"/>
          <w:szCs w:val="32"/>
        </w:rPr>
      </w:pPr>
    </w:p>
    <w:p>
      <w:pPr>
        <w:keepNext w:val="0"/>
        <w:keepLines w:val="0"/>
        <w:pageBreakBefore w:val="0"/>
        <w:widowControl w:val="0"/>
        <w:kinsoku/>
        <w:wordWrap/>
        <w:overflowPunct/>
        <w:topLinePunct w:val="0"/>
        <w:bidi w:val="0"/>
        <w:snapToGrid/>
        <w:spacing w:line="580" w:lineRule="exact"/>
        <w:jc w:val="left"/>
        <w:textAlignment w:val="auto"/>
      </w:pPr>
    </w:p>
    <w:sectPr>
      <w:headerReference r:id="rId9" w:type="default"/>
      <w:footerReference r:id="rId10"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494E0"/>
    <w:multiLevelType w:val="singleLevel"/>
    <w:tmpl w:val="8CD494E0"/>
    <w:lvl w:ilvl="0" w:tentative="0">
      <w:start w:val="1"/>
      <w:numFmt w:val="decimal"/>
      <w:lvlText w:val="%1."/>
      <w:lvlJc w:val="left"/>
      <w:pPr>
        <w:tabs>
          <w:tab w:val="left" w:pos="312"/>
        </w:tabs>
      </w:pPr>
    </w:lvl>
  </w:abstractNum>
  <w:abstractNum w:abstractNumId="1">
    <w:nsid w:val="B41214E6"/>
    <w:multiLevelType w:val="singleLevel"/>
    <w:tmpl w:val="B41214E6"/>
    <w:lvl w:ilvl="0" w:tentative="0">
      <w:start w:val="1"/>
      <w:numFmt w:val="decimal"/>
      <w:lvlText w:val="%1."/>
      <w:lvlJc w:val="left"/>
      <w:pPr>
        <w:tabs>
          <w:tab w:val="left" w:pos="312"/>
        </w:tabs>
      </w:pPr>
    </w:lvl>
  </w:abstractNum>
  <w:abstractNum w:abstractNumId="2">
    <w:nsid w:val="2A377683"/>
    <w:multiLevelType w:val="singleLevel"/>
    <w:tmpl w:val="2A377683"/>
    <w:lvl w:ilvl="0" w:tentative="0">
      <w:start w:val="1"/>
      <w:numFmt w:val="decimal"/>
      <w:suff w:val="space"/>
      <w:lvlText w:val="%1."/>
      <w:lvlJc w:val="left"/>
      <w:pPr>
        <w:ind w:left="640" w:leftChars="0" w:firstLine="0" w:firstLineChars="0"/>
      </w:p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3C7AF3"/>
    <w:rsid w:val="006C1367"/>
    <w:rsid w:val="00715385"/>
    <w:rsid w:val="00AA7730"/>
    <w:rsid w:val="00CA361D"/>
    <w:rsid w:val="00F66C5B"/>
    <w:rsid w:val="01D63B83"/>
    <w:rsid w:val="02114E08"/>
    <w:rsid w:val="02361C59"/>
    <w:rsid w:val="02434988"/>
    <w:rsid w:val="0287728E"/>
    <w:rsid w:val="02BC27A9"/>
    <w:rsid w:val="04441BC7"/>
    <w:rsid w:val="04622BD7"/>
    <w:rsid w:val="05394522"/>
    <w:rsid w:val="05B52072"/>
    <w:rsid w:val="0898391C"/>
    <w:rsid w:val="08CC2128"/>
    <w:rsid w:val="08EB316D"/>
    <w:rsid w:val="08F56BF2"/>
    <w:rsid w:val="09602286"/>
    <w:rsid w:val="0963515B"/>
    <w:rsid w:val="09F07478"/>
    <w:rsid w:val="0A220E45"/>
    <w:rsid w:val="0A564AB6"/>
    <w:rsid w:val="0A5F253B"/>
    <w:rsid w:val="0C8F4125"/>
    <w:rsid w:val="0CA362E0"/>
    <w:rsid w:val="0E2D3307"/>
    <w:rsid w:val="0E415F70"/>
    <w:rsid w:val="0E4C1399"/>
    <w:rsid w:val="0FEC6BFB"/>
    <w:rsid w:val="111402A2"/>
    <w:rsid w:val="11635FA0"/>
    <w:rsid w:val="118943BF"/>
    <w:rsid w:val="124204B5"/>
    <w:rsid w:val="1279638F"/>
    <w:rsid w:val="12E32962"/>
    <w:rsid w:val="14E53DD9"/>
    <w:rsid w:val="14FA0925"/>
    <w:rsid w:val="15511488"/>
    <w:rsid w:val="167277E2"/>
    <w:rsid w:val="17B0654B"/>
    <w:rsid w:val="17E37840"/>
    <w:rsid w:val="18A249ED"/>
    <w:rsid w:val="1A7B5D97"/>
    <w:rsid w:val="1B24214B"/>
    <w:rsid w:val="1B3A63AD"/>
    <w:rsid w:val="1C806055"/>
    <w:rsid w:val="1D561ED8"/>
    <w:rsid w:val="1D6945DF"/>
    <w:rsid w:val="1F1B36E0"/>
    <w:rsid w:val="205E1999"/>
    <w:rsid w:val="2158402E"/>
    <w:rsid w:val="21C05E99"/>
    <w:rsid w:val="21C22613"/>
    <w:rsid w:val="223B498B"/>
    <w:rsid w:val="23CF7E21"/>
    <w:rsid w:val="242A3BCE"/>
    <w:rsid w:val="254D19C6"/>
    <w:rsid w:val="26460DBA"/>
    <w:rsid w:val="26B86C0A"/>
    <w:rsid w:val="27057FCF"/>
    <w:rsid w:val="27B97765"/>
    <w:rsid w:val="285A4ADC"/>
    <w:rsid w:val="28636CBD"/>
    <w:rsid w:val="28C95C46"/>
    <w:rsid w:val="29DE5F1F"/>
    <w:rsid w:val="2A3A3313"/>
    <w:rsid w:val="2A8763CF"/>
    <w:rsid w:val="2B0953C3"/>
    <w:rsid w:val="2B6F74EB"/>
    <w:rsid w:val="2C4219FE"/>
    <w:rsid w:val="2DAF3C7B"/>
    <w:rsid w:val="2EC56D26"/>
    <w:rsid w:val="30452220"/>
    <w:rsid w:val="304D1C36"/>
    <w:rsid w:val="317B2143"/>
    <w:rsid w:val="323A6F61"/>
    <w:rsid w:val="324B14BA"/>
    <w:rsid w:val="32B56684"/>
    <w:rsid w:val="34020F86"/>
    <w:rsid w:val="367F0B77"/>
    <w:rsid w:val="38C54FD7"/>
    <w:rsid w:val="38FE3F04"/>
    <w:rsid w:val="39A63F06"/>
    <w:rsid w:val="3AA17B5E"/>
    <w:rsid w:val="3B1832BF"/>
    <w:rsid w:val="3BB2289A"/>
    <w:rsid w:val="3ED1439F"/>
    <w:rsid w:val="40E936EC"/>
    <w:rsid w:val="42230B34"/>
    <w:rsid w:val="425C456A"/>
    <w:rsid w:val="42971F4D"/>
    <w:rsid w:val="42F3441A"/>
    <w:rsid w:val="432038D3"/>
    <w:rsid w:val="46261DC2"/>
    <w:rsid w:val="464916CD"/>
    <w:rsid w:val="46903CF0"/>
    <w:rsid w:val="48800CE1"/>
    <w:rsid w:val="48AB0EA5"/>
    <w:rsid w:val="493D5922"/>
    <w:rsid w:val="497152E6"/>
    <w:rsid w:val="4A0430AD"/>
    <w:rsid w:val="4A57052F"/>
    <w:rsid w:val="4A9E755A"/>
    <w:rsid w:val="4AC74C35"/>
    <w:rsid w:val="4B187B75"/>
    <w:rsid w:val="4B710F17"/>
    <w:rsid w:val="4C256E3D"/>
    <w:rsid w:val="4C70017A"/>
    <w:rsid w:val="4C7E4C21"/>
    <w:rsid w:val="4CB52F0F"/>
    <w:rsid w:val="4D252B76"/>
    <w:rsid w:val="4DBA1921"/>
    <w:rsid w:val="4E354A39"/>
    <w:rsid w:val="4EA003D7"/>
    <w:rsid w:val="50A13AA6"/>
    <w:rsid w:val="525B6FFC"/>
    <w:rsid w:val="52C25315"/>
    <w:rsid w:val="532F1F9A"/>
    <w:rsid w:val="53DE4649"/>
    <w:rsid w:val="542836E4"/>
    <w:rsid w:val="5651068C"/>
    <w:rsid w:val="5669433E"/>
    <w:rsid w:val="568809BB"/>
    <w:rsid w:val="57CE37A4"/>
    <w:rsid w:val="5A17471E"/>
    <w:rsid w:val="5A4627B5"/>
    <w:rsid w:val="5BD32118"/>
    <w:rsid w:val="5C1626C3"/>
    <w:rsid w:val="5E995A3E"/>
    <w:rsid w:val="5F432703"/>
    <w:rsid w:val="5F6E7F87"/>
    <w:rsid w:val="5FFD3E2D"/>
    <w:rsid w:val="603D615C"/>
    <w:rsid w:val="614267D5"/>
    <w:rsid w:val="61F8346F"/>
    <w:rsid w:val="62163194"/>
    <w:rsid w:val="624D024D"/>
    <w:rsid w:val="62503405"/>
    <w:rsid w:val="650E086A"/>
    <w:rsid w:val="652A7643"/>
    <w:rsid w:val="65F73EED"/>
    <w:rsid w:val="66A73347"/>
    <w:rsid w:val="68191A32"/>
    <w:rsid w:val="697C424F"/>
    <w:rsid w:val="69F20FB8"/>
    <w:rsid w:val="6BAA0708"/>
    <w:rsid w:val="6BC07C13"/>
    <w:rsid w:val="6C3005DE"/>
    <w:rsid w:val="6DAB7B13"/>
    <w:rsid w:val="70901C52"/>
    <w:rsid w:val="71D87AAF"/>
    <w:rsid w:val="73C324D7"/>
    <w:rsid w:val="73D1765B"/>
    <w:rsid w:val="752B5025"/>
    <w:rsid w:val="753430C4"/>
    <w:rsid w:val="75376E21"/>
    <w:rsid w:val="753F0F66"/>
    <w:rsid w:val="762F7A28"/>
    <w:rsid w:val="77421DE8"/>
    <w:rsid w:val="77E2710E"/>
    <w:rsid w:val="7887290C"/>
    <w:rsid w:val="788A3EC1"/>
    <w:rsid w:val="78B02829"/>
    <w:rsid w:val="78DA6733"/>
    <w:rsid w:val="79AC1EAA"/>
    <w:rsid w:val="79CD710D"/>
    <w:rsid w:val="79FA674F"/>
    <w:rsid w:val="7B51400B"/>
    <w:rsid w:val="7B523284"/>
    <w:rsid w:val="7BB83DC8"/>
    <w:rsid w:val="7BBB1B3D"/>
    <w:rsid w:val="7D2D6E5C"/>
    <w:rsid w:val="7DB84596"/>
    <w:rsid w:val="7DD41B09"/>
    <w:rsid w:val="7E0602B5"/>
    <w:rsid w:val="7FA2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3333"/>
      <w:u w:val="none"/>
    </w:rPr>
  </w:style>
  <w:style w:type="character" w:styleId="12">
    <w:name w:val="Emphasis"/>
    <w:basedOn w:val="8"/>
    <w:qFormat/>
    <w:uiPriority w:val="0"/>
  </w:style>
  <w:style w:type="character" w:styleId="13">
    <w:name w:val="HTML Definition"/>
    <w:basedOn w:val="8"/>
    <w:qFormat/>
    <w:uiPriority w:val="0"/>
    <w:rPr>
      <w:i/>
    </w:rPr>
  </w:style>
  <w:style w:type="character" w:styleId="14">
    <w:name w:val="Hyperlink"/>
    <w:basedOn w:val="8"/>
    <w:qFormat/>
    <w:uiPriority w:val="0"/>
    <w:rPr>
      <w:color w:val="333333"/>
      <w:u w:val="none"/>
    </w:rPr>
  </w:style>
  <w:style w:type="character" w:styleId="15">
    <w:name w:val="HTML Code"/>
    <w:basedOn w:val="8"/>
    <w:qFormat/>
    <w:uiPriority w:val="0"/>
    <w:rPr>
      <w:rFonts w:hint="default" w:ascii="Consolas" w:hAnsi="Consolas" w:eastAsia="Consolas" w:cs="Consolas"/>
      <w:color w:val="C7254E"/>
      <w:sz w:val="21"/>
      <w:szCs w:val="21"/>
      <w:shd w:val="clear" w:fill="F9F2F4"/>
    </w:rPr>
  </w:style>
  <w:style w:type="character" w:styleId="16">
    <w:name w:val="HTML Keyboard"/>
    <w:basedOn w:val="8"/>
    <w:qFormat/>
    <w:uiPriority w:val="0"/>
    <w:rPr>
      <w:rFonts w:hint="default" w:ascii="Consolas" w:hAnsi="Consolas" w:eastAsia="Consolas" w:cs="Consolas"/>
      <w:color w:val="FFFFFF"/>
      <w:sz w:val="21"/>
      <w:szCs w:val="21"/>
      <w:shd w:val="clear" w:fill="333333"/>
    </w:rPr>
  </w:style>
  <w:style w:type="character" w:styleId="17">
    <w:name w:val="HTML Sample"/>
    <w:basedOn w:val="8"/>
    <w:qFormat/>
    <w:uiPriority w:val="0"/>
    <w:rPr>
      <w:rFonts w:ascii="Consolas" w:hAnsi="Consolas" w:eastAsia="Consolas" w:cs="Consolas"/>
      <w:sz w:val="21"/>
      <w:szCs w:val="21"/>
    </w:rPr>
  </w:style>
  <w:style w:type="character" w:customStyle="1" w:styleId="18">
    <w:name w:val="批注框文本 Char"/>
    <w:basedOn w:val="8"/>
    <w:link w:val="3"/>
    <w:qFormat/>
    <w:uiPriority w:val="0"/>
    <w:rPr>
      <w:kern w:val="2"/>
      <w:sz w:val="18"/>
      <w:szCs w:val="18"/>
    </w:rPr>
  </w:style>
  <w:style w:type="character" w:customStyle="1" w:styleId="19">
    <w:name w:val="font11"/>
    <w:basedOn w:val="8"/>
    <w:qFormat/>
    <w:uiPriority w:val="0"/>
    <w:rPr>
      <w:rFonts w:hint="eastAsia" w:ascii="宋体" w:hAnsi="宋体" w:eastAsia="宋体" w:cs="宋体"/>
      <w:color w:val="000000"/>
      <w:sz w:val="22"/>
      <w:szCs w:val="22"/>
      <w:u w:val="none"/>
    </w:rPr>
  </w:style>
  <w:style w:type="character" w:customStyle="1" w:styleId="20">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4878</Words>
  <Characters>5393</Characters>
  <Lines>60</Lines>
  <Paragraphs>17</Paragraphs>
  <TotalTime>1</TotalTime>
  <ScaleCrop>false</ScaleCrop>
  <LinksUpToDate>false</LinksUpToDate>
  <CharactersWithSpaces>5523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2022-07-11T02:00:00Z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D9F9D25187A7457F8EDA8670ABFC84EE</vt:lpwstr>
  </property>
</Properties>
</file>