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人民医院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柳州市人民医院</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柳州市人民医院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柳州市人民医院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柳州市人民医院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柳州市人民医院创建于1926年，是集医疗、教学、科研、预防、保健、康复为一体的三级甲等综合医院，是广西医科大学附属柳州市人民医院，广西医科大学附属柳人临床医学院、是全国文明单位、国家自然科学基金依托资质单位、国家第一批住院医师规范化培训基地、国家临床药师培训基地、第一批全科医生规范化培养基地，是五星级绿色环保医院，是全国建立健全现代医院管理制度试点医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医院占地面积190多亩，建筑面积26万平方米，开放床位2416张，泊车位2300多个。现在职职工3727人，其中卫技人员3099人，高级专家774人，有医学博士84人（包含在读博士25人），硕士678人，人才队伍结构不断优化。拥有自治区临床重点专科及建设项目9个，广西医疗卫生重点学科5个,柳州市临床重点专科21个，柳州市人才小高地3个，市级医学质量控制中心22个,国家级临床药物试验资格专业20个。是广西第五批博士后创新实践基地。医疗服务辐射桂中地区，开展了许多达国内先进水平的医疗技术，多学科联合救治水平不断提高，承担着桂中地区急危重症病人的医疗救治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近年来，医院先后涌现出广西卫生健康系统二等功、广西五一劳动奖章获得者、柳州市先进工作者等诸多先进典型，医院荣获全国管理创新医院、广西卫生健康系统集体二等功等荣誉称号等国家级、省级、市级荣誉500多项。2019年，医院提出“一体两翼”的医院发展规划，“一体”即文昌路主体院区，以综合发展，处理疑难病症为主。“两翼”即在北部生态园建设分院（筹建中），打造区域急救医学中心；在阳和新区建设中西医结合分院（筹建中），探索中医药与现代医学相结合的特色模式。</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柳州市人民医院</w:t>
      </w:r>
    </w:p>
    <w:p>
      <w:pPr>
        <w:spacing w:line="580" w:lineRule="exact"/>
        <w:jc w:val="left"/>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柳州市人民医院</w:t>
      </w:r>
      <w:r>
        <w:rPr>
          <w:rFonts w:hint="eastAsia" w:ascii="仿宋_GB2312" w:eastAsia="仿宋_GB2312"/>
          <w:b/>
          <w:sz w:val="32"/>
          <w:szCs w:val="32"/>
        </w:rPr>
        <w:t>2020年部门决算报表</w:t>
      </w:r>
    </w:p>
    <w:p>
      <w:pPr>
        <w:jc w:val="center"/>
      </w:pPr>
    </w:p>
    <w:p/>
    <w:tbl>
      <w:tblPr>
        <w:tblStyle w:val="7"/>
        <w:tblW w:w="8720" w:type="dxa"/>
        <w:jc w:val="center"/>
        <w:tblInd w:w="93" w:type="dxa"/>
        <w:tblLayout w:type="fixed"/>
        <w:tblCellMar>
          <w:top w:w="0" w:type="dxa"/>
          <w:left w:w="108" w:type="dxa"/>
          <w:bottom w:w="0" w:type="dxa"/>
          <w:right w:w="108" w:type="dxa"/>
        </w:tblCellMar>
      </w:tblPr>
      <w:tblGrid>
        <w:gridCol w:w="2895"/>
        <w:gridCol w:w="1478"/>
        <w:gridCol w:w="2730"/>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4373"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34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7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7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4,537.90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17.74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16,500.00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218,319.81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2,478.92</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7,254.53</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185,935.56</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7,500.00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bottom"/>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27,734.22</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bottom"/>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237,186.60</w:t>
            </w:r>
          </w:p>
        </w:tc>
        <w:tc>
          <w:tcPr>
            <w:tcW w:w="273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233,277.08</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1,495.69</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3,743.21</w:t>
            </w: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6,157.04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78"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7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4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240,929.81</w:t>
            </w:r>
          </w:p>
        </w:tc>
        <w:tc>
          <w:tcPr>
            <w:tcW w:w="273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240,929.81</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7"/>
        <w:tblW w:w="14140" w:type="dxa"/>
        <w:jc w:val="center"/>
        <w:tblInd w:w="93" w:type="dxa"/>
        <w:tblLayout w:type="fixed"/>
        <w:tblCellMar>
          <w:top w:w="0" w:type="dxa"/>
          <w:left w:w="108" w:type="dxa"/>
          <w:bottom w:w="0" w:type="dxa"/>
          <w:right w:w="108" w:type="dxa"/>
        </w:tblCellMar>
      </w:tblPr>
      <w:tblGrid>
        <w:gridCol w:w="1183"/>
        <w:gridCol w:w="2177"/>
        <w:gridCol w:w="1540"/>
        <w:gridCol w:w="1540"/>
        <w:gridCol w:w="1540"/>
        <w:gridCol w:w="1540"/>
        <w:gridCol w:w="1540"/>
        <w:gridCol w:w="1540"/>
        <w:gridCol w:w="1540"/>
      </w:tblGrid>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183"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1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237,186.60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21,037.90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2,478.92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185,935.56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27,734.22</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220,451.60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4,302.90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2,478.92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185,935.56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27,734.22</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公立医院</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217,304.26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1,155.56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2,478.92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185,935.56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27,734.22</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216,557.26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408.56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2,478.92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185,935.56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27,734.22</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2100299</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747.00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747.00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2100408</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21006</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中医药</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2100601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21099</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3,141.34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3,141.34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2109901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3,141.34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3,141.34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城乡社区规划与管理</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2120201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22904</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2290402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抗疫特别国债安排的支出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23401</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基础设施建设</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6,012.00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6,012.00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2340102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6,012.00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6,012.00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23402</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抗疫相关支出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1,488.00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1,488.00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2340299</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1,488.00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1,488.00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r>
    </w:tbl>
    <w:p/>
    <w:p>
      <w:r>
        <w:rPr>
          <w:rFonts w:hint="eastAsia"/>
        </w:rPr>
        <w:t>注：本表反映部门本年度取得的各项收入情况。</w:t>
      </w:r>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7"/>
        <w:tblW w:w="14049" w:type="dxa"/>
        <w:jc w:val="center"/>
        <w:tblInd w:w="93" w:type="dxa"/>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233,277.08</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213,163.60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20,113.48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科学技术支出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17.74</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技术研究与开发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14.14</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14.14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其他技术研究与开发支出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14.14</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14.14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其他科学技术支出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2069999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218,319.81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212,978.60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5,341.21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公立医院</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214,979.15</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212,978.60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2,000.55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214,907.48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212,978.60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1,928.88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71.67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71.67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994.92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994.92</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8.14</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重大公共卫生服务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136.40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136.40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850.38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850.38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中医药</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2,345.07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2,345.07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2,345.07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2,345.07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7,500.00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7,500.00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抗疫相关支出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2340299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注：本表反映部门本年度各项支出情况。</w:t>
      </w:r>
    </w:p>
    <w:p/>
    <w:p/>
    <w:p>
      <w:r>
        <w:br w:type="page"/>
      </w:r>
    </w:p>
    <w:p>
      <w:pPr>
        <w:ind w:firstLine="3600" w:firstLineChars="1000"/>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7"/>
        <w:tblW w:w="13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97"/>
        <w:gridCol w:w="690"/>
        <w:gridCol w:w="1350"/>
        <w:gridCol w:w="2865"/>
        <w:gridCol w:w="630"/>
        <w:gridCol w:w="1140"/>
        <w:gridCol w:w="1275"/>
        <w:gridCol w:w="123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8500" w:type="dxa"/>
            <w:gridSpan w:val="6"/>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9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35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286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3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14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5"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123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c>
          <w:tcPr>
            <w:tcW w:w="1360"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5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65"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0"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690"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630"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4,537.90</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一、科学技术支出</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17.74</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17.74</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16,500.00</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185.00</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3,755.90</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3,755.90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四、其他支出</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7,254.53</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7,254.53</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五、抗疫特别国债安排的支出</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7,500.00</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7,500.00</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21,037.90</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18,713.17</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3,958.64</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14,754.53</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2,626.52</w:t>
            </w:r>
          </w:p>
        </w:tc>
        <w:tc>
          <w:tcPr>
            <w:tcW w:w="286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4,951.25</w:t>
            </w:r>
          </w:p>
        </w:tc>
        <w:tc>
          <w:tcPr>
            <w:tcW w:w="12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2,476.76</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2,474.50</w:t>
            </w:r>
          </w:p>
        </w:tc>
        <w:tc>
          <w:tcPr>
            <w:tcW w:w="13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1,897.49</w:t>
            </w:r>
          </w:p>
        </w:tc>
        <w:tc>
          <w:tcPr>
            <w:tcW w:w="2865"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9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729.03</w:t>
            </w:r>
          </w:p>
        </w:tc>
        <w:tc>
          <w:tcPr>
            <w:tcW w:w="2865"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90" w:type="dxa"/>
            <w:tcBorders>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0"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65" w:type="dxa"/>
            <w:tcBorders>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30" w:type="dxa"/>
            <w:tcBorders>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0" w:type="dxa"/>
            <w:tcBorders>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75" w:type="dxa"/>
            <w:tcBorders>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30" w:type="dxa"/>
            <w:tcBorders>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0" w:type="dxa"/>
            <w:tcBorders>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23,664.42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23,664.42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6,435.39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17,229.03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jc w:val="right"/>
        <w:rPr>
          <w:rFonts w:hint="eastAsia"/>
          <w:sz w:val="22"/>
          <w:szCs w:val="22"/>
        </w:rPr>
      </w:pPr>
    </w:p>
    <w:p>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7"/>
        <w:tblW w:w="13479" w:type="dxa"/>
        <w:jc w:val="center"/>
        <w:tblInd w:w="25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3,958.64</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3,773.64</w:t>
            </w: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科学技术支出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17.74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17.74</w:t>
            </w: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技术研究与开发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14.14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14.14</w:t>
            </w:r>
          </w:p>
        </w:tc>
      </w:tr>
      <w:tr>
        <w:tblPrEx>
          <w:tblLayout w:type="fixed"/>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其他技术研究与开发支出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14.14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14.14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20699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其他科学技术支出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2069999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185.00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3,755.90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3,755.90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公立医院</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415.24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415.24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综合医院</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343.57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343.57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71.67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71.67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公共卫生</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994.92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994.92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8.14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8.14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重大公共卫生服务</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136.40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136.40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其他公共卫生支出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850.38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850.38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中医药</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0.67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0.67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2100601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0.67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0.67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2,345.07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2,345.07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2109901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2,345.07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2,345.07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21202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城乡社区规划与管理</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2120201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hint="eastAsia" w:ascii="宋体" w:hAnsi="宋体" w:cs="宋体"/>
          <w:kern w:val="0"/>
          <w:sz w:val="22"/>
          <w:szCs w:val="22"/>
        </w:rPr>
      </w:pPr>
      <w:r>
        <w:rPr>
          <w:rFonts w:hint="eastAsia" w:ascii="宋体" w:hAnsi="宋体" w:cs="宋体"/>
          <w:kern w:val="0"/>
          <w:sz w:val="22"/>
          <w:szCs w:val="22"/>
        </w:rPr>
        <w:t>单位：万元</w:t>
      </w:r>
    </w:p>
    <w:p>
      <w:pPr>
        <w:ind w:right="330"/>
        <w:jc w:val="right"/>
        <w:rPr>
          <w:rFonts w:hint="eastAsia" w:ascii="宋体" w:hAnsi="宋体" w:cs="宋体"/>
          <w:kern w:val="0"/>
          <w:sz w:val="22"/>
          <w:szCs w:val="22"/>
        </w:rPr>
      </w:pPr>
    </w:p>
    <w:tbl>
      <w:tblPr>
        <w:tblStyle w:val="7"/>
        <w:tblW w:w="9151" w:type="dxa"/>
        <w:tblInd w:w="93" w:type="dxa"/>
        <w:tblLayout w:type="fixed"/>
        <w:tblCellMar>
          <w:top w:w="0" w:type="dxa"/>
          <w:left w:w="108" w:type="dxa"/>
          <w:bottom w:w="0" w:type="dxa"/>
          <w:right w:w="108" w:type="dxa"/>
        </w:tblCellMar>
      </w:tblPr>
      <w:tblGrid>
        <w:gridCol w:w="916"/>
        <w:gridCol w:w="3240"/>
        <w:gridCol w:w="983"/>
        <w:gridCol w:w="930"/>
        <w:gridCol w:w="1875"/>
        <w:gridCol w:w="1207"/>
      </w:tblGrid>
      <w:tr>
        <w:tblPrEx>
          <w:tblLayout w:type="fixed"/>
          <w:tblCellMar>
            <w:top w:w="0" w:type="dxa"/>
            <w:left w:w="108" w:type="dxa"/>
            <w:bottom w:w="0" w:type="dxa"/>
            <w:right w:w="108" w:type="dxa"/>
          </w:tblCellMar>
        </w:tblPrEx>
        <w:trPr>
          <w:trHeight w:val="564" w:hRule="atLeast"/>
        </w:trPr>
        <w:tc>
          <w:tcPr>
            <w:tcW w:w="513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0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8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3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7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0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983"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983"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983"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983"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87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w:t>
            </w:r>
          </w:p>
        </w:tc>
        <w:tc>
          <w:tcPr>
            <w:tcW w:w="3240"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对个人和家庭的补助</w:t>
            </w:r>
          </w:p>
        </w:tc>
        <w:tc>
          <w:tcPr>
            <w:tcW w:w="983"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185.00</w:t>
            </w:r>
          </w:p>
        </w:tc>
        <w:tc>
          <w:tcPr>
            <w:tcW w:w="930"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p>
        </w:tc>
        <w:tc>
          <w:tcPr>
            <w:tcW w:w="1875"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p>
        </w:tc>
        <w:tc>
          <w:tcPr>
            <w:tcW w:w="120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30301</w:t>
            </w:r>
          </w:p>
        </w:tc>
        <w:tc>
          <w:tcPr>
            <w:tcW w:w="3240"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离休费</w:t>
            </w:r>
          </w:p>
        </w:tc>
        <w:tc>
          <w:tcPr>
            <w:tcW w:w="983"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930"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p>
        </w:tc>
        <w:tc>
          <w:tcPr>
            <w:tcW w:w="1875"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p>
        </w:tc>
        <w:tc>
          <w:tcPr>
            <w:tcW w:w="120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30302</w:t>
            </w:r>
          </w:p>
        </w:tc>
        <w:tc>
          <w:tcPr>
            <w:tcW w:w="3240"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退休费</w:t>
            </w:r>
          </w:p>
        </w:tc>
        <w:tc>
          <w:tcPr>
            <w:tcW w:w="983"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185.00</w:t>
            </w:r>
          </w:p>
        </w:tc>
        <w:tc>
          <w:tcPr>
            <w:tcW w:w="930"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307</w:t>
            </w:r>
          </w:p>
        </w:tc>
        <w:tc>
          <w:tcPr>
            <w:tcW w:w="1875"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债务利息支出　</w:t>
            </w:r>
          </w:p>
        </w:tc>
        <w:tc>
          <w:tcPr>
            <w:tcW w:w="120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98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98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3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18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20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983"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185.00</w:t>
            </w:r>
          </w:p>
        </w:tc>
        <w:tc>
          <w:tcPr>
            <w:tcW w:w="2805"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2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7"/>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pPr>
        <w:rPr>
          <w:rFonts w:hint="eastAsia"/>
        </w:rPr>
      </w:pPr>
      <w:r>
        <w:rPr>
          <w:rFonts w:hint="eastAsia"/>
        </w:rPr>
        <w:t>注：本表反映部门本年度“三公”经费支出预决算情况。其中，2020年度预算数为“三公”经费年初预算数，决算数是包括当年一般公共预算财政拨款和以前年度结转资金安排的实际支出。</w:t>
      </w:r>
    </w:p>
    <w:p>
      <w:pPr>
        <w:ind w:firstLine="420" w:firstLineChars="200"/>
        <w:rPr>
          <w:rFonts w:hint="eastAsia" w:eastAsia="宋体"/>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柳州市人民医院没有没有“三公”经费收入，也没有“三公”经费支出安排，故本表无数据。</w:t>
      </w:r>
    </w:p>
    <w:p/>
    <w:tbl>
      <w:tblPr>
        <w:tblStyle w:val="7"/>
        <w:tblW w:w="12623" w:type="dxa"/>
        <w:jc w:val="center"/>
        <w:tblInd w:w="93" w:type="dxa"/>
        <w:shd w:val="clear" w:color="auto" w:fill="auto"/>
        <w:tblLayout w:type="fixed"/>
        <w:tblCellMar>
          <w:top w:w="0" w:type="dxa"/>
          <w:left w:w="108" w:type="dxa"/>
          <w:bottom w:w="0" w:type="dxa"/>
          <w:right w:w="108" w:type="dxa"/>
        </w:tblCellMar>
      </w:tblPr>
      <w:tblGrid>
        <w:gridCol w:w="1040"/>
        <w:gridCol w:w="1308"/>
        <w:gridCol w:w="960"/>
        <w:gridCol w:w="765"/>
        <w:gridCol w:w="1005"/>
        <w:gridCol w:w="1232"/>
        <w:gridCol w:w="1243"/>
        <w:gridCol w:w="750"/>
        <w:gridCol w:w="1215"/>
        <w:gridCol w:w="1110"/>
        <w:gridCol w:w="862"/>
        <w:gridCol w:w="1133"/>
      </w:tblGrid>
      <w:tr>
        <w:tblPrEx>
          <w:shd w:val="clear" w:color="auto" w:fill="auto"/>
          <w:tblLayout w:type="fixed"/>
          <w:tblCellMar>
            <w:top w:w="0" w:type="dxa"/>
            <w:left w:w="108" w:type="dxa"/>
            <w:bottom w:w="0" w:type="dxa"/>
            <w:right w:w="108" w:type="dxa"/>
          </w:tblCellMar>
        </w:tblPrEx>
        <w:trPr>
          <w:trHeight w:val="570" w:hRule="atLeast"/>
          <w:jc w:val="center"/>
        </w:trPr>
        <w:tc>
          <w:tcPr>
            <w:tcW w:w="12623" w:type="dxa"/>
            <w:gridSpan w:val="12"/>
            <w:tcBorders>
              <w:top w:val="nil"/>
              <w:left w:val="nil"/>
              <w:bottom w:val="nil"/>
              <w:right w:val="nil"/>
            </w:tcBorders>
            <w:shd w:val="clear" w:color="auto" w:fill="auto"/>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308"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960"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65"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005"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232"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243"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50"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215"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110"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995" w:type="dxa"/>
            <w:gridSpan w:val="2"/>
            <w:tcBorders>
              <w:top w:val="nil"/>
              <w:left w:val="nil"/>
              <w:bottom w:val="nil"/>
              <w:right w:val="nil"/>
            </w:tcBorders>
            <w:shd w:val="clear" w:color="auto" w:fill="auto"/>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73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232"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20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1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50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9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6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0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232"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2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2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1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6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96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65"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05"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232"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2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1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86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3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16,500.00</w:t>
            </w:r>
          </w:p>
        </w:tc>
        <w:tc>
          <w:tcPr>
            <w:tcW w:w="12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14,754.53</w:t>
            </w: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14,754.53</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2,474.50</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2,474.50</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2120801</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729.03</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9,000.00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22904</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9,000.00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2290402</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9,000.00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7,254.53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1,745.47</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7,500.00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7,500.00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7,500.00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6,012.00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23402</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抗疫相关支出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2340299</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1,488.00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spacing w:line="560" w:lineRule="exact"/>
        <w:ind w:firstLine="420"/>
        <w:rPr>
          <w:rFonts w:hint="eastAsia"/>
        </w:rPr>
      </w:pPr>
      <w:r>
        <w:rPr>
          <w:rFonts w:hint="eastAsia"/>
        </w:rPr>
        <w:t>注：本表反映部门本年度政府性基金预算财政拨款收入支出及结转和结余情况。</w:t>
      </w:r>
    </w:p>
    <w:p>
      <w:pPr>
        <w:spacing w:line="560" w:lineRule="exact"/>
        <w:ind w:firstLine="420"/>
        <w:rPr>
          <w:rFonts w:hint="eastAsia"/>
        </w:rPr>
      </w:pPr>
    </w:p>
    <w:p>
      <w:pPr>
        <w:spacing w:line="560" w:lineRule="exact"/>
        <w:ind w:firstLine="420"/>
        <w:rPr>
          <w:rFonts w:hint="eastAsia"/>
        </w:rPr>
      </w:pPr>
    </w:p>
    <w:tbl>
      <w:tblPr>
        <w:tblStyle w:val="7"/>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tc>
      </w:tr>
    </w:tbl>
    <w:p>
      <w:pPr>
        <w:ind w:firstLine="420" w:firstLineChars="200"/>
        <w:rPr>
          <w:rFonts w:hint="eastAsia" w:eastAsia="宋体"/>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柳州市人民医院没有没有国有资本经营预算财政拨款收入，也没有国有资本经营预算财政拨款支出安排，故本表无数据</w:t>
      </w:r>
    </w:p>
    <w:p>
      <w:pPr>
        <w:spacing w:line="580" w:lineRule="exact"/>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柳州市人民医院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237186.6</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233277.08</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37331.9万元、35458.1万元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18.68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17.92%。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237186.6</w:t>
      </w:r>
      <w:r>
        <w:rPr>
          <w:rFonts w:hint="eastAsia" w:ascii="仿宋_GB2312" w:eastAsia="仿宋_GB2312" w:cs="仿宋_GB2312"/>
          <w:bCs/>
          <w:kern w:val="0"/>
          <w:sz w:val="32"/>
          <w:szCs w:val="32"/>
        </w:rPr>
        <w:t>万元（逐项说明） ，其中：一般公共预算财政拨款收入</w:t>
      </w:r>
      <w:r>
        <w:rPr>
          <w:rFonts w:hint="eastAsia" w:ascii="仿宋_GB2312" w:eastAsia="仿宋_GB2312" w:cs="仿宋_GB2312"/>
          <w:bCs/>
          <w:kern w:val="0"/>
          <w:sz w:val="32"/>
          <w:szCs w:val="32"/>
          <w:lang w:val="en-US" w:eastAsia="zh-CN"/>
        </w:rPr>
        <w:t>4537.9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1.9%</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16500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6.96%</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2478.9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185935.6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78.4%</w:t>
      </w:r>
      <w:r>
        <w:rPr>
          <w:rFonts w:hint="eastAsia" w:ascii="仿宋_GB2312" w:eastAsia="仿宋_GB2312" w:cs="仿宋_GB2312"/>
          <w:bCs/>
          <w:kern w:val="0"/>
          <w:sz w:val="32"/>
          <w:szCs w:val="32"/>
        </w:rPr>
        <w:t xml:space="preserve"> ；其他收入</w:t>
      </w:r>
      <w:r>
        <w:rPr>
          <w:rFonts w:hint="eastAsia" w:ascii="仿宋_GB2312" w:eastAsia="仿宋_GB2312" w:cs="仿宋_GB2312"/>
          <w:bCs/>
          <w:kern w:val="0"/>
          <w:sz w:val="32"/>
          <w:szCs w:val="32"/>
          <w:lang w:val="en-US" w:eastAsia="zh-CN"/>
        </w:rPr>
        <w:t>27734.2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11.7%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233277.08</w:t>
      </w:r>
      <w:r>
        <w:rPr>
          <w:rFonts w:hint="eastAsia" w:ascii="仿宋_GB2312" w:eastAsia="仿宋_GB2312" w:cs="仿宋_GB2312"/>
          <w:bCs/>
          <w:kern w:val="0"/>
          <w:sz w:val="32"/>
          <w:szCs w:val="32"/>
        </w:rPr>
        <w:t xml:space="preserve">万元（逐项说明），其中：基本支出 </w:t>
      </w:r>
      <w:r>
        <w:rPr>
          <w:rFonts w:hint="eastAsia" w:ascii="仿宋_GB2312" w:eastAsia="仿宋_GB2312" w:cs="仿宋_GB2312"/>
          <w:bCs/>
          <w:kern w:val="0"/>
          <w:sz w:val="32"/>
          <w:szCs w:val="32"/>
          <w:lang w:val="en-US" w:eastAsia="zh-CN"/>
        </w:rPr>
        <w:t>213163.6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91.38</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20113.48</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8.62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 </w:t>
      </w:r>
      <w:r>
        <w:rPr>
          <w:rFonts w:hint="eastAsia" w:ascii="仿宋_GB2312" w:eastAsia="仿宋_GB2312" w:cs="仿宋_GB2312"/>
          <w:bCs/>
          <w:kern w:val="0"/>
          <w:sz w:val="32"/>
          <w:szCs w:val="32"/>
          <w:lang w:val="en-US" w:eastAsia="zh-CN"/>
        </w:rPr>
        <w:t>21037.9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18713.17</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17034.2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14779.99万元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425.46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375.78%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3958.64</w:t>
      </w:r>
      <w:r>
        <w:rPr>
          <w:rFonts w:hint="eastAsia" w:ascii="仿宋_GB2312" w:eastAsia="仿宋_GB2312" w:cs="仿宋_GB2312"/>
          <w:bCs/>
          <w:kern w:val="0"/>
          <w:sz w:val="32"/>
          <w:szCs w:val="32"/>
        </w:rPr>
        <w:t xml:space="preserve"> 万元，占本年支出合计的 </w:t>
      </w:r>
      <w:r>
        <w:rPr>
          <w:rFonts w:hint="eastAsia" w:ascii="仿宋_GB2312" w:eastAsia="仿宋_GB2312" w:cs="仿宋_GB2312"/>
          <w:bCs/>
          <w:kern w:val="0"/>
          <w:sz w:val="32"/>
          <w:szCs w:val="32"/>
          <w:lang w:val="en-US" w:eastAsia="zh-CN"/>
        </w:rPr>
        <w:t>1.70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25.46</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0.65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3958.64</w:t>
      </w:r>
      <w:r>
        <w:rPr>
          <w:rFonts w:hint="eastAsia" w:ascii="仿宋_GB2312" w:eastAsia="仿宋_GB2312" w:cs="仿宋_GB2312"/>
          <w:bCs/>
          <w:kern w:val="0"/>
          <w:sz w:val="32"/>
          <w:szCs w:val="32"/>
        </w:rPr>
        <w:t>万元，主要用于以下方面：科学技术（类） 支出</w:t>
      </w:r>
      <w:r>
        <w:rPr>
          <w:rFonts w:hint="eastAsia" w:ascii="仿宋_GB2312" w:eastAsia="仿宋_GB2312" w:cs="仿宋_GB2312"/>
          <w:bCs/>
          <w:kern w:val="0"/>
          <w:sz w:val="32"/>
          <w:szCs w:val="32"/>
          <w:lang w:val="en-US" w:eastAsia="zh-CN"/>
        </w:rPr>
        <w:t>17.74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0.45</w:t>
      </w: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val="en-US" w:eastAsia="zh-CN"/>
        </w:rPr>
        <w:t>185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4.67</w:t>
      </w:r>
      <w:r>
        <w:rPr>
          <w:rFonts w:hint="eastAsia" w:ascii="仿宋_GB2312" w:eastAsia="仿宋_GB2312" w:cs="仿宋_GB2312"/>
          <w:bCs/>
          <w:kern w:val="0"/>
          <w:sz w:val="32"/>
          <w:szCs w:val="32"/>
        </w:rPr>
        <w:t>%； 卫生健康支出</w:t>
      </w:r>
      <w:r>
        <w:rPr>
          <w:rFonts w:hint="eastAsia" w:ascii="仿宋_GB2312" w:eastAsia="仿宋_GB2312" w:cs="仿宋_GB2312"/>
          <w:bCs/>
          <w:kern w:val="0"/>
          <w:sz w:val="32"/>
          <w:szCs w:val="32"/>
          <w:lang w:val="en-US" w:eastAsia="zh-CN"/>
        </w:rPr>
        <w:t>3755.9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94.88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年度财政拨款支出年初预算为</w:t>
      </w:r>
      <w:r>
        <w:rPr>
          <w:rFonts w:hint="eastAsia" w:ascii="仿宋_GB2312" w:eastAsia="仿宋_GB2312" w:cs="仿宋_GB2312"/>
          <w:bCs/>
          <w:kern w:val="0"/>
          <w:sz w:val="32"/>
          <w:szCs w:val="32"/>
          <w:highlight w:val="none"/>
          <w:lang w:val="en-US" w:eastAsia="zh-CN"/>
        </w:rPr>
        <w:t>22.62</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3958.64</w:t>
      </w:r>
      <w:r>
        <w:rPr>
          <w:rFonts w:hint="eastAsia" w:ascii="仿宋_GB2312" w:eastAsia="仿宋_GB2312" w:cs="仿宋_GB2312"/>
          <w:bCs/>
          <w:kern w:val="0"/>
          <w:sz w:val="32"/>
          <w:szCs w:val="32"/>
          <w:highlight w:val="none"/>
        </w:rPr>
        <w:t xml:space="preserve">万元，完成年初预算的 </w:t>
      </w:r>
      <w:r>
        <w:rPr>
          <w:rFonts w:hint="eastAsia" w:ascii="仿宋_GB2312" w:eastAsia="仿宋_GB2312" w:cs="仿宋_GB2312"/>
          <w:bCs/>
          <w:kern w:val="0"/>
          <w:sz w:val="32"/>
          <w:szCs w:val="32"/>
          <w:highlight w:val="none"/>
          <w:lang w:val="en-US" w:eastAsia="zh-CN"/>
        </w:rPr>
        <w:t>17500</w:t>
      </w:r>
      <w:r>
        <w:rPr>
          <w:rFonts w:hint="eastAsia" w:ascii="仿宋_GB2312" w:eastAsia="仿宋_GB2312" w:cs="仿宋_GB2312"/>
          <w:bCs/>
          <w:kern w:val="0"/>
          <w:sz w:val="32"/>
          <w:szCs w:val="32"/>
          <w:highlight w:val="none"/>
        </w:rPr>
        <w:t>%。决算数大于预算数的主要原因：一是年中追加安排财政拨款支出预算，</w:t>
      </w:r>
      <w:r>
        <w:rPr>
          <w:rFonts w:hint="eastAsia" w:ascii="仿宋_GB2312" w:eastAsia="仿宋_GB2312" w:cs="仿宋_GB2312"/>
          <w:bCs/>
          <w:kern w:val="0"/>
          <w:sz w:val="32"/>
          <w:szCs w:val="32"/>
          <w:highlight w:val="none"/>
          <w:lang w:eastAsia="zh-CN"/>
        </w:rPr>
        <w:t>其中，</w:t>
      </w:r>
      <w:r>
        <w:rPr>
          <w:rFonts w:hint="eastAsia" w:ascii="仿宋_GB2312" w:eastAsia="仿宋_GB2312" w:cs="仿宋_GB2312"/>
          <w:bCs/>
          <w:kern w:val="0"/>
          <w:sz w:val="32"/>
          <w:szCs w:val="32"/>
          <w:highlight w:val="none"/>
        </w:rPr>
        <w:t>二是部分支出按规定，通过使用以前年度财政拨款结转资金解决。</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1.社会保障和就业支出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185</w:t>
      </w:r>
      <w:r>
        <w:rPr>
          <w:rFonts w:hint="eastAsia" w:ascii="仿宋_GB2312" w:eastAsia="仿宋_GB2312" w:cs="仿宋_GB2312"/>
          <w:bCs/>
          <w:kern w:val="0"/>
          <w:sz w:val="32"/>
          <w:szCs w:val="32"/>
        </w:rPr>
        <w:t>万元。决算数大于预算数的主要原因</w:t>
      </w:r>
      <w:r>
        <w:rPr>
          <w:rFonts w:hint="eastAsia" w:ascii="仿宋_GB2312" w:eastAsia="仿宋_GB2312" w:cs="仿宋_GB2312"/>
          <w:bCs/>
          <w:kern w:val="0"/>
          <w:sz w:val="32"/>
          <w:szCs w:val="32"/>
          <w:highlight w:val="none"/>
        </w:rPr>
        <w:t>是年中追加安排财政拨款支出预算</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highlight w:val="none"/>
          <w:lang w:val="en-US" w:eastAsia="zh-CN"/>
        </w:rPr>
        <w:t>2.</w:t>
      </w:r>
      <w:r>
        <w:rPr>
          <w:rFonts w:hint="eastAsia" w:ascii="仿宋_GB2312" w:eastAsia="仿宋_GB2312" w:cs="仿宋_GB2312"/>
          <w:bCs/>
          <w:kern w:val="0"/>
          <w:sz w:val="32"/>
          <w:szCs w:val="32"/>
        </w:rPr>
        <w:t>卫生健康支出。年初预算为</w:t>
      </w:r>
      <w:r>
        <w:rPr>
          <w:rFonts w:hint="eastAsia" w:ascii="仿宋_GB2312" w:eastAsia="仿宋_GB2312" w:cs="仿宋_GB2312"/>
          <w:bCs/>
          <w:kern w:val="0"/>
          <w:sz w:val="32"/>
          <w:szCs w:val="32"/>
          <w:lang w:val="en-US" w:eastAsia="zh-CN"/>
        </w:rPr>
        <w:t>4.88</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3755.9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76865.16</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highlight w:val="none"/>
        </w:rPr>
        <w:t>一是年中追加安排财政拨款支出预算，二是部分支出按规定，通过使用以前年度财政拨款结转资金解决。</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185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185</w:t>
      </w:r>
      <w:r>
        <w:rPr>
          <w:rFonts w:hint="eastAsia" w:ascii="仿宋_GB2312" w:eastAsia="仿宋_GB2312" w:cs="仿宋_GB2312"/>
          <w:bCs/>
          <w:kern w:val="0"/>
          <w:sz w:val="32"/>
          <w:szCs w:val="32"/>
        </w:rPr>
        <w:t>万元，主要</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eastAsia="zh-CN"/>
        </w:rPr>
        <w:t>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 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
          <w:bCs w:val="0"/>
          <w:kern w:val="0"/>
          <w:sz w:val="32"/>
          <w:szCs w:val="32"/>
        </w:rPr>
      </w:pPr>
      <w:r>
        <w:rPr>
          <w:rFonts w:hint="eastAsia" w:ascii="仿宋_GB2312" w:eastAsia="仿宋_GB2312" w:cs="仿宋_GB2312"/>
          <w:b/>
          <w:bCs w:val="0"/>
          <w:kern w:val="0"/>
          <w:sz w:val="32"/>
          <w:szCs w:val="32"/>
        </w:rPr>
        <w:t xml:space="preserve">   八、2020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16500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14754.53</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16500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14754.53万元</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2020年基金拨款年初预算为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val="en-US" w:eastAsia="zh-CN"/>
        </w:rPr>
        <w:t>14754.53</w:t>
      </w:r>
      <w:r>
        <w:rPr>
          <w:rFonts w:hint="eastAsia" w:ascii="仿宋_GB2312" w:eastAsia="仿宋_GB2312" w:cs="仿宋_GB2312"/>
          <w:bCs/>
          <w:kern w:val="0"/>
          <w:sz w:val="32"/>
          <w:szCs w:val="32"/>
          <w:highlight w:val="none"/>
        </w:rPr>
        <w:t>万元，决算大于（小于）预算数主要原因：一是年中追加安排财政拨款支出预算，涉及项目有</w:t>
      </w:r>
      <w:r>
        <w:rPr>
          <w:rFonts w:hint="eastAsia" w:ascii="仿宋_GB2312" w:eastAsia="仿宋_GB2312" w:cs="仿宋_GB2312"/>
          <w:bCs/>
          <w:kern w:val="0"/>
          <w:sz w:val="32"/>
          <w:szCs w:val="32"/>
          <w:highlight w:val="none"/>
          <w:lang w:eastAsia="zh-CN"/>
        </w:rPr>
        <w:t>其他地方自行试点项目收益专项债券收入安排的支出、重大疫情防控救治体系建设、其他抗疫相关支出</w:t>
      </w:r>
      <w:r>
        <w:rPr>
          <w:rFonts w:hint="eastAsia" w:ascii="仿宋_GB2312" w:eastAsia="仿宋_GB2312" w:cs="仿宋_GB2312"/>
          <w:bCs/>
          <w:kern w:val="0"/>
          <w:sz w:val="32"/>
          <w:szCs w:val="32"/>
          <w:highlight w:val="none"/>
        </w:rPr>
        <w:t xml:space="preserve">；二是部分支出按规定，通过使用以前年度财政拨款结转资金解决。其中： </w:t>
      </w:r>
    </w:p>
    <w:p>
      <w:pPr>
        <w:autoSpaceDE w:val="0"/>
        <w:autoSpaceDN w:val="0"/>
        <w:adjustRightInd w:val="0"/>
        <w:spacing w:line="580" w:lineRule="exact"/>
        <w:jc w:val="left"/>
        <w:rPr>
          <w:rFonts w:ascii="仿宋_GB2312" w:eastAsia="仿宋_GB2312" w:cs="仿宋_GB2312"/>
          <w:bCs/>
          <w:kern w:val="0"/>
          <w:sz w:val="32"/>
          <w:szCs w:val="32"/>
          <w:highlight w:val="none"/>
        </w:rPr>
      </w:pPr>
      <w:bookmarkStart w:id="0" w:name="_GoBack"/>
      <w:r>
        <w:rPr>
          <w:rFonts w:hint="eastAsia" w:ascii="仿宋_GB2312" w:eastAsia="仿宋_GB2312" w:cs="仿宋_GB2312"/>
          <w:bCs/>
          <w:kern w:val="0"/>
          <w:sz w:val="32"/>
          <w:szCs w:val="32"/>
          <w:highlight w:val="none"/>
        </w:rPr>
        <w:t xml:space="preserve">    1.</w:t>
      </w:r>
      <w:r>
        <w:rPr>
          <w:rFonts w:hint="eastAsia" w:ascii="仿宋_GB2312" w:eastAsia="仿宋_GB2312" w:cs="仿宋_GB2312"/>
          <w:bCs/>
          <w:kern w:val="0"/>
          <w:sz w:val="32"/>
          <w:szCs w:val="32"/>
          <w:highlight w:val="none"/>
          <w:lang w:eastAsia="zh-CN"/>
        </w:rPr>
        <w:t>其他支出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其他政府性基金及对应专项债务收入安排的支出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其他地方自行试点项目收益专项债券收入安排的支出</w:t>
      </w:r>
      <w:r>
        <w:rPr>
          <w:rFonts w:hint="eastAsia" w:ascii="仿宋_GB2312" w:eastAsia="仿宋_GB2312" w:cs="仿宋_GB2312"/>
          <w:bCs/>
          <w:kern w:val="0"/>
          <w:sz w:val="32"/>
          <w:szCs w:val="32"/>
          <w:highlight w:val="none"/>
        </w:rPr>
        <w:t>（项）。 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7254</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rPr>
        <w:t>年中追加安排财政拨款支出预算。</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 xml:space="preserve"> 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抗疫特别国债安排的支出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基础设施建设</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重大疫情防控救治体系建设</w:t>
      </w:r>
      <w:r>
        <w:rPr>
          <w:rFonts w:hint="eastAsia" w:ascii="仿宋_GB2312" w:eastAsia="仿宋_GB2312" w:cs="仿宋_GB2312"/>
          <w:bCs/>
          <w:kern w:val="0"/>
          <w:sz w:val="32"/>
          <w:szCs w:val="32"/>
          <w:highlight w:val="none"/>
        </w:rPr>
        <w:t>（项）。 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6012</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rPr>
        <w:t>年中追加安排财政拨款支出预算。</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 xml:space="preserve"> 3</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抗疫特别国债安排的支出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抗疫相关支出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其他抗疫相关支出</w:t>
      </w:r>
      <w:r>
        <w:rPr>
          <w:rFonts w:hint="eastAsia" w:ascii="仿宋_GB2312" w:eastAsia="仿宋_GB2312" w:cs="仿宋_GB2312"/>
          <w:bCs/>
          <w:kern w:val="0"/>
          <w:sz w:val="32"/>
          <w:szCs w:val="32"/>
          <w:highlight w:val="none"/>
        </w:rPr>
        <w:t>（项）。 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1488</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rPr>
        <w:t>年中追加安排财政拨款支出预算。</w:t>
      </w:r>
    </w:p>
    <w:bookmarkEnd w:id="0"/>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国有资本经营预算财政拨款支出情况说明（根据实际情况作表述）</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本单位无此项业务。</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（表述举例：根据财政预算管理要求，我部门组织对2020年度一般公共预算项目支出全面开展绩效自评。其中，一级项目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（二）部门决算中项目绩效自评结果。（如有，根据情况公开本部门预算绩效评价结果）</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）国有资产占用情况。截至年末部门共有车辆</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辆，其中：专业技术用车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137</w:t>
      </w:r>
      <w:r>
        <w:rPr>
          <w:rFonts w:hint="eastAsia" w:ascii="仿宋_GB2312" w:eastAsia="仿宋_GB2312" w:cs="仿宋_GB2312"/>
          <w:kern w:val="0"/>
          <w:sz w:val="32"/>
          <w:szCs w:val="32"/>
        </w:rPr>
        <w:t xml:space="preserve">台（套）。 </w:t>
      </w:r>
    </w:p>
    <w:p>
      <w:pPr>
        <w:spacing w:line="580" w:lineRule="exact"/>
        <w:jc w:val="left"/>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r>
        <w:rPr>
          <w:rFonts w:hint="eastAsia" w:ascii="仿宋_GB2312" w:eastAsia="仿宋_GB2312"/>
          <w:bCs/>
          <w:sz w:val="32"/>
          <w:szCs w:val="32"/>
          <w:lang w:eastAsia="zh-CN"/>
        </w:rPr>
        <w:t>医疗收入、科教收入。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培训收入、实习进修收入、餐费收入。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D4D7F0B"/>
    <w:rsid w:val="0DA86951"/>
    <w:rsid w:val="0E074DDF"/>
    <w:rsid w:val="0F820D3D"/>
    <w:rsid w:val="11007C98"/>
    <w:rsid w:val="124204B5"/>
    <w:rsid w:val="182962AB"/>
    <w:rsid w:val="185B68BC"/>
    <w:rsid w:val="19D073EB"/>
    <w:rsid w:val="1A58788A"/>
    <w:rsid w:val="1AD47DCD"/>
    <w:rsid w:val="1CC31F67"/>
    <w:rsid w:val="1CCB7168"/>
    <w:rsid w:val="1EB974CC"/>
    <w:rsid w:val="24D337DC"/>
    <w:rsid w:val="26460DBA"/>
    <w:rsid w:val="26FF63CE"/>
    <w:rsid w:val="27827858"/>
    <w:rsid w:val="2B6F74EB"/>
    <w:rsid w:val="2C4219FE"/>
    <w:rsid w:val="33DF3BA1"/>
    <w:rsid w:val="34020F86"/>
    <w:rsid w:val="380F0088"/>
    <w:rsid w:val="39A63F06"/>
    <w:rsid w:val="39F645CC"/>
    <w:rsid w:val="3BBD3631"/>
    <w:rsid w:val="3ED1439F"/>
    <w:rsid w:val="3F645D00"/>
    <w:rsid w:val="44500BF5"/>
    <w:rsid w:val="446926B6"/>
    <w:rsid w:val="48374EDC"/>
    <w:rsid w:val="4C256E3D"/>
    <w:rsid w:val="4CB52F0F"/>
    <w:rsid w:val="532F1F9A"/>
    <w:rsid w:val="569C5886"/>
    <w:rsid w:val="5C41418E"/>
    <w:rsid w:val="5E995A3E"/>
    <w:rsid w:val="5EA32385"/>
    <w:rsid w:val="62163194"/>
    <w:rsid w:val="624D024D"/>
    <w:rsid w:val="62CD2A6A"/>
    <w:rsid w:val="650E086A"/>
    <w:rsid w:val="6BAA0708"/>
    <w:rsid w:val="6DCB2388"/>
    <w:rsid w:val="6FDA384B"/>
    <w:rsid w:val="70C0774C"/>
    <w:rsid w:val="7314770E"/>
    <w:rsid w:val="76966F39"/>
    <w:rsid w:val="7C65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TotalTime>
  <ScaleCrop>false</ScaleCrop>
  <LinksUpToDate>false</LinksUpToDate>
  <CharactersWithSpaces>8540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覃诗哲</cp:lastModifiedBy>
  <cp:lastPrinted>2021-07-07T01:10:00Z</cp:lastPrinted>
  <dcterms:modified xsi:type="dcterms:W3CDTF">2021-08-23T01:11:17Z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