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绿化工程处</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柳州市绿化工程处</w:t>
      </w:r>
      <w:r>
        <w:rPr>
          <w:rFonts w:hint="eastAsia" w:ascii="仿宋_GB2312" w:eastAsia="仿宋_GB2312"/>
          <w:b/>
          <w:sz w:val="32"/>
          <w:szCs w:val="32"/>
        </w:rPr>
        <w:t>概况</w:t>
      </w:r>
    </w:p>
    <w:p>
      <w:pPr>
        <w:pStyle w:val="12"/>
        <w:numPr>
          <w:ilvl w:val="0"/>
          <w:numId w:val="1"/>
        </w:numPr>
        <w:ind w:firstLineChars="0"/>
        <w:rPr>
          <w:rFonts w:hint="eastAsia" w:ascii="仿宋_GB2312" w:eastAsia="仿宋_GB2312"/>
          <w:sz w:val="32"/>
          <w:szCs w:val="32"/>
        </w:rPr>
      </w:pPr>
      <w:r>
        <w:rPr>
          <w:rFonts w:hint="eastAsia" w:ascii="仿宋_GB2312" w:eastAsia="仿宋_GB2312"/>
          <w:sz w:val="32"/>
          <w:szCs w:val="32"/>
        </w:rPr>
        <w:t>主要职能</w:t>
      </w:r>
    </w:p>
    <w:p>
      <w:pPr>
        <w:pStyle w:val="12"/>
        <w:numPr>
          <w:ilvl w:val="0"/>
          <w:numId w:val="1"/>
        </w:numPr>
        <w:ind w:firstLineChars="0"/>
        <w:rPr>
          <w:rFonts w:ascii="仿宋_GB2312" w:eastAsia="仿宋_GB2312"/>
          <w:sz w:val="32"/>
          <w:szCs w:val="32"/>
        </w:rPr>
      </w:pPr>
      <w:r>
        <w:rPr>
          <w:rFonts w:hint="eastAsia" w:ascii="仿宋_GB2312" w:eastAsia="仿宋_GB2312"/>
          <w:sz w:val="32"/>
          <w:szCs w:val="32"/>
        </w:rPr>
        <w:t>部门决算单位构成</w:t>
      </w:r>
    </w:p>
    <w:p>
      <w:pPr>
        <w:ind w:firstLine="645"/>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柳州市绿化工程处</w:t>
      </w:r>
      <w:r>
        <w:rPr>
          <w:rFonts w:hint="eastAsia" w:ascii="仿宋_GB2312" w:eastAsia="仿宋_GB2312"/>
          <w:b/>
          <w:sz w:val="32"/>
          <w:szCs w:val="32"/>
        </w:rPr>
        <w:t>2020年部门决算报表</w:t>
      </w:r>
    </w:p>
    <w:p>
      <w:pPr>
        <w:ind w:firstLine="645"/>
        <w:rPr>
          <w:rFonts w:hint="eastAsia" w:ascii="仿宋_GB2312" w:eastAsia="仿宋_GB2312"/>
          <w:sz w:val="32"/>
          <w:szCs w:val="32"/>
          <w:lang w:val="en-US" w:eastAsia="zh-CN"/>
        </w:rPr>
      </w:pPr>
      <w:r>
        <w:rPr>
          <w:rFonts w:hint="eastAsia" w:ascii="仿宋_GB2312" w:eastAsia="仿宋_GB2312"/>
          <w:sz w:val="32"/>
          <w:szCs w:val="32"/>
        </w:rPr>
        <w:t>详见附件</w:t>
      </w:r>
      <w:r>
        <w:rPr>
          <w:rFonts w:hint="eastAsia" w:ascii="仿宋_GB2312" w:eastAsia="仿宋_GB2312"/>
          <w:sz w:val="32"/>
          <w:szCs w:val="32"/>
          <w:lang w:val="en-US" w:eastAsia="zh-CN"/>
        </w:rPr>
        <w:t>1</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柳州市绿化工程处</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sz w:val="32"/>
          <w:szCs w:val="32"/>
        </w:rPr>
      </w:pPr>
      <w:r>
        <w:rPr>
          <w:rFonts w:hint="eastAsia" w:ascii="仿宋_GB2312" w:eastAsia="仿宋_GB2312"/>
          <w:sz w:val="32"/>
          <w:szCs w:val="32"/>
        </w:rPr>
        <w:t>第四部分：名词解释</w:t>
      </w:r>
    </w:p>
    <w:p>
      <w:pPr>
        <w:ind w:firstLine="646"/>
        <w:rPr>
          <w:rFonts w:hint="eastAsia" w:ascii="仿宋_GB2312" w:eastAsia="仿宋_GB2312"/>
          <w:sz w:val="32"/>
          <w:szCs w:val="32"/>
        </w:rPr>
      </w:pPr>
    </w:p>
    <w:p>
      <w:pPr>
        <w:ind w:firstLine="643" w:firstLineChars="200"/>
        <w:rPr>
          <w:rFonts w:ascii="仿宋_GB2312" w:eastAsia="仿宋_GB2312"/>
          <w:b/>
          <w:bCs/>
          <w:sz w:val="32"/>
          <w:szCs w:val="32"/>
        </w:rPr>
      </w:pPr>
      <w:r>
        <w:rPr>
          <w:rFonts w:hint="eastAsia" w:ascii="仿宋_GB2312" w:eastAsia="仿宋_GB2312"/>
          <w:b/>
          <w:bCs/>
          <w:sz w:val="32"/>
          <w:szCs w:val="32"/>
        </w:rPr>
        <w:t>第一部分：</w:t>
      </w:r>
      <w:r>
        <w:rPr>
          <w:rFonts w:hint="eastAsia" w:ascii="仿宋_GB2312" w:hAnsi="黑体" w:eastAsia="仿宋_GB2312"/>
          <w:b/>
          <w:bCs/>
          <w:color w:val="000000"/>
          <w:sz w:val="32"/>
          <w:szCs w:val="32"/>
        </w:rPr>
        <w:t>柳州市绿化工程处</w:t>
      </w:r>
      <w:r>
        <w:rPr>
          <w:rFonts w:hint="eastAsia" w:ascii="仿宋_GB2312" w:eastAsia="仿宋_GB2312"/>
          <w:b/>
          <w:bCs/>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柳州</w:t>
      </w:r>
      <w:r>
        <w:rPr>
          <w:rFonts w:hint="eastAsia" w:ascii="仿宋" w:hAnsi="仿宋" w:eastAsia="仿宋" w:cs="仿宋"/>
          <w:sz w:val="32"/>
          <w:szCs w:val="32"/>
        </w:rPr>
        <w:t>市绿化工程处由市林业和园林局统一领导和管理。本处贯彻落实党中央、自治区党委、市委和市林业和园林局关于园林绿化工作的方针政策和决策部署，在履职过程中坚持和加强党对园林绿化工作的集中统一领导。主要职责是：</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（1）负责柳州市城市街道绿化养护和管理，现管辖的绿地面积为2876704.43平方米。</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（2）负责东堤游园、天山公园的养护管理，代管鹅山公园；</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（3）负责柳州市近郊防护林地的绿化养护管理和防火工作。</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（4）负责管辖道路因建设需要移植的现场勘察，执行移植砍伐任务，负责管辖道路危树、死树的砍伐等工作。</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（5）负责管辖范围内的政府热线和群众来电反映及自然灾害造成的树木险情的排除工作。</w:t>
      </w:r>
    </w:p>
    <w:p>
      <w:pPr>
        <w:spacing w:line="600" w:lineRule="exact"/>
        <w:ind w:firstLine="640" w:firstLineChars="200"/>
        <w:rPr>
          <w:rFonts w:ascii="仿宋_GB2312" w:hAnsi="华文仿宋" w:eastAsia="仿宋_GB2312"/>
          <w:bCs/>
          <w:color w:val="000000"/>
          <w:sz w:val="32"/>
          <w:szCs w:val="32"/>
        </w:rPr>
      </w:pPr>
      <w:r>
        <w:rPr>
          <w:rFonts w:hint="eastAsia" w:ascii="仿宋" w:hAnsi="仿宋" w:eastAsia="仿宋" w:cs="仿宋"/>
          <w:sz w:val="32"/>
          <w:szCs w:val="32"/>
        </w:rPr>
        <w:t>（6）协助市林业和园林局完成相关工作任务。完成市委、市政府交办的其他任务。</w:t>
      </w:r>
    </w:p>
    <w:p>
      <w:pPr>
        <w:pStyle w:val="5"/>
        <w:numPr>
          <w:ilvl w:val="0"/>
          <w:numId w:val="2"/>
        </w:numPr>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机构设置情况</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柳州市绿化工程处为林业和园林局管理的副处</w:t>
      </w:r>
      <w:r>
        <w:rPr>
          <w:rFonts w:hint="eastAsia" w:ascii="仿宋_GB2312" w:hAnsi="华文仿宋" w:eastAsia="仿宋_GB2312"/>
          <w:sz w:val="32"/>
          <w:szCs w:val="32"/>
        </w:rPr>
        <w:t>级公益二类差额拨款事业单位。</w:t>
      </w:r>
      <w:r>
        <w:rPr>
          <w:rFonts w:hint="eastAsia" w:ascii="仿宋" w:hAnsi="仿宋" w:eastAsia="仿宋" w:cs="仿宋"/>
          <w:sz w:val="32"/>
          <w:szCs w:val="32"/>
        </w:rPr>
        <w:t>下设10个内设机构，内设机构的职责如下：</w:t>
      </w:r>
    </w:p>
    <w:p>
      <w:pPr>
        <w:spacing w:line="580" w:lineRule="exact"/>
        <w:ind w:firstLine="640" w:firstLineChars="200"/>
        <w:rPr>
          <w:rFonts w:ascii="仿宋" w:hAnsi="仿宋" w:eastAsia="仿宋" w:cs="仿宋"/>
          <w:kern w:val="0"/>
          <w:sz w:val="32"/>
          <w:szCs w:val="32"/>
        </w:rPr>
      </w:pPr>
      <w:r>
        <w:rPr>
          <w:rFonts w:hint="eastAsia" w:ascii="仿宋" w:hAnsi="仿宋" w:eastAsia="仿宋" w:cs="仿宋"/>
          <w:sz w:val="32"/>
          <w:szCs w:val="32"/>
        </w:rPr>
        <w:t>（1）办公室。</w:t>
      </w:r>
      <w:r>
        <w:rPr>
          <w:rFonts w:hint="eastAsia" w:ascii="仿宋" w:hAnsi="仿宋" w:eastAsia="仿宋" w:cs="仿宋"/>
          <w:kern w:val="0"/>
          <w:sz w:val="32"/>
          <w:szCs w:val="32"/>
        </w:rPr>
        <w:t>负责党务、行政事务、组织、宣传、文秘、劳动、人事、档案、房改、食管、仓库、接待、信访和老干部工作等工作。</w:t>
      </w:r>
    </w:p>
    <w:p>
      <w:pPr>
        <w:spacing w:line="580" w:lineRule="exact"/>
        <w:ind w:firstLine="640" w:firstLineChars="200"/>
        <w:rPr>
          <w:rFonts w:ascii="仿宋" w:hAnsi="仿宋" w:eastAsia="仿宋" w:cs="仿宋"/>
          <w:kern w:val="0"/>
          <w:sz w:val="32"/>
          <w:szCs w:val="32"/>
        </w:rPr>
      </w:pPr>
      <w:r>
        <w:rPr>
          <w:rFonts w:hint="eastAsia" w:ascii="仿宋" w:hAnsi="仿宋" w:eastAsia="仿宋" w:cs="仿宋"/>
          <w:sz w:val="32"/>
          <w:szCs w:val="32"/>
        </w:rPr>
        <w:t>（2）计财科。</w:t>
      </w:r>
      <w:r>
        <w:rPr>
          <w:rFonts w:hint="eastAsia" w:ascii="仿宋" w:hAnsi="仿宋" w:eastAsia="仿宋" w:cs="仿宋"/>
          <w:kern w:val="0"/>
          <w:sz w:val="32"/>
          <w:szCs w:val="32"/>
        </w:rPr>
        <w:t>负责全处财务管理、编制财务收支计划、建立财务制度等工作。</w:t>
      </w:r>
    </w:p>
    <w:p>
      <w:pPr>
        <w:spacing w:line="58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（3）生产科。</w:t>
      </w:r>
      <w:r>
        <w:rPr>
          <w:rFonts w:hint="eastAsia" w:ascii="仿宋" w:hAnsi="仿宋" w:eastAsia="仿宋" w:cs="仿宋"/>
          <w:kern w:val="0"/>
          <w:sz w:val="32"/>
          <w:szCs w:val="32"/>
        </w:rPr>
        <w:t>负责全处绿化生产、园容卫生、绿化种植、安全生产、技术创新、苗木花卉产销等方面的管理工作。</w:t>
      </w:r>
    </w:p>
    <w:p>
      <w:pPr>
        <w:spacing w:line="580" w:lineRule="exact"/>
        <w:ind w:firstLine="640" w:firstLineChars="200"/>
        <w:rPr>
          <w:rFonts w:ascii="仿宋" w:hAnsi="仿宋" w:eastAsia="仿宋" w:cs="仿宋"/>
          <w:kern w:val="0"/>
          <w:sz w:val="32"/>
          <w:szCs w:val="32"/>
        </w:rPr>
      </w:pPr>
      <w:r>
        <w:rPr>
          <w:rFonts w:hint="eastAsia" w:ascii="仿宋" w:hAnsi="仿宋" w:eastAsia="仿宋" w:cs="仿宋"/>
          <w:sz w:val="32"/>
          <w:szCs w:val="32"/>
        </w:rPr>
        <w:t>（4）管理科。</w:t>
      </w:r>
      <w:r>
        <w:rPr>
          <w:rFonts w:hint="eastAsia" w:ascii="仿宋" w:hAnsi="仿宋" w:eastAsia="仿宋" w:cs="仿宋"/>
          <w:kern w:val="0"/>
          <w:sz w:val="32"/>
          <w:szCs w:val="32"/>
        </w:rPr>
        <w:t>负责本处管辖街道树木移植、砍伐、修枝的现场勘察审批工作以及审批后的移植砍伐、行道树的修枝工作。负责园林植物枝条回收处理及推广应用。负责全处建设、维修和投资计划的编制，建设项目招投标管理、预决算审核、施工进度和施工安全工作。负责单位的服务经营工作。</w:t>
      </w:r>
    </w:p>
    <w:p>
      <w:pPr>
        <w:spacing w:line="580" w:lineRule="exact"/>
        <w:ind w:firstLine="640" w:firstLineChars="200"/>
        <w:rPr>
          <w:rFonts w:ascii="仿宋" w:hAnsi="仿宋" w:eastAsia="仿宋" w:cs="仿宋"/>
          <w:kern w:val="0"/>
          <w:sz w:val="32"/>
          <w:szCs w:val="32"/>
        </w:rPr>
      </w:pPr>
      <w:r>
        <w:rPr>
          <w:rFonts w:hint="eastAsia" w:ascii="仿宋" w:hAnsi="仿宋" w:eastAsia="仿宋" w:cs="仿宋"/>
          <w:sz w:val="32"/>
          <w:szCs w:val="32"/>
        </w:rPr>
        <w:t>（5）</w:t>
      </w:r>
      <w:r>
        <w:rPr>
          <w:rFonts w:hint="eastAsia" w:ascii="仿宋" w:hAnsi="仿宋" w:eastAsia="仿宋" w:cs="仿宋"/>
          <w:kern w:val="0"/>
          <w:sz w:val="32"/>
          <w:szCs w:val="32"/>
        </w:rPr>
        <w:t>机务队。负责全处交通运输、安全、车辆管理和使用、车管业务办理。做好车辆等机械设备保养维修、燃油使用计划等工作。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kern w:val="0"/>
          <w:sz w:val="32"/>
          <w:szCs w:val="32"/>
        </w:rPr>
        <w:t>河东绿化队。负责所管辖城市主干道、小游园的绿地养护、绿地保洁、园容卫生、基建设施巡查、人员管理、案件处理等工作。</w:t>
      </w:r>
    </w:p>
    <w:p>
      <w:pPr>
        <w:spacing w:line="580" w:lineRule="exact"/>
        <w:ind w:firstLine="640" w:firstLineChars="200"/>
        <w:rPr>
          <w:rFonts w:ascii="仿宋" w:hAnsi="仿宋" w:eastAsia="仿宋" w:cs="仿宋"/>
          <w:kern w:val="0"/>
          <w:sz w:val="32"/>
          <w:szCs w:val="32"/>
        </w:rPr>
      </w:pPr>
      <w:r>
        <w:rPr>
          <w:rFonts w:hint="eastAsia" w:ascii="仿宋" w:hAnsi="仿宋" w:eastAsia="仿宋" w:cs="仿宋"/>
          <w:sz w:val="32"/>
          <w:szCs w:val="32"/>
        </w:rPr>
        <w:t>（7）</w:t>
      </w:r>
      <w:r>
        <w:rPr>
          <w:rFonts w:hint="eastAsia" w:ascii="仿宋" w:hAnsi="仿宋" w:eastAsia="仿宋" w:cs="仿宋"/>
          <w:kern w:val="0"/>
          <w:sz w:val="32"/>
          <w:szCs w:val="32"/>
        </w:rPr>
        <w:t>河西绿化队。负责所管辖城市主干道、小游园的绿地养护、绿地保洁、园容卫生、基建设施巡查、人员管理、案件处理等工作。</w:t>
      </w:r>
    </w:p>
    <w:p>
      <w:pPr>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（8）河南绿化队。负责所管辖城市主干道的绿地养护、绿地保洁、基建设施巡查、人员管理、案件处理等工作。</w:t>
      </w:r>
    </w:p>
    <w:p>
      <w:pPr>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（9）河北绿化队。负责所管辖城市主干道的绿地养护、绿地保洁、基建设施巡查、人员管理、案件处理等工作。</w:t>
      </w:r>
    </w:p>
    <w:p>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（10）东堤游园。负责所管辖城市主干道、小游园的绿地养护、绿地保洁、园容卫生、基建设施巡查、人员管理</w:t>
      </w:r>
      <w:r>
        <w:rPr>
          <w:rFonts w:hint="eastAsia" w:ascii="宋体" w:hAnsi="宋体" w:cs="宋体"/>
          <w:kern w:val="0"/>
          <w:sz w:val="32"/>
          <w:szCs w:val="32"/>
        </w:rPr>
        <w:t>、</w:t>
      </w:r>
      <w:r>
        <w:rPr>
          <w:rFonts w:hint="eastAsia" w:ascii="仿宋" w:hAnsi="仿宋" w:eastAsia="仿宋" w:cs="仿宋"/>
          <w:kern w:val="0"/>
          <w:sz w:val="32"/>
          <w:szCs w:val="32"/>
        </w:rPr>
        <w:t>案件处理等工作。</w:t>
      </w:r>
    </w:p>
    <w:p>
      <w:pPr>
        <w:ind w:firstLine="640" w:firstLineChars="200"/>
        <w:rPr>
          <w:rFonts w:hint="eastAsia" w:ascii="仿宋_GB2312" w:eastAsia="仿宋_GB2312"/>
          <w:sz w:val="32"/>
          <w:szCs w:val="32"/>
        </w:rPr>
      </w:pPr>
      <w:r>
        <w:rPr>
          <w:rFonts w:hint="eastAsia" w:ascii="仿宋_GB2312" w:eastAsia="仿宋_GB2312"/>
          <w:sz w:val="32"/>
          <w:szCs w:val="32"/>
        </w:rPr>
        <w:t>二、部门决算单位构成</w:t>
      </w:r>
    </w:p>
    <w:p>
      <w:pPr>
        <w:ind w:firstLine="640" w:firstLineChars="200"/>
        <w:rPr>
          <w:rFonts w:ascii="仿宋_GB2312" w:eastAsia="仿宋_GB2312"/>
          <w:sz w:val="32"/>
          <w:szCs w:val="32"/>
        </w:rPr>
      </w:pPr>
      <w:r>
        <w:rPr>
          <w:rFonts w:hint="eastAsia" w:ascii="仿宋_GB2312" w:eastAsia="仿宋_GB2312"/>
          <w:sz w:val="32"/>
          <w:szCs w:val="32"/>
        </w:rPr>
        <w:t>柳州市绿化工程处 单位性质：</w:t>
      </w:r>
      <w:r>
        <w:rPr>
          <w:rFonts w:hint="eastAsia" w:ascii="仿宋_GB2312" w:hAnsi="华文仿宋" w:eastAsia="仿宋_GB2312"/>
          <w:sz w:val="32"/>
          <w:szCs w:val="32"/>
        </w:rPr>
        <w:t>公益二类差额拨款事业单位</w:t>
      </w:r>
    </w:p>
    <w:p>
      <w:pPr>
        <w:rPr>
          <w:rFonts w:hint="eastAsia" w:ascii="仿宋_GB2312" w:eastAsia="仿宋_GB2312"/>
          <w:b/>
          <w:sz w:val="32"/>
          <w:szCs w:val="32"/>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柳州市绿化工程处</w:t>
      </w:r>
      <w:r>
        <w:rPr>
          <w:rFonts w:hint="eastAsia" w:ascii="仿宋_GB2312" w:eastAsia="仿宋_GB2312"/>
          <w:b/>
          <w:sz w:val="32"/>
          <w:szCs w:val="32"/>
        </w:rPr>
        <w:t xml:space="preserve"> 2020年部门决算报表</w:t>
      </w:r>
    </w:p>
    <w:p>
      <w:pPr>
        <w:rPr>
          <w:rFonts w:hint="eastAsia" w:ascii="仿宋_GB2312" w:hAnsi="黑体" w:eastAsia="仿宋_GB2312"/>
          <w:sz w:val="32"/>
          <w:szCs w:val="32"/>
          <w:lang w:val="en-US" w:eastAsia="zh-CN"/>
        </w:rPr>
      </w:pPr>
      <w:r>
        <w:rPr>
          <w:rFonts w:hint="eastAsia" w:ascii="仿宋_GB2312" w:hAnsi="黑体" w:eastAsia="仿宋_GB2312"/>
          <w:sz w:val="32"/>
          <w:szCs w:val="32"/>
        </w:rPr>
        <w:t>详见附件</w:t>
      </w:r>
      <w:r>
        <w:rPr>
          <w:rFonts w:hint="eastAsia" w:ascii="仿宋_GB2312" w:hAnsi="黑体" w:eastAsia="仿宋_GB2312"/>
          <w:sz w:val="32"/>
          <w:szCs w:val="32"/>
          <w:lang w:val="en-US" w:eastAsia="zh-CN"/>
        </w:rPr>
        <w:t>1</w:t>
      </w:r>
    </w:p>
    <w:p>
      <w:pPr>
        <w:spacing w:line="580" w:lineRule="exact"/>
        <w:rPr>
          <w:rFonts w:hint="eastAsia" w:ascii="仿宋_GB2312" w:eastAsia="仿宋_GB2312"/>
          <w:b/>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柳州市绿化工程处</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ind w:firstLine="321" w:firstLineChars="100"/>
        <w:rPr>
          <w:rFonts w:ascii="仿宋" w:hAnsi="仿宋" w:eastAsia="仿宋"/>
          <w:sz w:val="32"/>
          <w:szCs w:val="32"/>
        </w:rPr>
      </w:pPr>
      <w:r>
        <w:rPr>
          <w:rFonts w:hint="eastAsia" w:ascii="仿宋_GB2312" w:eastAsia="仿宋_GB2312" w:cs="仿宋_GB2312"/>
          <w:b/>
          <w:kern w:val="0"/>
          <w:sz w:val="32"/>
          <w:szCs w:val="32"/>
        </w:rPr>
        <w:t xml:space="preserve"> </w:t>
      </w:r>
      <w:r>
        <w:rPr>
          <w:rFonts w:hint="eastAsia" w:ascii="仿宋" w:hAnsi="仿宋" w:eastAsia="仿宋"/>
          <w:sz w:val="32"/>
          <w:szCs w:val="32"/>
        </w:rPr>
        <w:t xml:space="preserve"> 2020年度收入总计3960.81万元，支出总计3960.81万元，与2019年相比，收、支分别增加507.03万元，507.03万元；分别增长14.68%，14.68%。</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ind w:firstLine="640" w:firstLineChars="200"/>
        <w:rPr>
          <w:rFonts w:ascii="仿宋" w:hAnsi="仿宋" w:eastAsia="仿宋"/>
          <w:sz w:val="32"/>
          <w:szCs w:val="32"/>
        </w:rPr>
      </w:pPr>
      <w:r>
        <w:rPr>
          <w:rFonts w:hint="eastAsia" w:ascii="仿宋" w:hAnsi="仿宋" w:eastAsia="仿宋"/>
          <w:sz w:val="32"/>
          <w:szCs w:val="32"/>
        </w:rPr>
        <w:t>本年收入总计3960.81万元，其中：一般公共预算财政拨款收入2243.5万元；占比56.64% ；政府基金预算财政拨款收入1492.11万元；占比37.67%；</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 w:hAnsi="仿宋" w:eastAsia="仿宋"/>
          <w:sz w:val="32"/>
          <w:szCs w:val="32"/>
        </w:rPr>
        <w:t>上级补助收入0万元，占比0</w:t>
      </w:r>
      <w:r>
        <w:rPr>
          <w:rFonts w:hint="eastAsia" w:ascii="仿宋" w:hAnsi="仿宋" w:eastAsia="仿宋"/>
          <w:sz w:val="32"/>
          <w:szCs w:val="32"/>
          <w:lang w:val="en-US" w:eastAsia="zh-CN"/>
        </w:rPr>
        <w:t>%</w:t>
      </w:r>
      <w:r>
        <w:rPr>
          <w:rFonts w:hint="eastAsia" w:ascii="仿宋" w:hAnsi="仿宋" w:eastAsia="仿宋"/>
          <w:sz w:val="32"/>
          <w:szCs w:val="32"/>
        </w:rPr>
        <w:t>；事业收入0万元，占比0</w:t>
      </w:r>
      <w:r>
        <w:rPr>
          <w:rFonts w:hint="eastAsia" w:ascii="仿宋" w:hAnsi="仿宋" w:eastAsia="仿宋"/>
          <w:sz w:val="32"/>
          <w:szCs w:val="32"/>
          <w:lang w:val="en-US" w:eastAsia="zh-CN"/>
        </w:rPr>
        <w:t>%</w:t>
      </w:r>
      <w:r>
        <w:rPr>
          <w:rFonts w:hint="eastAsia" w:ascii="仿宋" w:hAnsi="仿宋" w:eastAsia="仿宋"/>
          <w:sz w:val="32"/>
          <w:szCs w:val="32"/>
        </w:rPr>
        <w:t xml:space="preserve"> ；事业单位经营收入0万元，占比0</w:t>
      </w:r>
      <w:r>
        <w:rPr>
          <w:rFonts w:hint="eastAsia" w:ascii="仿宋" w:hAnsi="仿宋" w:eastAsia="仿宋"/>
          <w:sz w:val="32"/>
          <w:szCs w:val="32"/>
          <w:lang w:val="en-US" w:eastAsia="zh-CN"/>
        </w:rPr>
        <w:t>%</w:t>
      </w:r>
      <w:r>
        <w:rPr>
          <w:rFonts w:hint="eastAsia" w:ascii="仿宋" w:hAnsi="仿宋" w:eastAsia="仿宋"/>
          <w:sz w:val="32"/>
          <w:szCs w:val="32"/>
        </w:rPr>
        <w:t>；其他收入225.2万元，占比5.69%。</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ind w:firstLine="640" w:firstLineChars="200"/>
        <w:rPr>
          <w:rFonts w:ascii="仿宋" w:hAnsi="仿宋" w:eastAsia="仿宋"/>
          <w:sz w:val="32"/>
          <w:szCs w:val="32"/>
        </w:rPr>
      </w:pPr>
      <w:r>
        <w:rPr>
          <w:rFonts w:hint="eastAsia" w:ascii="仿宋" w:hAnsi="仿宋" w:eastAsia="仿宋"/>
          <w:sz w:val="32"/>
          <w:szCs w:val="32"/>
        </w:rPr>
        <w:t>本年支出合计 3960.81万元，其中：基本支出 1119.54万元，占28.27 %；项目支出 2841.27万元， 占71.73%。</w:t>
      </w:r>
      <w:r>
        <w:rPr>
          <w:rFonts w:hint="eastAsia" w:ascii="仿宋_GB2312" w:eastAsia="仿宋_GB2312" w:cs="仿宋_GB2312"/>
          <w:bCs/>
          <w:kern w:val="0"/>
          <w:sz w:val="32"/>
          <w:szCs w:val="32"/>
        </w:rPr>
        <w:t>经营支出0万元，占 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eastAsia" w:ascii="仿宋" w:hAnsi="仿宋" w:eastAsia="仿宋"/>
          <w:sz w:val="32"/>
          <w:szCs w:val="32"/>
        </w:rPr>
      </w:pPr>
      <w:r>
        <w:rPr>
          <w:rFonts w:hint="eastAsia" w:ascii="仿宋" w:hAnsi="仿宋" w:eastAsia="仿宋"/>
          <w:sz w:val="32"/>
          <w:szCs w:val="32"/>
        </w:rPr>
        <w:t>本部门 2020年度财政拨款收、支总决算 3960.81万元、3960.81万元。与 2019 年相比，财政拨款收、支总计各增加 507.03万元，增长14.68%。</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ind w:firstLine="800" w:firstLineChars="250"/>
        <w:rPr>
          <w:rFonts w:ascii="仿宋" w:hAnsi="仿宋" w:eastAsia="仿宋"/>
          <w:sz w:val="32"/>
          <w:szCs w:val="32"/>
        </w:rPr>
      </w:pPr>
      <w:r>
        <w:rPr>
          <w:rFonts w:hint="eastAsia" w:ascii="仿宋" w:hAnsi="仿宋" w:eastAsia="仿宋"/>
          <w:sz w:val="32"/>
          <w:szCs w:val="32"/>
        </w:rPr>
        <w:t xml:space="preserve">本部门 2020年度财政拨款支出 </w:t>
      </w:r>
      <w:r>
        <w:rPr>
          <w:rFonts w:hint="eastAsia" w:ascii="仿宋" w:hAnsi="仿宋" w:eastAsia="仿宋"/>
          <w:sz w:val="32"/>
          <w:szCs w:val="32"/>
          <w:lang w:val="en-US" w:eastAsia="zh-CN"/>
        </w:rPr>
        <w:t>2243.5</w:t>
      </w:r>
      <w:r>
        <w:rPr>
          <w:rFonts w:hint="eastAsia" w:ascii="仿宋" w:hAnsi="仿宋" w:eastAsia="仿宋"/>
          <w:sz w:val="32"/>
          <w:szCs w:val="32"/>
        </w:rPr>
        <w:t xml:space="preserve"> 万元，占本年支出合计的 </w:t>
      </w:r>
      <w:r>
        <w:rPr>
          <w:rFonts w:hint="eastAsia" w:ascii="仿宋" w:hAnsi="仿宋" w:eastAsia="仿宋"/>
          <w:sz w:val="32"/>
          <w:szCs w:val="32"/>
          <w:lang w:val="en-US" w:eastAsia="zh-CN"/>
        </w:rPr>
        <w:t>56.64</w:t>
      </w:r>
      <w:r>
        <w:rPr>
          <w:rFonts w:hint="eastAsia" w:ascii="仿宋" w:hAnsi="仿宋" w:eastAsia="仿宋"/>
          <w:sz w:val="32"/>
          <w:szCs w:val="32"/>
        </w:rPr>
        <w:t>%。与 2019 年相比，财政拨款支出增</w:t>
      </w:r>
      <w:r>
        <w:rPr>
          <w:rFonts w:hint="eastAsia" w:ascii="仿宋" w:hAnsi="仿宋" w:eastAsia="仿宋"/>
          <w:sz w:val="32"/>
          <w:szCs w:val="32"/>
          <w:lang w:val="en-US" w:eastAsia="zh-CN"/>
        </w:rPr>
        <w:t>385.34</w:t>
      </w:r>
      <w:r>
        <w:rPr>
          <w:rFonts w:hint="eastAsia" w:ascii="仿宋" w:hAnsi="仿宋" w:eastAsia="仿宋"/>
          <w:sz w:val="32"/>
          <w:szCs w:val="32"/>
        </w:rPr>
        <w:t>万元，增加</w:t>
      </w:r>
      <w:r>
        <w:rPr>
          <w:rFonts w:hint="eastAsia" w:ascii="仿宋" w:hAnsi="仿宋" w:eastAsia="仿宋"/>
          <w:sz w:val="32"/>
          <w:szCs w:val="32"/>
          <w:lang w:val="en-US" w:eastAsia="zh-CN"/>
        </w:rPr>
        <w:t>20.74</w:t>
      </w:r>
      <w:r>
        <w:rPr>
          <w:rFonts w:hint="eastAsia" w:ascii="仿宋" w:hAnsi="仿宋" w:eastAsia="仿宋"/>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w:t>
      </w:r>
      <w:r>
        <w:rPr>
          <w:rFonts w:hint="eastAsia" w:ascii="仿宋" w:hAnsi="仿宋" w:eastAsia="仿宋"/>
          <w:sz w:val="32"/>
          <w:szCs w:val="32"/>
          <w:lang w:val="en-US" w:eastAsia="zh-CN"/>
        </w:rPr>
        <w:t>2243.5</w:t>
      </w:r>
      <w:r>
        <w:rPr>
          <w:rFonts w:hint="eastAsia" w:ascii="仿宋_GB2312" w:eastAsia="仿宋_GB2312" w:cs="仿宋_GB2312"/>
          <w:bCs/>
          <w:kern w:val="0"/>
          <w:sz w:val="32"/>
          <w:szCs w:val="32"/>
        </w:rPr>
        <w:t>万元，主要用于以下方面：一般公共服务（类）支出</w:t>
      </w:r>
      <w:r>
        <w:rPr>
          <w:rFonts w:hint="eastAsia" w:ascii="仿宋" w:hAnsi="仿宋" w:eastAsia="仿宋"/>
          <w:sz w:val="32"/>
          <w:szCs w:val="32"/>
          <w:lang w:val="en-US" w:eastAsia="zh-CN"/>
        </w:rPr>
        <w:t>2243.5</w:t>
      </w:r>
      <w:r>
        <w:rPr>
          <w:rFonts w:hint="eastAsia" w:ascii="仿宋_GB2312" w:eastAsia="仿宋_GB2312" w:cs="仿宋_GB2312"/>
          <w:bCs/>
          <w:kern w:val="0"/>
          <w:sz w:val="32"/>
          <w:szCs w:val="32"/>
        </w:rPr>
        <w:t xml:space="preserve">万元， 占100%；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 w:hAnsi="仿宋" w:eastAsia="仿宋"/>
          <w:sz w:val="32"/>
          <w:szCs w:val="32"/>
          <w:lang w:val="en-US" w:eastAsia="zh-CN"/>
        </w:rPr>
        <w:t>0</w:t>
      </w:r>
      <w:r>
        <w:rPr>
          <w:rFonts w:hint="eastAsia" w:ascii="仿宋_GB2312" w:eastAsia="仿宋_GB2312" w:cs="仿宋_GB2312"/>
          <w:bCs/>
          <w:kern w:val="0"/>
          <w:sz w:val="32"/>
          <w:szCs w:val="32"/>
        </w:rPr>
        <w:t>万元，支出决算为</w:t>
      </w:r>
      <w:r>
        <w:rPr>
          <w:rFonts w:hint="eastAsia" w:ascii="仿宋" w:hAnsi="仿宋" w:eastAsia="仿宋"/>
          <w:sz w:val="32"/>
          <w:szCs w:val="32"/>
          <w:lang w:val="en-US" w:eastAsia="zh-CN"/>
        </w:rPr>
        <w:t>2243.5</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%。决算数大于预算数的主要原因：一是年中追加安排财政拨款支出预算，涉及项目有有公园基础设施维护、街道绿化养护、义务植树、古树名木保护及危树处理及病虫害防治、抗洪清淤、摆花。其中：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1.城乡社区（类）城乡社区公共设施（款）其他城乡社区公共设施支出（项）。 年初预算为</w:t>
      </w:r>
      <w:r>
        <w:rPr>
          <w:rFonts w:hint="eastAsia" w:ascii="仿宋" w:hAnsi="仿宋" w:eastAsia="仿宋"/>
          <w:sz w:val="32"/>
          <w:szCs w:val="32"/>
        </w:rPr>
        <w:t>0</w:t>
      </w:r>
      <w:r>
        <w:rPr>
          <w:rFonts w:hint="eastAsia" w:ascii="仿宋_GB2312" w:eastAsia="仿宋_GB2312" w:cs="仿宋_GB2312"/>
          <w:bCs/>
          <w:kern w:val="0"/>
          <w:sz w:val="32"/>
          <w:szCs w:val="32"/>
        </w:rPr>
        <w:t>万元，支出决算为325.59万元。决算数大于预算数的主要原因是年中追加安排财政拨款支出预算，涉及项目有公园基础设施维护、街道绿化养护等。</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2.城乡社区（类）城乡环境卫生（款）城乡环境卫生（项）。 年初预算为0万元，支出决算为1</w:t>
      </w:r>
      <w:r>
        <w:rPr>
          <w:rFonts w:hint="eastAsia" w:ascii="仿宋_GB2312" w:eastAsia="仿宋_GB2312" w:cs="仿宋_GB2312"/>
          <w:bCs/>
          <w:kern w:val="0"/>
          <w:sz w:val="32"/>
          <w:szCs w:val="32"/>
          <w:lang w:val="en-US" w:eastAsia="zh-CN"/>
        </w:rPr>
        <w:t>917.91</w:t>
      </w:r>
      <w:r>
        <w:rPr>
          <w:rFonts w:hint="eastAsia" w:ascii="仿宋_GB2312" w:eastAsia="仿宋_GB2312" w:cs="仿宋_GB2312"/>
          <w:bCs/>
          <w:kern w:val="0"/>
          <w:sz w:val="32"/>
          <w:szCs w:val="32"/>
        </w:rPr>
        <w:t>万元。涉及项目有义务植树、古树名木保护及危树处理及病虫害防治、抗洪清淤、摆花等项目。</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 w:hAnsi="仿宋" w:eastAsia="仿宋"/>
          <w:sz w:val="32"/>
          <w:szCs w:val="32"/>
        </w:rPr>
        <w:t>1119.54</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 w:hAnsi="仿宋" w:eastAsia="仿宋"/>
          <w:sz w:val="32"/>
          <w:szCs w:val="32"/>
        </w:rPr>
        <w:t>121.79</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hint="eastAsia" w:ascii="仿宋" w:hAnsi="仿宋" w:eastAsia="仿宋"/>
          <w:sz w:val="32"/>
          <w:szCs w:val="32"/>
        </w:rPr>
        <w:t>997.75</w:t>
      </w:r>
      <w:r>
        <w:rPr>
          <w:rFonts w:hint="eastAsia" w:ascii="仿宋_GB2312" w:eastAsia="仿宋_GB2312" w:cs="仿宋_GB2312"/>
          <w:bCs/>
          <w:kern w:val="0"/>
          <w:sz w:val="32"/>
          <w:szCs w:val="32"/>
        </w:rPr>
        <w:t>万元，主要 包括：办公费、印刷费、咨询费、手续费、水费、电费、邮电 费、取暖费、物业管理费、差旅费、因公出国（境）费用、维 修（护）费、租赁费、会议费、培训费、公务接待费、专用材料费、劳务费、委托业务费、工会经费、福利费、公务用车运行维护费、其他交通费用、税金及附加费用、其他商品和服务支出、办公设备购置、专用设备购置、信息网络及软件购置更新等</w:t>
      </w:r>
    </w:p>
    <w:p>
      <w:pPr>
        <w:autoSpaceDE w:val="0"/>
        <w:autoSpaceDN w:val="0"/>
        <w:adjustRightInd w:val="0"/>
        <w:spacing w:line="580" w:lineRule="exact"/>
        <w:ind w:firstLine="643" w:firstLineChars="200"/>
        <w:jc w:val="left"/>
        <w:rPr>
          <w:rFonts w:ascii="仿宋_GB2312" w:eastAsia="仿宋_GB2312" w:cs="仿宋_GB2312"/>
          <w:b/>
          <w:bCs/>
          <w:kern w:val="0"/>
          <w:sz w:val="32"/>
          <w:szCs w:val="32"/>
        </w:rPr>
      </w:pPr>
      <w:r>
        <w:rPr>
          <w:rFonts w:hint="eastAsia" w:ascii="仿宋_GB2312" w:eastAsia="仿宋_GB2312" w:cs="仿宋_GB2312"/>
          <w:b/>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ind w:firstLine="960" w:firstLineChars="300"/>
        <w:rPr>
          <w:rFonts w:ascii="仿宋_GB2312" w:eastAsia="仿宋_GB2312" w:cs="仿宋_GB2312"/>
          <w:bCs/>
          <w:kern w:val="0"/>
          <w:sz w:val="32"/>
          <w:szCs w:val="32"/>
        </w:rPr>
      </w:pPr>
      <w:r>
        <w:rPr>
          <w:rFonts w:hint="eastAsia" w:ascii="仿宋" w:hAnsi="仿宋" w:eastAsia="仿宋"/>
          <w:sz w:val="32"/>
          <w:szCs w:val="32"/>
        </w:rPr>
        <w:t>2020 年度“三公”经费财政拨款支出预算为4.1万元，支出决算为2.9万元，完成预算的70.73%，公务用车购置及运行费支出决算为2万元，完成预算的100%；公务接待费支出决算为0.9万元，</w:t>
      </w:r>
      <w:r>
        <w:rPr>
          <w:rFonts w:hint="eastAsia" w:ascii="仿宋_GB2312" w:eastAsia="仿宋_GB2312" w:cs="仿宋_GB2312"/>
          <w:bCs/>
          <w:kern w:val="0"/>
          <w:sz w:val="32"/>
          <w:szCs w:val="32"/>
        </w:rPr>
        <w:t>完成预算的42.86%</w:t>
      </w:r>
      <w:r>
        <w:rPr>
          <w:rFonts w:hint="eastAsia" w:ascii="仿宋" w:hAnsi="仿宋" w:eastAsia="仿宋"/>
          <w:sz w:val="32"/>
          <w:szCs w:val="32"/>
        </w:rPr>
        <w:t>。</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2020年度“三公”经费财政拨款支出决算数比2019年增加0.9万元，增加31 %，；公务接待费支出决算增加0.9万元，增加31%。</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2020年度“三公”经费财政拨款支出决算中，公务用车购置及运行费 支出决算2万元，占69 %；公务接待费支出决算0.9万元，占31 %。具体情况如下：  </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1.公务用车购置及运行费支出2万元。其中：公务用车运行支出2万元。主要用于车辆运行费支出。</w:t>
      </w:r>
      <w:r>
        <w:rPr>
          <w:rFonts w:hint="eastAsia" w:ascii="仿宋_GB2312" w:eastAsia="仿宋_GB2312"/>
          <w:color w:val="333333"/>
          <w:sz w:val="34"/>
          <w:szCs w:val="34"/>
          <w:shd w:val="clear" w:color="auto" w:fill="FFFFFF"/>
        </w:rPr>
        <w:t>单位开支财政拨款的公务用车保有量为1辆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3.公务接待费支出0.9万元。其中：</w:t>
      </w:r>
    </w:p>
    <w:p>
      <w:pPr>
        <w:autoSpaceDE w:val="0"/>
        <w:autoSpaceDN w:val="0"/>
        <w:adjustRightInd w:val="0"/>
        <w:spacing w:line="580" w:lineRule="exact"/>
        <w:ind w:firstLine="630"/>
        <w:jc w:val="left"/>
        <w:rPr>
          <w:rFonts w:hint="eastAsia" w:ascii="仿宋_GB2312" w:eastAsia="仿宋_GB2312" w:cs="仿宋_GB2312"/>
          <w:b/>
          <w:bCs/>
          <w:kern w:val="0"/>
          <w:sz w:val="32"/>
          <w:szCs w:val="32"/>
        </w:rPr>
      </w:pPr>
      <w:r>
        <w:rPr>
          <w:rFonts w:hint="eastAsia" w:ascii="仿宋_GB2312" w:eastAsia="仿宋_GB2312" w:cs="仿宋_GB2312"/>
          <w:bCs/>
          <w:kern w:val="0"/>
          <w:sz w:val="32"/>
          <w:szCs w:val="32"/>
        </w:rPr>
        <w:t>国内公务接待支出0.9万元。</w:t>
      </w:r>
      <w:r>
        <w:rPr>
          <w:rFonts w:hint="eastAsia" w:ascii="仿宋_GB2312" w:eastAsia="仿宋_GB2312"/>
          <w:color w:val="333333"/>
          <w:sz w:val="34"/>
          <w:szCs w:val="34"/>
          <w:shd w:val="clear" w:color="auto" w:fill="FFFFFF"/>
        </w:rPr>
        <w:t>主要用于公务接待其他市县单位业务交流。2020年共接待区国内来访团组3个、来宾21人。</w:t>
      </w:r>
      <w:r>
        <w:rPr>
          <w:rFonts w:hint="eastAsia" w:ascii="仿宋_GB2312" w:eastAsia="仿宋_GB2312" w:cs="仿宋_GB2312"/>
          <w:bCs/>
          <w:kern w:val="0"/>
          <w:sz w:val="32"/>
          <w:szCs w:val="32"/>
        </w:rPr>
        <w:t xml:space="preserve">  </w:t>
      </w:r>
      <w:r>
        <w:rPr>
          <w:rFonts w:hint="eastAsia" w:ascii="仿宋_GB2312" w:eastAsia="仿宋_GB2312" w:cs="仿宋_GB2312"/>
          <w:b/>
          <w:bCs/>
          <w:kern w:val="0"/>
          <w:sz w:val="32"/>
          <w:szCs w:val="32"/>
        </w:rPr>
        <w:t xml:space="preserve"> </w:t>
      </w:r>
    </w:p>
    <w:p>
      <w:pPr>
        <w:autoSpaceDE w:val="0"/>
        <w:autoSpaceDN w:val="0"/>
        <w:adjustRightInd w:val="0"/>
        <w:spacing w:line="580" w:lineRule="exact"/>
        <w:ind w:firstLine="630"/>
        <w:jc w:val="left"/>
        <w:rPr>
          <w:rFonts w:ascii="仿宋_GB2312" w:eastAsia="仿宋_GB2312"/>
          <w:color w:val="333333"/>
          <w:sz w:val="34"/>
          <w:szCs w:val="34"/>
          <w:shd w:val="clear" w:color="auto" w:fill="FFFFFF"/>
        </w:rPr>
      </w:pPr>
      <w:r>
        <w:rPr>
          <w:rFonts w:hint="eastAsia" w:ascii="仿宋_GB2312" w:eastAsia="仿宋_GB2312" w:cs="仿宋_GB2312"/>
          <w:b/>
          <w:bCs/>
          <w:kern w:val="0"/>
          <w:sz w:val="32"/>
          <w:szCs w:val="32"/>
        </w:rPr>
        <w:t>八、</w:t>
      </w:r>
      <w:r>
        <w:rPr>
          <w:rFonts w:hint="eastAsia" w:ascii="仿宋_GB2312" w:eastAsia="仿宋_GB2312" w:cs="仿宋_GB2312"/>
          <w:b/>
          <w:kern w:val="0"/>
          <w:sz w:val="32"/>
          <w:szCs w:val="32"/>
        </w:rPr>
        <w:t xml:space="preserve">2020 年度政府性基金预算财政拨款收入支出决算情况说明 </w:t>
      </w:r>
    </w:p>
    <w:p>
      <w:pPr>
        <w:ind w:firstLine="645"/>
        <w:rPr>
          <w:rFonts w:ascii="仿宋" w:hAnsi="仿宋" w:eastAsia="仿宋"/>
          <w:sz w:val="32"/>
          <w:szCs w:val="32"/>
        </w:rPr>
      </w:pPr>
      <w:r>
        <w:rPr>
          <w:rFonts w:hint="eastAsia" w:ascii="仿宋" w:hAnsi="仿宋" w:eastAsia="仿宋"/>
          <w:sz w:val="32"/>
          <w:szCs w:val="32"/>
        </w:rPr>
        <w:t>本部门 2020年度政府基金预算财政拨款收、支总决算 1492.11万元、1492.11万元。与 2019 年相比，收、支总计各增加690.57万元，增长46.28%。</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2020年基金拨款年初预算为0万元，支出决算1492.11万元，完成年初预算100%，决算大于预算数主要原因：年中追加安排财政拨款支出预算，涉及项目有街道填平补齐、城市建设项目等</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1.城乡社区（类）国有土地使用权出让收入安排支出（款）城市建设支出（项）。 年初预算为0万元，支出决算为1492.11万元涉及项目有街道填平补齐、城市建设项目等。</w:t>
      </w:r>
    </w:p>
    <w:p>
      <w:pPr>
        <w:autoSpaceDE w:val="0"/>
        <w:autoSpaceDN w:val="0"/>
        <w:adjustRightInd w:val="0"/>
        <w:spacing w:line="580" w:lineRule="exact"/>
        <w:ind w:firstLine="157" w:firstLineChars="49"/>
        <w:jc w:val="left"/>
        <w:rPr>
          <w:rFonts w:hint="eastAsia" w:ascii="仿宋_GB2312" w:eastAsia="仿宋_GB2312" w:cs="仿宋_GB2312"/>
          <w:bCs/>
          <w:color w:val="000000" w:themeColor="text1"/>
          <w:kern w:val="0"/>
          <w:sz w:val="32"/>
          <w:szCs w:val="32"/>
        </w:rPr>
      </w:pPr>
      <w:r>
        <w:rPr>
          <w:rFonts w:hint="eastAsia" w:ascii="仿宋_GB2312" w:eastAsia="仿宋_GB2312" w:cs="仿宋_GB2312"/>
          <w:b/>
          <w:color w:val="000000" w:themeColor="text1"/>
          <w:kern w:val="0"/>
          <w:sz w:val="32"/>
          <w:szCs w:val="32"/>
        </w:rPr>
        <w:t>九、国有资本经营预算财政拨款支出情况说明</w:t>
      </w:r>
    </w:p>
    <w:p>
      <w:pPr>
        <w:autoSpaceDE w:val="0"/>
        <w:autoSpaceDN w:val="0"/>
        <w:adjustRightInd w:val="0"/>
        <w:spacing w:line="580" w:lineRule="exact"/>
        <w:ind w:left="643"/>
        <w:jc w:val="left"/>
        <w:rPr>
          <w:rFonts w:hint="eastAsia"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柳州市绿化工程处2020年度没有国有资本经营预算财政拨</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款收入也没有国有资本经营预算财政拨款支出。</w:t>
      </w:r>
    </w:p>
    <w:p>
      <w:pPr>
        <w:ind w:firstLine="157" w:firstLineChars="49"/>
        <w:rPr>
          <w:rFonts w:ascii="仿宋" w:hAnsi="仿宋" w:eastAsia="仿宋"/>
          <w:b/>
          <w:sz w:val="32"/>
          <w:szCs w:val="32"/>
        </w:rPr>
      </w:pPr>
      <w:r>
        <w:rPr>
          <w:rFonts w:hint="eastAsia" w:ascii="仿宋" w:hAnsi="仿宋" w:eastAsia="仿宋"/>
          <w:b/>
          <w:sz w:val="32"/>
          <w:szCs w:val="32"/>
        </w:rPr>
        <w:t>十、2020 年度预算绩效情况说明</w:t>
      </w:r>
    </w:p>
    <w:p>
      <w:pPr>
        <w:ind w:firstLine="480" w:firstLineChars="150"/>
        <w:rPr>
          <w:rFonts w:ascii="仿宋" w:hAnsi="仿宋" w:eastAsia="仿宋"/>
          <w:sz w:val="32"/>
          <w:szCs w:val="32"/>
        </w:rPr>
      </w:pPr>
      <w:r>
        <w:rPr>
          <w:rFonts w:hint="eastAsia" w:ascii="仿宋" w:hAnsi="仿宋" w:eastAsia="仿宋"/>
          <w:sz w:val="32"/>
          <w:szCs w:val="32"/>
        </w:rPr>
        <w:t>（一）绩效管理工作开展情况</w:t>
      </w:r>
    </w:p>
    <w:p>
      <w:pPr>
        <w:rPr>
          <w:rFonts w:ascii="仿宋" w:hAnsi="仿宋" w:eastAsia="仿宋"/>
          <w:sz w:val="32"/>
          <w:szCs w:val="32"/>
        </w:rPr>
      </w:pPr>
      <w:r>
        <w:rPr>
          <w:rFonts w:hint="eastAsia" w:ascii="仿宋" w:hAnsi="仿宋" w:eastAsia="仿宋"/>
          <w:sz w:val="32"/>
          <w:szCs w:val="32"/>
        </w:rPr>
        <w:t xml:space="preserve">    根据财政预算管理要求，我部门组织对2020年度一般公共 预算项目支出全面开展绩效自评。</w:t>
      </w:r>
      <w:r>
        <w:rPr>
          <w:rFonts w:hint="eastAsia" w:ascii="仿宋" w:hAnsi="仿宋" w:eastAsia="仿宋"/>
          <w:sz w:val="32"/>
          <w:szCs w:val="32"/>
          <w:lang w:eastAsia="zh-CN"/>
        </w:rPr>
        <w:t>涉及</w:t>
      </w:r>
      <w:r>
        <w:rPr>
          <w:rFonts w:hint="eastAsia" w:ascii="仿宋" w:hAnsi="仿宋" w:eastAsia="仿宋"/>
          <w:sz w:val="32"/>
          <w:szCs w:val="32"/>
        </w:rPr>
        <w:t xml:space="preserve">项目2 个，共涉及预算资金1119.54万元，自评覆盖率达到 100% </w:t>
      </w:r>
    </w:p>
    <w:p>
      <w:pPr>
        <w:ind w:firstLine="640" w:firstLineChars="200"/>
        <w:rPr>
          <w:rFonts w:hint="eastAsia" w:ascii="仿宋" w:hAnsi="仿宋" w:eastAsia="仿宋"/>
          <w:sz w:val="32"/>
          <w:szCs w:val="32"/>
        </w:rPr>
      </w:pPr>
      <w:r>
        <w:rPr>
          <w:rFonts w:hint="eastAsia" w:ascii="仿宋" w:hAnsi="仿宋" w:eastAsia="仿宋"/>
          <w:sz w:val="32"/>
          <w:szCs w:val="32"/>
        </w:rPr>
        <w:t>（二）部门决算中项目绩效自评结果。</w:t>
      </w:r>
    </w:p>
    <w:p>
      <w:pPr>
        <w:autoSpaceDE w:val="0"/>
        <w:autoSpaceDN w:val="0"/>
        <w:adjustRightInd w:val="0"/>
        <w:spacing w:line="580" w:lineRule="exact"/>
        <w:ind w:firstLine="680" w:firstLineChars="200"/>
        <w:jc w:val="left"/>
        <w:rPr>
          <w:rFonts w:hint="eastAsia" w:ascii="仿宋_GB2312" w:eastAsia="仿宋_GB2312" w:cs="仿宋_GB2312"/>
          <w:kern w:val="0"/>
          <w:sz w:val="32"/>
          <w:szCs w:val="32"/>
          <w:lang w:val="en-US" w:eastAsia="zh-CN"/>
        </w:rPr>
      </w:pPr>
      <w:r>
        <w:rPr>
          <w:rFonts w:hint="eastAsia" w:ascii="仿宋_GB2312" w:eastAsia="仿宋_GB2312"/>
          <w:color w:val="333333"/>
          <w:sz w:val="34"/>
          <w:szCs w:val="34"/>
          <w:shd w:val="clear" w:color="auto" w:fill="FFFFFF"/>
        </w:rPr>
        <w:t>2020</w:t>
      </w: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处</w:t>
      </w:r>
      <w:r>
        <w:rPr>
          <w:rFonts w:hint="eastAsia" w:ascii="仿宋_GB2312" w:eastAsia="仿宋_GB2312" w:cs="仿宋_GB2312"/>
          <w:kern w:val="0"/>
          <w:sz w:val="32"/>
          <w:szCs w:val="32"/>
        </w:rPr>
        <w:t>根据年初设定的绩效目标，</w:t>
      </w:r>
      <w:r>
        <w:rPr>
          <w:rFonts w:hint="eastAsia" w:ascii="仿宋_GB2312" w:eastAsia="仿宋_GB2312" w:cs="仿宋_GB2312"/>
          <w:kern w:val="0"/>
          <w:sz w:val="32"/>
          <w:szCs w:val="32"/>
          <w:lang w:val="en-US" w:eastAsia="zh-CN"/>
        </w:rPr>
        <w:t>2个</w:t>
      </w:r>
      <w:r>
        <w:rPr>
          <w:rFonts w:hint="eastAsia" w:ascii="仿宋_GB2312" w:eastAsia="仿宋_GB2312" w:cs="仿宋_GB2312"/>
          <w:kern w:val="0"/>
          <w:sz w:val="32"/>
          <w:szCs w:val="32"/>
        </w:rPr>
        <w:t>项目</w:t>
      </w:r>
      <w:r>
        <w:rPr>
          <w:rFonts w:hint="eastAsia" w:ascii="仿宋_GB2312" w:eastAsia="仿宋_GB2312" w:cs="仿宋_GB2312"/>
          <w:kern w:val="0"/>
          <w:sz w:val="32"/>
          <w:szCs w:val="32"/>
          <w:lang w:eastAsia="zh-CN"/>
        </w:rPr>
        <w:t>《项目支出绩效自评表》详见附件</w:t>
      </w:r>
      <w:r>
        <w:rPr>
          <w:rFonts w:hint="eastAsia" w:ascii="仿宋_GB2312" w:eastAsia="仿宋_GB2312" w:cs="仿宋_GB2312"/>
          <w:kern w:val="0"/>
          <w:sz w:val="32"/>
          <w:szCs w:val="32"/>
          <w:lang w:val="en-US" w:eastAsia="zh-CN"/>
        </w:rPr>
        <w:t>2，自评情况分别为：</w:t>
      </w:r>
    </w:p>
    <w:p>
      <w:pPr>
        <w:autoSpaceDE w:val="0"/>
        <w:autoSpaceDN w:val="0"/>
        <w:adjustRightInd w:val="0"/>
        <w:spacing w:line="580" w:lineRule="exact"/>
        <w:ind w:firstLine="640" w:firstLineChars="200"/>
        <w:jc w:val="left"/>
        <w:rPr>
          <w:rFonts w:hint="default" w:ascii="仿宋" w:hAnsi="仿宋" w:eastAsia="仿宋" w:cs="仿宋"/>
          <w:kern w:val="0"/>
          <w:sz w:val="32"/>
          <w:szCs w:val="32"/>
          <w:lang w:val="en-US" w:eastAsia="zh-CN"/>
        </w:rPr>
      </w:pPr>
      <w:r>
        <w:rPr>
          <w:rFonts w:hint="eastAsia" w:ascii="仿宋_GB2312" w:eastAsia="仿宋_GB2312" w:cs="仿宋_GB2312"/>
          <w:kern w:val="0"/>
          <w:sz w:val="32"/>
          <w:szCs w:val="32"/>
          <w:lang w:val="en-US" w:eastAsia="zh-CN"/>
        </w:rPr>
        <w:t>1、</w:t>
      </w:r>
      <w:r>
        <w:rPr>
          <w:rFonts w:hint="eastAsia" w:ascii="仿宋" w:hAnsi="仿宋" w:eastAsia="仿宋" w:cs="仿宋"/>
          <w:b w:val="0"/>
          <w:bCs/>
          <w:sz w:val="32"/>
          <w:szCs w:val="32"/>
        </w:rPr>
        <w:t>柳州市绿化工程处</w:t>
      </w:r>
      <w:r>
        <w:rPr>
          <w:rFonts w:hint="eastAsia" w:ascii="仿宋" w:hAnsi="仿宋" w:eastAsia="仿宋" w:cs="仿宋"/>
          <w:b w:val="0"/>
          <w:bCs/>
          <w:sz w:val="32"/>
          <w:szCs w:val="32"/>
          <w:lang w:eastAsia="zh-CN"/>
        </w:rPr>
        <w:t>滨水大道、天山公园管护项目经费</w:t>
      </w:r>
      <w:r>
        <w:rPr>
          <w:rFonts w:hint="eastAsia" w:ascii="仿宋" w:hAnsi="仿宋" w:eastAsia="仿宋" w:cs="仿宋"/>
          <w:b w:val="0"/>
          <w:bCs/>
          <w:sz w:val="32"/>
          <w:szCs w:val="32"/>
          <w:lang w:val="en-US" w:eastAsia="zh-CN"/>
        </w:rPr>
        <w:t>247.85万元，自评得分100分。全部完成所设指标。</w:t>
      </w:r>
    </w:p>
    <w:p>
      <w:pPr>
        <w:ind w:firstLine="640" w:firstLineChars="200"/>
        <w:rPr>
          <w:rFonts w:hint="default" w:ascii="仿宋" w:hAnsi="仿宋" w:eastAsia="仿宋" w:cs="仿宋"/>
          <w:b/>
          <w:sz w:val="32"/>
          <w:szCs w:val="32"/>
          <w:lang w:val="en-US" w:eastAsia="zh-CN"/>
        </w:rPr>
      </w:pPr>
      <w:r>
        <w:rPr>
          <w:rFonts w:hint="eastAsia" w:ascii="仿宋" w:hAnsi="仿宋" w:eastAsia="仿宋" w:cs="仿宋"/>
          <w:kern w:val="0"/>
          <w:sz w:val="32"/>
          <w:szCs w:val="32"/>
          <w:lang w:val="en-US" w:eastAsia="zh-CN"/>
        </w:rPr>
        <w:t>2、</w:t>
      </w:r>
      <w:r>
        <w:rPr>
          <w:rFonts w:hint="eastAsia" w:ascii="仿宋" w:hAnsi="仿宋" w:eastAsia="仿宋" w:cs="仿宋"/>
          <w:b w:val="0"/>
          <w:bCs/>
          <w:sz w:val="32"/>
          <w:szCs w:val="32"/>
        </w:rPr>
        <w:t>柳州市绿化工程处</w:t>
      </w:r>
      <w:r>
        <w:rPr>
          <w:rFonts w:hint="eastAsia" w:ascii="仿宋" w:hAnsi="仿宋" w:eastAsia="仿宋" w:cs="仿宋"/>
          <w:b w:val="0"/>
          <w:bCs/>
          <w:sz w:val="32"/>
          <w:szCs w:val="32"/>
          <w:lang w:eastAsia="zh-CN"/>
        </w:rPr>
        <w:t>小游园（东堤、鹅山）项目经费</w:t>
      </w:r>
      <w:r>
        <w:rPr>
          <w:rFonts w:hint="eastAsia" w:ascii="仿宋" w:hAnsi="仿宋" w:eastAsia="仿宋" w:cs="仿宋"/>
          <w:b w:val="0"/>
          <w:bCs/>
          <w:sz w:val="32"/>
          <w:szCs w:val="32"/>
          <w:lang w:val="en-US" w:eastAsia="zh-CN"/>
        </w:rPr>
        <w:t>894.98万元，自评得分100分。全部完成所设指标。</w:t>
      </w:r>
    </w:p>
    <w:p>
      <w:pPr>
        <w:autoSpaceDE w:val="0"/>
        <w:autoSpaceDN w:val="0"/>
        <w:adjustRightInd w:val="0"/>
        <w:spacing w:line="580" w:lineRule="exact"/>
        <w:ind w:firstLine="640" w:firstLineChars="200"/>
        <w:jc w:val="left"/>
        <w:rPr>
          <w:rFonts w:hint="default" w:ascii="仿宋_GB2312" w:eastAsia="仿宋_GB2312" w:cs="仿宋_GB2312"/>
          <w:kern w:val="0"/>
          <w:sz w:val="32"/>
          <w:szCs w:val="32"/>
          <w:lang w:val="en-US" w:eastAsia="zh-CN"/>
        </w:rPr>
      </w:pPr>
    </w:p>
    <w:p>
      <w:pPr>
        <w:ind w:firstLine="643" w:firstLineChars="200"/>
        <w:rPr>
          <w:rFonts w:ascii="仿宋" w:hAnsi="仿宋" w:eastAsia="仿宋"/>
          <w:b/>
          <w:bCs/>
          <w:sz w:val="32"/>
          <w:szCs w:val="32"/>
        </w:rPr>
      </w:pPr>
      <w:r>
        <w:rPr>
          <w:rFonts w:hint="eastAsia" w:ascii="仿宋" w:hAnsi="仿宋" w:eastAsia="仿宋"/>
          <w:b/>
          <w:bCs/>
          <w:sz w:val="32"/>
          <w:szCs w:val="32"/>
        </w:rPr>
        <w:t>十</w:t>
      </w:r>
      <w:r>
        <w:rPr>
          <w:rFonts w:hint="eastAsia" w:ascii="仿宋" w:hAnsi="仿宋" w:eastAsia="仿宋"/>
          <w:b/>
          <w:bCs/>
          <w:sz w:val="32"/>
          <w:szCs w:val="32"/>
          <w:lang w:eastAsia="zh-CN"/>
        </w:rPr>
        <w:t>一</w:t>
      </w:r>
      <w:r>
        <w:rPr>
          <w:rFonts w:hint="eastAsia" w:ascii="仿宋" w:hAnsi="仿宋" w:eastAsia="仿宋"/>
          <w:b/>
          <w:bCs/>
          <w:sz w:val="32"/>
          <w:szCs w:val="32"/>
        </w:rPr>
        <w:t>、其他重要事项的情况</w:t>
      </w:r>
      <w:bookmarkStart w:id="0" w:name="_GoBack"/>
      <w:bookmarkEnd w:id="0"/>
    </w:p>
    <w:p>
      <w:pPr>
        <w:ind w:firstLine="640" w:firstLineChars="200"/>
        <w:rPr>
          <w:rFonts w:ascii="仿宋" w:hAnsi="仿宋" w:eastAsia="仿宋"/>
          <w:sz w:val="32"/>
          <w:szCs w:val="32"/>
        </w:rPr>
      </w:pPr>
      <w:r>
        <w:rPr>
          <w:rFonts w:hint="eastAsia" w:ascii="仿宋" w:hAnsi="仿宋" w:eastAsia="仿宋"/>
          <w:sz w:val="32"/>
          <w:szCs w:val="32"/>
        </w:rPr>
        <w:t>（一）政府采购支出情况。2020年度部门政府采购支出总额141.12万元，其中：服务支出141.12万元。</w:t>
      </w:r>
    </w:p>
    <w:p>
      <w:pPr>
        <w:ind w:firstLine="640" w:firstLineChars="200"/>
        <w:rPr>
          <w:rFonts w:ascii="仿宋" w:hAnsi="仿宋" w:eastAsia="仿宋"/>
          <w:sz w:val="32"/>
          <w:szCs w:val="32"/>
        </w:rPr>
      </w:pPr>
      <w:r>
        <w:rPr>
          <w:rFonts w:hint="eastAsia" w:ascii="仿宋" w:hAnsi="仿宋" w:eastAsia="仿宋"/>
          <w:sz w:val="32"/>
          <w:szCs w:val="32"/>
        </w:rPr>
        <w:t>（二）国有资产占用情况。截至年末部门共有车辆53辆，其中：公务用车1辆；单价100 万元以上专用设备两台（套）。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numPr>
          <w:ilvl w:val="0"/>
          <w:numId w:val="0"/>
        </w:numPr>
        <w:spacing w:line="580" w:lineRule="exact"/>
        <w:rPr>
          <w:rFonts w:hint="eastAsia" w:ascii="仿宋_GB2312" w:eastAsia="仿宋_GB2312"/>
          <w:bCs/>
          <w:sz w:val="32"/>
          <w:szCs w:val="32"/>
        </w:rPr>
      </w:pPr>
    </w:p>
    <w:sectPr>
      <w:footerReference r:id="rId3" w:type="default"/>
      <w:footerReference r:id="rId4" w:type="even"/>
      <w:pgSz w:w="11906" w:h="16838"/>
      <w:pgMar w:top="1440" w:right="1416"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- 8 -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72CC2E"/>
    <w:multiLevelType w:val="singleLevel"/>
    <w:tmpl w:val="B272CC2E"/>
    <w:lvl w:ilvl="0" w:tentative="0">
      <w:start w:val="1"/>
      <w:numFmt w:val="chineseCounting"/>
      <w:suff w:val="nothing"/>
      <w:lvlText w:val="%1、"/>
      <w:lvlJc w:val="left"/>
      <w:rPr>
        <w:rFonts w:hint="eastAsia"/>
      </w:rPr>
    </w:lvl>
  </w:abstractNum>
  <w:abstractNum w:abstractNumId="1">
    <w:nsid w:val="196D1710"/>
    <w:multiLevelType w:val="multilevel"/>
    <w:tmpl w:val="196D1710"/>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66CA3"/>
    <w:rsid w:val="000C2224"/>
    <w:rsid w:val="000F105A"/>
    <w:rsid w:val="001B7753"/>
    <w:rsid w:val="001E7135"/>
    <w:rsid w:val="00251D50"/>
    <w:rsid w:val="00254540"/>
    <w:rsid w:val="00282595"/>
    <w:rsid w:val="002C0C27"/>
    <w:rsid w:val="003264A7"/>
    <w:rsid w:val="0034097C"/>
    <w:rsid w:val="003E68BC"/>
    <w:rsid w:val="003F1C0E"/>
    <w:rsid w:val="003F53AD"/>
    <w:rsid w:val="00492E50"/>
    <w:rsid w:val="004A795D"/>
    <w:rsid w:val="004C5CB5"/>
    <w:rsid w:val="004D6AE1"/>
    <w:rsid w:val="0050192F"/>
    <w:rsid w:val="00610D19"/>
    <w:rsid w:val="00642BDD"/>
    <w:rsid w:val="006C1367"/>
    <w:rsid w:val="006E0D50"/>
    <w:rsid w:val="00715385"/>
    <w:rsid w:val="008216EB"/>
    <w:rsid w:val="008820EF"/>
    <w:rsid w:val="008A2390"/>
    <w:rsid w:val="008A6DB9"/>
    <w:rsid w:val="009077E0"/>
    <w:rsid w:val="00976CAF"/>
    <w:rsid w:val="009D291C"/>
    <w:rsid w:val="00A012E1"/>
    <w:rsid w:val="00A079B2"/>
    <w:rsid w:val="00B41392"/>
    <w:rsid w:val="00B646C3"/>
    <w:rsid w:val="00C30D0E"/>
    <w:rsid w:val="00CF386E"/>
    <w:rsid w:val="00CF7F65"/>
    <w:rsid w:val="00D55B6F"/>
    <w:rsid w:val="00D842D1"/>
    <w:rsid w:val="00DB3C67"/>
    <w:rsid w:val="00E07033"/>
    <w:rsid w:val="00E5574A"/>
    <w:rsid w:val="00EA5648"/>
    <w:rsid w:val="00EB3EA0"/>
    <w:rsid w:val="00F20520"/>
    <w:rsid w:val="00F313CE"/>
    <w:rsid w:val="00F66C5B"/>
    <w:rsid w:val="00F92541"/>
    <w:rsid w:val="00FB4475"/>
    <w:rsid w:val="00FE4616"/>
    <w:rsid w:val="00FF1F03"/>
    <w:rsid w:val="0E074DDF"/>
    <w:rsid w:val="124204B5"/>
    <w:rsid w:val="12882CCA"/>
    <w:rsid w:val="1499748C"/>
    <w:rsid w:val="14FE43CA"/>
    <w:rsid w:val="182962AB"/>
    <w:rsid w:val="19D073EB"/>
    <w:rsid w:val="1CC31F67"/>
    <w:rsid w:val="24D337DC"/>
    <w:rsid w:val="26460DBA"/>
    <w:rsid w:val="2A0F1A5C"/>
    <w:rsid w:val="2B6F74EB"/>
    <w:rsid w:val="2C1D6019"/>
    <w:rsid w:val="2C4219FE"/>
    <w:rsid w:val="2C6C004E"/>
    <w:rsid w:val="33022F2E"/>
    <w:rsid w:val="34020F86"/>
    <w:rsid w:val="39A63F06"/>
    <w:rsid w:val="3ED1439F"/>
    <w:rsid w:val="459B34AE"/>
    <w:rsid w:val="48374EDC"/>
    <w:rsid w:val="4BBD6C65"/>
    <w:rsid w:val="4C256E3D"/>
    <w:rsid w:val="4CB52F0F"/>
    <w:rsid w:val="532F1F9A"/>
    <w:rsid w:val="5E995A3E"/>
    <w:rsid w:val="62163194"/>
    <w:rsid w:val="624D024D"/>
    <w:rsid w:val="62702EB2"/>
    <w:rsid w:val="650E086A"/>
    <w:rsid w:val="6AF61359"/>
    <w:rsid w:val="6BAA0708"/>
    <w:rsid w:val="72D04817"/>
    <w:rsid w:val="76617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760</Words>
  <Characters>4335</Characters>
  <Lines>36</Lines>
  <Paragraphs>10</Paragraphs>
  <TotalTime>30</TotalTime>
  <ScaleCrop>false</ScaleCrop>
  <LinksUpToDate>false</LinksUpToDate>
  <CharactersWithSpaces>5085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2021-07-20T01:36:00Z</dcterms:created>
  <dc:creator>陈冬雪</dc:creator>
  <cp:lastModifiedBy>Administrator</cp:lastModifiedBy>
  <cp:lastPrinted>2021-07-07T01:10:00Z</cp:lastPrinted>
  <dcterms:modified xsi:type="dcterms:W3CDTF">2021-08-05T08:04:56Z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