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eastAsia="黑体" w:cs="ArialUnicodeMS"/>
          <w:kern w:val="0"/>
          <w:sz w:val="52"/>
          <w:szCs w:val="52"/>
          <w:lang w:eastAsia="zh-CN"/>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行政审批服务中心</w:t>
      </w:r>
    </w:p>
    <w:p>
      <w:pPr>
        <w:jc w:val="center"/>
        <w:rPr>
          <w:rFonts w:ascii="黑体" w:eastAsia="黑体" w:cs="ArialUnicodeMS"/>
          <w:kern w:val="0"/>
          <w:sz w:val="52"/>
          <w:szCs w:val="52"/>
        </w:rPr>
      </w:pPr>
      <w:r>
        <w:rPr>
          <w:rFonts w:hint="eastAsia" w:ascii="黑体" w:eastAsia="黑体"/>
          <w:kern w:val="0"/>
          <w:sz w:val="52"/>
          <w:szCs w:val="52"/>
        </w:rPr>
        <w:t>2020</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柳州市行政审批服务中心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二、部门决算单位构成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柳州市行政审批服务中心</w:t>
      </w:r>
      <w:r>
        <w:rPr>
          <w:rFonts w:hint="eastAsia" w:ascii="仿宋_GB2312" w:eastAsia="仿宋_GB2312"/>
          <w:b/>
          <w:sz w:val="32"/>
          <w:szCs w:val="32"/>
        </w:rPr>
        <w:t>2020年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left="645"/>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表九：国有资本经营预算财政拨款支出决算表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柳州市行政审批服务中心</w:t>
      </w:r>
      <w:r>
        <w:rPr>
          <w:rFonts w:hint="eastAsia" w:ascii="仿宋_GB2312" w:eastAsia="仿宋_GB2312"/>
          <w:b/>
          <w:sz w:val="32"/>
          <w:szCs w:val="32"/>
        </w:rPr>
        <w:t>2020年度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2020</w:t>
      </w:r>
      <w:r>
        <w:rPr>
          <w:rFonts w:hint="eastAsia" w:ascii="仿宋_GB2312" w:eastAsia="仿宋_GB2312" w:cs="仿宋_GB2312"/>
          <w:kern w:val="0"/>
          <w:sz w:val="32"/>
          <w:szCs w:val="32"/>
        </w:rPr>
        <w:t>年度财政拨款收入支出决算情况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年度一般公共预算财政拨款“三公”经费支出决算情况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八、</w:t>
      </w:r>
      <w:r>
        <w:rPr>
          <w:rFonts w:hint="eastAsia" w:eastAsia="仿宋_GB2312"/>
          <w:kern w:val="0"/>
          <w:sz w:val="32"/>
          <w:szCs w:val="32"/>
        </w:rPr>
        <w:t>2020</w:t>
      </w:r>
      <w:r>
        <w:rPr>
          <w:rFonts w:hint="eastAsia" w:ascii="仿宋_GB2312" w:eastAsia="仿宋_GB2312" w:cs="仿宋_GB2312"/>
          <w:bCs/>
          <w:kern w:val="0"/>
          <w:sz w:val="32"/>
          <w:szCs w:val="32"/>
        </w:rPr>
        <w:t xml:space="preserve"> 年度政府性基金预算财政拨款收入支出决算情况</w:t>
      </w:r>
    </w:p>
    <w:p>
      <w:pPr>
        <w:ind w:left="645"/>
        <w:rPr>
          <w:rFonts w:hint="eastAsia" w:ascii="仿宋_GB2312" w:eastAsia="仿宋_GB2312" w:cs="仿宋_GB2312"/>
          <w:bCs/>
          <w:kern w:val="0"/>
          <w:sz w:val="32"/>
          <w:szCs w:val="32"/>
          <w:highlight w:val="none"/>
        </w:rPr>
      </w:pPr>
      <w:r>
        <w:rPr>
          <w:rFonts w:hint="eastAsia" w:ascii="仿宋_GB2312" w:eastAsia="仿宋_GB2312" w:cs="仿宋_GB2312"/>
          <w:bCs/>
          <w:kern w:val="0"/>
          <w:sz w:val="32"/>
          <w:szCs w:val="32"/>
        </w:rPr>
        <w:t>九、</w:t>
      </w:r>
      <w:r>
        <w:rPr>
          <w:rFonts w:hint="eastAsia" w:ascii="仿宋_GB2312" w:eastAsia="仿宋_GB2312"/>
          <w:sz w:val="32"/>
          <w:szCs w:val="32"/>
          <w:highlight w:val="none"/>
          <w:lang w:eastAsia="zh-CN"/>
        </w:rPr>
        <w:t>国有资本经营预算财政拨款支出决算情况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lang w:eastAsia="zh-CN"/>
        </w:rPr>
        <w:t>十、</w:t>
      </w:r>
      <w:r>
        <w:rPr>
          <w:rFonts w:hint="eastAsia" w:eastAsia="仿宋_GB2312"/>
          <w:kern w:val="0"/>
          <w:sz w:val="32"/>
          <w:szCs w:val="32"/>
        </w:rPr>
        <w:t>2020</w:t>
      </w:r>
      <w:r>
        <w:rPr>
          <w:rFonts w:hint="eastAsia" w:ascii="仿宋_GB2312" w:eastAsia="仿宋_GB2312" w:cs="仿宋_GB2312"/>
          <w:bCs/>
          <w:kern w:val="0"/>
          <w:sz w:val="32"/>
          <w:szCs w:val="32"/>
        </w:rPr>
        <w:t xml:space="preserve"> 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十</w:t>
      </w:r>
      <w:r>
        <w:rPr>
          <w:rFonts w:hint="eastAsia" w:ascii="仿宋_GB2312" w:eastAsia="仿宋_GB2312" w:cs="仿宋_GB2312"/>
          <w:bCs/>
          <w:kern w:val="0"/>
          <w:sz w:val="32"/>
          <w:szCs w:val="32"/>
          <w:lang w:eastAsia="zh-CN"/>
        </w:rPr>
        <w:t>一</w:t>
      </w:r>
      <w:r>
        <w:rPr>
          <w:rFonts w:hint="eastAsia" w:ascii="仿宋_GB2312" w:eastAsia="仿宋_GB2312" w:cs="仿宋_GB2312"/>
          <w:bCs/>
          <w:kern w:val="0"/>
          <w:sz w:val="32"/>
          <w:szCs w:val="32"/>
        </w:rPr>
        <w:t>、其他重要事项的情况说明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柳州市行政审批服务中心</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ascii="Helvetica" w:hAnsi="Helvetica" w:eastAsia="Helvetica" w:cs="Helvetica"/>
          <w:i w:val="0"/>
          <w:iCs w:val="0"/>
          <w:caps w:val="0"/>
          <w:color w:val="333333"/>
          <w:spacing w:val="0"/>
          <w:sz w:val="32"/>
          <w:szCs w:val="32"/>
        </w:rPr>
      </w:pPr>
      <w:r>
        <w:rPr>
          <w:rFonts w:ascii="仿宋_GB2312" w:hAnsi="Helvetica" w:eastAsia="仿宋_GB2312" w:cs="仿宋_GB2312"/>
          <w:i w:val="0"/>
          <w:iCs w:val="0"/>
          <w:caps w:val="0"/>
          <w:color w:val="333333"/>
          <w:spacing w:val="0"/>
          <w:sz w:val="32"/>
          <w:szCs w:val="32"/>
          <w:shd w:val="clear" w:fill="FFFFFF"/>
        </w:rPr>
        <w:t>（一）贯彻执行柳州市行政审批、政务服务相关规章制度和管理办法，为到市政务服务大厅办事群众提供规范、优质、高效的窗口服务，并提供相关业务咨询。优化政务服务，提供规范、优质、高效的窗口服务，并提供相关业务咨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rPr>
        <w:t>（二）协助市行政审批局的行政审批、公共服务事项的受理、审核及结果送达工作；按相关法律法规、制度规范，完成行政审批、公共服务事项的受理、审核及结果送达工作；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Helvetica" w:hAnsi="Helvetica" w:eastAsia="Helvetica" w:cs="Helvetica"/>
          <w:i w:val="0"/>
          <w:iCs w:val="0"/>
          <w:caps w:val="0"/>
          <w:color w:val="333333"/>
          <w:spacing w:val="0"/>
          <w:sz w:val="32"/>
          <w:szCs w:val="32"/>
        </w:rPr>
      </w:pPr>
      <w:r>
        <w:rPr>
          <w:rFonts w:hint="eastAsia" w:ascii="仿宋_GB2312" w:hAnsi="Helvetica" w:eastAsia="仿宋_GB2312" w:cs="仿宋_GB2312"/>
          <w:i w:val="0"/>
          <w:iCs w:val="0"/>
          <w:caps w:val="0"/>
          <w:color w:val="333333"/>
          <w:spacing w:val="0"/>
          <w:sz w:val="32"/>
          <w:szCs w:val="32"/>
          <w:shd w:val="clear" w:fill="FFFFFF"/>
        </w:rPr>
        <w:t>（三）协助市行政审批局实施行政审批、公共服务事项涉及从事的踏勘工作；规范行政审批、公共服务事项涉及的踏勘工作流程。</w:t>
      </w: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柳州市行政审批服务中心</w:t>
      </w:r>
      <w:r>
        <w:rPr>
          <w:rFonts w:hint="eastAsia" w:ascii="仿宋_GB2312" w:eastAsia="仿宋_GB2312"/>
          <w:b/>
          <w:sz w:val="32"/>
          <w:szCs w:val="32"/>
        </w:rPr>
        <w:t>2020年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firstLine="640" w:firstLineChars="200"/>
      </w:pPr>
      <w:r>
        <w:rPr>
          <w:rFonts w:hint="eastAsia" w:ascii="仿宋_GB2312" w:hAnsi="黑体" w:eastAsia="仿宋_GB2312"/>
          <w:sz w:val="32"/>
          <w:szCs w:val="32"/>
        </w:rPr>
        <w:t>《收入决算表》、《支出决算表》、《一般公共预算财政拨款支出决算表》和《政府性基金预算财政拨款收入支出决算表》应当细化公开到支出功能分类项级科目，《一般公共预算财政拨款基本支出决算表》应当细化公开到经济分类款级科目</w:t>
      </w:r>
      <w:r>
        <w:rPr>
          <w:rFonts w:hint="eastAsia" w:ascii="仿宋_GB2312" w:hAnsi="黑体" w:eastAsia="仿宋_GB2312"/>
          <w:sz w:val="32"/>
          <w:szCs w:val="32"/>
          <w:lang w:eastAsia="zh-CN"/>
        </w:rPr>
        <w:t>。</w:t>
      </w:r>
    </w:p>
    <w:tbl>
      <w:tblPr>
        <w:tblStyle w:val="6"/>
        <w:tblW w:w="8720" w:type="dxa"/>
        <w:jc w:val="center"/>
        <w:tblLayout w:type="fixed"/>
        <w:tblCellMar>
          <w:top w:w="0" w:type="dxa"/>
          <w:left w:w="108" w:type="dxa"/>
          <w:bottom w:w="0" w:type="dxa"/>
          <w:right w:w="108" w:type="dxa"/>
        </w:tblCellMar>
      </w:tblPr>
      <w:tblGrid>
        <w:gridCol w:w="2895"/>
        <w:gridCol w:w="1085"/>
        <w:gridCol w:w="3123"/>
        <w:gridCol w:w="1552"/>
        <w:gridCol w:w="65"/>
      </w:tblGrid>
      <w:tr>
        <w:tblPrEx>
          <w:tblCellMar>
            <w:top w:w="0" w:type="dxa"/>
            <w:left w:w="108" w:type="dxa"/>
            <w:bottom w:w="0" w:type="dxa"/>
            <w:right w:w="108" w:type="dxa"/>
          </w:tblCellMar>
        </w:tblPrEx>
        <w:trPr>
          <w:gridAfter w:val="1"/>
          <w:wAfter w:w="65" w:type="dxa"/>
          <w:trHeight w:val="570" w:hRule="atLeast"/>
          <w:jc w:val="center"/>
        </w:trPr>
        <w:tc>
          <w:tcPr>
            <w:tcW w:w="8655" w:type="dxa"/>
            <w:gridSpan w:val="4"/>
            <w:tcBorders>
              <w:top w:val="nil"/>
              <w:left w:val="nil"/>
              <w:bottom w:val="nil"/>
              <w:right w:val="nil"/>
            </w:tcBorders>
            <w:vAlign w:val="bottom"/>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表一：收入支出决算总表</w:t>
            </w:r>
          </w:p>
          <w:p>
            <w:pPr>
              <w:widowControl/>
              <w:jc w:val="right"/>
              <w:rPr>
                <w:rFonts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c>
      </w:tr>
      <w:tr>
        <w:tblPrEx>
          <w:tblCellMar>
            <w:top w:w="0" w:type="dxa"/>
            <w:left w:w="108" w:type="dxa"/>
            <w:bottom w:w="0" w:type="dxa"/>
            <w:right w:w="108" w:type="dxa"/>
          </w:tblCellMar>
        </w:tblPrEx>
        <w:trPr>
          <w:trHeight w:val="270" w:hRule="atLeast"/>
          <w:jc w:val="center"/>
        </w:trPr>
        <w:tc>
          <w:tcPr>
            <w:tcW w:w="3980" w:type="dxa"/>
            <w:gridSpan w:val="2"/>
            <w:tcBorders>
              <w:top w:val="single" w:color="auto" w:sz="4" w:space="0"/>
              <w:left w:val="single" w:color="auto" w:sz="4" w:space="0"/>
              <w:bottom w:val="single" w:color="auto" w:sz="4" w:space="0"/>
              <w:right w:val="single" w:color="auto" w:sz="4" w:space="0"/>
            </w:tcBorders>
            <w:vAlign w:val="center"/>
          </w:tcPr>
          <w:p>
            <w:pPr>
              <w:widowControl/>
              <w:ind w:firstLine="400"/>
              <w:jc w:val="center"/>
              <w:rPr>
                <w:rFonts w:ascii="宋体" w:hAnsi="宋体" w:cs="宋体"/>
                <w:color w:val="000000"/>
                <w:kern w:val="0"/>
                <w:sz w:val="22"/>
                <w:szCs w:val="22"/>
              </w:rPr>
            </w:pPr>
            <w:r>
              <w:rPr>
                <w:rFonts w:hint="eastAsia" w:ascii="宋体" w:hAnsi="宋体" w:cs="宋体"/>
                <w:color w:val="000000"/>
                <w:kern w:val="0"/>
                <w:sz w:val="22"/>
                <w:szCs w:val="22"/>
              </w:rPr>
              <w:t>收    入</w:t>
            </w:r>
          </w:p>
        </w:tc>
        <w:tc>
          <w:tcPr>
            <w:tcW w:w="474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支    出</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c>
          <w:tcPr>
            <w:tcW w:w="312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一、一般公共预算财政拨款收入</w:t>
            </w:r>
          </w:p>
        </w:tc>
        <w:tc>
          <w:tcPr>
            <w:tcW w:w="108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1509.15</w:t>
            </w:r>
          </w:p>
        </w:tc>
        <w:tc>
          <w:tcPr>
            <w:tcW w:w="312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一、一般公共服务支出</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1441.49</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二、政府性基金预算财政拨款收入</w:t>
            </w:r>
          </w:p>
        </w:tc>
        <w:tc>
          <w:tcPr>
            <w:tcW w:w="108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p>
        </w:tc>
        <w:tc>
          <w:tcPr>
            <w:tcW w:w="312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二、外交支出</w:t>
            </w:r>
          </w:p>
        </w:tc>
        <w:tc>
          <w:tcPr>
            <w:tcW w:w="161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三、上级补助收入</w:t>
            </w: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312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aps w:val="0"/>
                <w:color w:val="000000"/>
                <w:spacing w:val="0"/>
                <w:sz w:val="22"/>
                <w:szCs w:val="22"/>
                <w:shd w:val="clear" w:fill="FFFFFF"/>
              </w:rPr>
              <w:t>……</w:t>
            </w:r>
          </w:p>
        </w:tc>
        <w:tc>
          <w:tcPr>
            <w:tcW w:w="1617"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四、事业收入</w:t>
            </w: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312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八、社会保障和就业支出</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141.55</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五、经营收入</w:t>
            </w: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312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九、卫生健康支出</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42.63</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六、附属单位上缴收入</w:t>
            </w: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312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aps w:val="0"/>
                <w:color w:val="000000"/>
                <w:spacing w:val="0"/>
                <w:sz w:val="22"/>
                <w:szCs w:val="22"/>
                <w:shd w:val="clear" w:fill="FFFFFF"/>
              </w:rPr>
              <w:t>……</w:t>
            </w:r>
          </w:p>
        </w:tc>
        <w:tc>
          <w:tcPr>
            <w:tcW w:w="1617"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七、其他收入</w:t>
            </w:r>
          </w:p>
        </w:tc>
        <w:tc>
          <w:tcPr>
            <w:tcW w:w="108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0.06</w:t>
            </w:r>
          </w:p>
        </w:tc>
        <w:tc>
          <w:tcPr>
            <w:tcW w:w="312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十九、住房保障支出</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107.90</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2"/>
                <w:szCs w:val="22"/>
              </w:rPr>
            </w:pP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3123"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aps w:val="0"/>
                <w:color w:val="000000"/>
                <w:spacing w:val="0"/>
                <w:sz w:val="22"/>
                <w:szCs w:val="22"/>
                <w:shd w:val="clear" w:fill="FFFFFF"/>
              </w:rPr>
              <w:t>……</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2"/>
                <w:szCs w:val="22"/>
                <w:lang w:val="en-US" w:eastAsia="zh-CN"/>
              </w:rPr>
            </w:pP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本年收入合计</w:t>
            </w:r>
          </w:p>
        </w:tc>
        <w:tc>
          <w:tcPr>
            <w:tcW w:w="108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1509.21</w:t>
            </w:r>
          </w:p>
        </w:tc>
        <w:tc>
          <w:tcPr>
            <w:tcW w:w="3123"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本年支出合计</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b/>
                <w:bCs/>
                <w:color w:val="000000"/>
                <w:kern w:val="0"/>
                <w:sz w:val="22"/>
                <w:szCs w:val="22"/>
                <w:lang w:val="en-US" w:eastAsia="zh-CN"/>
              </w:rPr>
              <w:t>1733.58</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使用非财政拨款结余</w:t>
            </w: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312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结余分配</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年初结转和结余</w:t>
            </w:r>
          </w:p>
        </w:tc>
        <w:tc>
          <w:tcPr>
            <w:tcW w:w="108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314.31</w:t>
            </w:r>
          </w:p>
        </w:tc>
        <w:tc>
          <w:tcPr>
            <w:tcW w:w="312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年末结转与结余</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89.84</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0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312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617"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收入总计</w:t>
            </w:r>
          </w:p>
        </w:tc>
        <w:tc>
          <w:tcPr>
            <w:tcW w:w="108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1823.52</w:t>
            </w:r>
          </w:p>
        </w:tc>
        <w:tc>
          <w:tcPr>
            <w:tcW w:w="3123"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支出总计</w:t>
            </w:r>
          </w:p>
        </w:tc>
        <w:tc>
          <w:tcPr>
            <w:tcW w:w="1617"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color w:val="000000"/>
                <w:kern w:val="0"/>
                <w:sz w:val="22"/>
                <w:szCs w:val="22"/>
                <w:lang w:val="en-US" w:eastAsia="zh-CN"/>
              </w:rPr>
            </w:pPr>
            <w:r>
              <w:rPr>
                <w:rFonts w:hint="eastAsia" w:ascii="宋体" w:hAnsi="宋体" w:cs="宋体"/>
                <w:b/>
                <w:color w:val="000000"/>
                <w:kern w:val="0"/>
                <w:sz w:val="22"/>
                <w:szCs w:val="22"/>
                <w:lang w:val="en-US" w:eastAsia="zh-CN"/>
              </w:rPr>
              <w:t>1823.52</w:t>
            </w:r>
          </w:p>
        </w:tc>
      </w:tr>
    </w:tbl>
    <w:p>
      <w:pPr>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134" w:left="1588"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rPr>
        <w:t>注：本表反映部门本年度的总收支和年末结转结余情况。</w:t>
      </w:r>
    </w:p>
    <w:p>
      <w:pPr>
        <w:jc w:val="center"/>
      </w:pPr>
      <w:r>
        <w:rPr>
          <w:rFonts w:hint="eastAsia" w:ascii="方正小标宋简体" w:hAnsi="宋体" w:eastAsia="方正小标宋简体" w:cs="宋体"/>
          <w:kern w:val="0"/>
          <w:sz w:val="36"/>
          <w:szCs w:val="36"/>
        </w:rPr>
        <w:t>表二：收入决算表</w:t>
      </w:r>
    </w:p>
    <w:p>
      <w:pPr>
        <w:jc w:val="right"/>
        <w:rPr>
          <w:sz w:val="22"/>
          <w:szCs w:val="22"/>
        </w:rPr>
      </w:pPr>
      <w:r>
        <w:rPr>
          <w:rFonts w:hint="eastAsia"/>
          <w:sz w:val="22"/>
          <w:szCs w:val="22"/>
        </w:rPr>
        <w:t xml:space="preserve">单位：万元                     </w:t>
      </w:r>
    </w:p>
    <w:tbl>
      <w:tblPr>
        <w:tblStyle w:val="6"/>
        <w:tblW w:w="14140" w:type="dxa"/>
        <w:jc w:val="center"/>
        <w:tblLayout w:type="fixed"/>
        <w:tblCellMar>
          <w:top w:w="0" w:type="dxa"/>
          <w:left w:w="108" w:type="dxa"/>
          <w:bottom w:w="0" w:type="dxa"/>
          <w:right w:w="108" w:type="dxa"/>
        </w:tblCellMar>
      </w:tblPr>
      <w:tblGrid>
        <w:gridCol w:w="1055"/>
        <w:gridCol w:w="2305"/>
        <w:gridCol w:w="1540"/>
        <w:gridCol w:w="1540"/>
        <w:gridCol w:w="1540"/>
        <w:gridCol w:w="1540"/>
        <w:gridCol w:w="1540"/>
        <w:gridCol w:w="1540"/>
        <w:gridCol w:w="1540"/>
      </w:tblGrid>
      <w:tr>
        <w:tblPrEx>
          <w:tblCellMar>
            <w:top w:w="0" w:type="dxa"/>
            <w:left w:w="108" w:type="dxa"/>
            <w:bottom w:w="0" w:type="dxa"/>
            <w:right w:w="108" w:type="dxa"/>
          </w:tblCellMar>
        </w:tblPrEx>
        <w:trPr>
          <w:trHeight w:val="288" w:hRule="atLeast"/>
          <w:jc w:val="center"/>
        </w:trPr>
        <w:tc>
          <w:tcPr>
            <w:tcW w:w="3360" w:type="dxa"/>
            <w:gridSpan w:val="2"/>
            <w:tcBorders>
              <w:top w:val="single" w:color="auto" w:sz="4" w:space="0"/>
              <w:left w:val="single" w:color="auto" w:sz="4" w:space="0"/>
              <w:bottom w:val="single" w:color="auto" w:sz="4" w:space="0"/>
              <w:right w:val="single" w:color="000000"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支出功能项目</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本年收入合计</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财政拨款收入</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上级补助收入</w:t>
            </w:r>
          </w:p>
        </w:tc>
        <w:tc>
          <w:tcPr>
            <w:tcW w:w="154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事业收入</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经营收入</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附属单位上缴收入</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其他收入</w:t>
            </w: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ascii="宋体" w:hAnsi="宋体" w:cs="Arial"/>
                <w:kern w:val="0"/>
                <w:sz w:val="22"/>
                <w:szCs w:val="22"/>
              </w:rPr>
            </w:pPr>
            <w:r>
              <w:rPr>
                <w:rFonts w:hint="eastAsia" w:ascii="宋体" w:hAnsi="宋体" w:cs="Arial"/>
                <w:kern w:val="0"/>
                <w:sz w:val="22"/>
                <w:szCs w:val="22"/>
              </w:rPr>
              <w:t>支出功能分类科目编码</w:t>
            </w:r>
          </w:p>
        </w:tc>
        <w:tc>
          <w:tcPr>
            <w:tcW w:w="230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科目名称</w:t>
            </w:r>
          </w:p>
        </w:tc>
        <w:tc>
          <w:tcPr>
            <w:tcW w:w="1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540"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3360" w:type="dxa"/>
            <w:gridSpan w:val="2"/>
            <w:tcBorders>
              <w:top w:val="single" w:color="auto" w:sz="4" w:space="0"/>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b/>
                <w:bCs/>
                <w:kern w:val="0"/>
                <w:sz w:val="22"/>
                <w:szCs w:val="22"/>
              </w:rPr>
              <w:t>栏次</w:t>
            </w:r>
          </w:p>
        </w:tc>
        <w:tc>
          <w:tcPr>
            <w:tcW w:w="154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1</w:t>
            </w:r>
          </w:p>
        </w:tc>
        <w:tc>
          <w:tcPr>
            <w:tcW w:w="154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2</w:t>
            </w:r>
          </w:p>
        </w:tc>
        <w:tc>
          <w:tcPr>
            <w:tcW w:w="154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3</w:t>
            </w:r>
          </w:p>
        </w:tc>
        <w:tc>
          <w:tcPr>
            <w:tcW w:w="154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4</w:t>
            </w:r>
          </w:p>
        </w:tc>
        <w:tc>
          <w:tcPr>
            <w:tcW w:w="1540" w:type="dxa"/>
            <w:tcBorders>
              <w:top w:val="nil"/>
              <w:left w:val="nil"/>
              <w:bottom w:val="single" w:color="auto" w:sz="4" w:space="0"/>
              <w:right w:val="single" w:color="auto" w:sz="4" w:space="0"/>
            </w:tcBorders>
          </w:tcPr>
          <w:p>
            <w:pPr>
              <w:widowControl/>
              <w:ind w:firstLine="660" w:firstLineChars="300"/>
              <w:rPr>
                <w:rFonts w:ascii="宋体" w:hAnsi="宋体" w:cs="Arial"/>
                <w:color w:val="000000"/>
                <w:kern w:val="0"/>
                <w:sz w:val="22"/>
                <w:szCs w:val="22"/>
              </w:rPr>
            </w:pPr>
            <w:r>
              <w:rPr>
                <w:rFonts w:hint="eastAsia" w:ascii="宋体" w:hAnsi="宋体" w:cs="Arial"/>
                <w:kern w:val="0"/>
                <w:sz w:val="22"/>
                <w:szCs w:val="22"/>
              </w:rPr>
              <w:t>5</w:t>
            </w:r>
          </w:p>
        </w:tc>
        <w:tc>
          <w:tcPr>
            <w:tcW w:w="1540" w:type="dxa"/>
            <w:tcBorders>
              <w:top w:val="nil"/>
              <w:left w:val="nil"/>
              <w:bottom w:val="single" w:color="auto" w:sz="4" w:space="0"/>
              <w:right w:val="single" w:color="auto" w:sz="4" w:space="0"/>
            </w:tcBorders>
          </w:tcPr>
          <w:p>
            <w:pPr>
              <w:widowControl/>
              <w:ind w:firstLine="660" w:firstLineChars="300"/>
              <w:rPr>
                <w:rFonts w:ascii="宋体" w:hAnsi="宋体" w:cs="Arial"/>
                <w:color w:val="000000"/>
                <w:kern w:val="0"/>
                <w:sz w:val="22"/>
                <w:szCs w:val="22"/>
              </w:rPr>
            </w:pPr>
            <w:r>
              <w:rPr>
                <w:rFonts w:hint="eastAsia" w:ascii="宋体" w:hAnsi="宋体" w:cs="Arial"/>
                <w:kern w:val="0"/>
                <w:sz w:val="22"/>
                <w:szCs w:val="22"/>
              </w:rPr>
              <w:t>6</w:t>
            </w:r>
          </w:p>
        </w:tc>
        <w:tc>
          <w:tcPr>
            <w:tcW w:w="154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7</w:t>
            </w:r>
          </w:p>
        </w:tc>
      </w:tr>
      <w:tr>
        <w:tblPrEx>
          <w:tblCellMar>
            <w:top w:w="0" w:type="dxa"/>
            <w:left w:w="108" w:type="dxa"/>
            <w:bottom w:w="0" w:type="dxa"/>
            <w:right w:w="108" w:type="dxa"/>
          </w:tblCellMar>
        </w:tblPrEx>
        <w:trPr>
          <w:trHeight w:val="288" w:hRule="atLeast"/>
          <w:jc w:val="center"/>
        </w:trPr>
        <w:tc>
          <w:tcPr>
            <w:tcW w:w="3360" w:type="dxa"/>
            <w:gridSpan w:val="2"/>
            <w:tcBorders>
              <w:top w:val="single" w:color="auto" w:sz="4" w:space="0"/>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540" w:type="dxa"/>
            <w:tcBorders>
              <w:top w:val="nil"/>
              <w:left w:val="nil"/>
              <w:bottom w:val="single" w:color="auto" w:sz="4" w:space="0"/>
              <w:right w:val="single" w:color="auto" w:sz="4" w:space="0"/>
            </w:tcBorders>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1509.21</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1509.21</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201</w:t>
            </w:r>
          </w:p>
        </w:tc>
        <w:tc>
          <w:tcPr>
            <w:tcW w:w="2305" w:type="dxa"/>
            <w:tcBorders>
              <w:top w:val="nil"/>
              <w:left w:val="nil"/>
              <w:bottom w:val="single" w:color="auto" w:sz="4" w:space="0"/>
              <w:right w:val="single" w:color="auto" w:sz="4" w:space="0"/>
            </w:tcBorders>
          </w:tcPr>
          <w:p>
            <w:pPr>
              <w:widowControl/>
              <w:jc w:val="left"/>
              <w:rPr>
                <w:rFonts w:hint="eastAsia" w:ascii="宋体" w:hAnsi="宋体" w:eastAsia="宋体" w:cs="Arial"/>
                <w:color w:val="000000"/>
                <w:kern w:val="0"/>
                <w:sz w:val="22"/>
                <w:szCs w:val="22"/>
                <w:lang w:eastAsia="zh-CN"/>
              </w:rPr>
            </w:pPr>
            <w:r>
              <w:rPr>
                <w:rFonts w:hint="eastAsia" w:ascii="宋体" w:hAnsi="宋体" w:cs="Arial"/>
                <w:color w:val="000000"/>
                <w:kern w:val="0"/>
                <w:sz w:val="22"/>
                <w:szCs w:val="22"/>
                <w:lang w:eastAsia="zh-CN"/>
              </w:rPr>
              <w:t>一般公共服务支出</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1166.49</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1166.49</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1100" w:firstLineChars="5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20103</w:t>
            </w:r>
          </w:p>
        </w:tc>
        <w:tc>
          <w:tcPr>
            <w:tcW w:w="2305" w:type="dxa"/>
            <w:tcBorders>
              <w:top w:val="nil"/>
              <w:left w:val="nil"/>
              <w:bottom w:val="single" w:color="auto" w:sz="4" w:space="0"/>
              <w:right w:val="single" w:color="auto" w:sz="4" w:space="0"/>
            </w:tcBorders>
          </w:tcPr>
          <w:p>
            <w:pPr>
              <w:widowControl/>
              <w:jc w:val="left"/>
              <w:rPr>
                <w:rFonts w:hint="eastAsia" w:ascii="宋体" w:hAnsi="宋体" w:eastAsia="宋体" w:cs="Arial"/>
                <w:color w:val="000000"/>
                <w:kern w:val="0"/>
                <w:sz w:val="22"/>
                <w:szCs w:val="22"/>
                <w:lang w:eastAsia="zh-CN"/>
              </w:rPr>
            </w:pPr>
            <w:r>
              <w:rPr>
                <w:rFonts w:hint="eastAsia" w:ascii="宋体" w:hAnsi="宋体" w:cs="Arial"/>
                <w:color w:val="000000"/>
                <w:kern w:val="0"/>
                <w:sz w:val="22"/>
                <w:szCs w:val="22"/>
                <w:lang w:eastAsia="zh-CN"/>
              </w:rPr>
              <w:t>政府办公厅（室）及相关机构事务</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1166.49</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1166.49</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1100" w:firstLineChars="5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lang w:val="en-US" w:eastAsia="zh-CN"/>
              </w:rPr>
              <w:t>2010301</w:t>
            </w:r>
            <w:r>
              <w:rPr>
                <w:rFonts w:hint="eastAsia" w:ascii="宋体" w:hAnsi="宋体" w:cs="Arial"/>
                <w:color w:val="000000"/>
                <w:kern w:val="0"/>
                <w:sz w:val="22"/>
                <w:szCs w:val="22"/>
              </w:rPr>
              <w:t xml:space="preserve">  </w:t>
            </w:r>
          </w:p>
        </w:tc>
        <w:tc>
          <w:tcPr>
            <w:tcW w:w="2305" w:type="dxa"/>
            <w:tcBorders>
              <w:top w:val="nil"/>
              <w:left w:val="nil"/>
              <w:bottom w:val="single" w:color="auto" w:sz="4" w:space="0"/>
              <w:right w:val="single" w:color="auto" w:sz="4" w:space="0"/>
            </w:tcBorders>
          </w:tcPr>
          <w:p>
            <w:pPr>
              <w:widowControl/>
              <w:jc w:val="left"/>
              <w:rPr>
                <w:rFonts w:hint="eastAsia" w:ascii="宋体" w:hAnsi="宋体" w:eastAsia="宋体" w:cs="Arial"/>
                <w:color w:val="000000"/>
                <w:kern w:val="0"/>
                <w:sz w:val="22"/>
                <w:szCs w:val="22"/>
                <w:lang w:eastAsia="zh-CN"/>
              </w:rPr>
            </w:pPr>
            <w:r>
              <w:rPr>
                <w:rFonts w:hint="eastAsia" w:ascii="宋体" w:hAnsi="宋体" w:cs="Arial"/>
                <w:color w:val="000000"/>
                <w:kern w:val="0"/>
                <w:sz w:val="22"/>
                <w:szCs w:val="22"/>
                <w:lang w:eastAsia="zh-CN"/>
              </w:rPr>
              <w:t>行政运行</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24.97</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24.97</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1100" w:firstLineChars="5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97"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2010306</w:t>
            </w:r>
          </w:p>
        </w:tc>
        <w:tc>
          <w:tcPr>
            <w:tcW w:w="2305" w:type="dxa"/>
            <w:tcBorders>
              <w:top w:val="nil"/>
              <w:left w:val="nil"/>
              <w:bottom w:val="single" w:color="auto" w:sz="4" w:space="0"/>
              <w:right w:val="single" w:color="auto" w:sz="4" w:space="0"/>
            </w:tcBorders>
          </w:tcPr>
          <w:p>
            <w:pPr>
              <w:widowControl/>
              <w:jc w:val="left"/>
              <w:rPr>
                <w:rFonts w:hint="eastAsia" w:ascii="宋体" w:hAnsi="宋体" w:eastAsia="宋体" w:cs="Arial"/>
                <w:color w:val="000000"/>
                <w:kern w:val="0"/>
                <w:sz w:val="22"/>
                <w:szCs w:val="22"/>
                <w:lang w:eastAsia="zh-CN"/>
              </w:rPr>
            </w:pPr>
            <w:r>
              <w:rPr>
                <w:rFonts w:hint="eastAsia" w:ascii="宋体" w:hAnsi="宋体" w:cs="Arial"/>
                <w:color w:val="000000"/>
                <w:kern w:val="0"/>
                <w:sz w:val="22"/>
                <w:szCs w:val="22"/>
                <w:lang w:eastAsia="zh-CN"/>
              </w:rPr>
              <w:t>政务公开审批</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373.26</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373.26</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2010350</w:t>
            </w:r>
          </w:p>
        </w:tc>
        <w:tc>
          <w:tcPr>
            <w:tcW w:w="2305" w:type="dxa"/>
            <w:tcBorders>
              <w:top w:val="nil"/>
              <w:left w:val="nil"/>
              <w:bottom w:val="single" w:color="auto" w:sz="4" w:space="0"/>
              <w:right w:val="single" w:color="auto" w:sz="4" w:space="0"/>
            </w:tcBorders>
          </w:tcPr>
          <w:p>
            <w:pPr>
              <w:widowControl/>
              <w:jc w:val="left"/>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事业运行</w:t>
            </w:r>
          </w:p>
        </w:tc>
        <w:tc>
          <w:tcPr>
            <w:tcW w:w="1540" w:type="dxa"/>
            <w:tcBorders>
              <w:top w:val="nil"/>
              <w:left w:val="nil"/>
              <w:bottom w:val="single" w:color="auto" w:sz="4" w:space="0"/>
              <w:right w:val="single" w:color="auto" w:sz="4" w:space="0"/>
            </w:tcBorders>
            <w:vAlign w:val="top"/>
          </w:tcPr>
          <w:p>
            <w:pPr>
              <w:widowControl/>
              <w:jc w:val="center"/>
              <w:rPr>
                <w:rFonts w:hint="eastAsia" w:ascii="宋体" w:hAnsi="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768.26</w:t>
            </w:r>
          </w:p>
        </w:tc>
        <w:tc>
          <w:tcPr>
            <w:tcW w:w="1540" w:type="dxa"/>
            <w:tcBorders>
              <w:top w:val="nil"/>
              <w:left w:val="nil"/>
              <w:bottom w:val="single" w:color="auto" w:sz="4" w:space="0"/>
              <w:right w:val="single" w:color="auto" w:sz="4" w:space="0"/>
            </w:tcBorders>
            <w:vAlign w:val="top"/>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768.26</w:t>
            </w:r>
          </w:p>
        </w:tc>
        <w:tc>
          <w:tcPr>
            <w:tcW w:w="1540" w:type="dxa"/>
            <w:tcBorders>
              <w:top w:val="nil"/>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nil"/>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nil"/>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nil"/>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nil"/>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208</w:t>
            </w:r>
          </w:p>
        </w:tc>
        <w:tc>
          <w:tcPr>
            <w:tcW w:w="2305"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lang w:eastAsia="zh-CN"/>
              </w:rPr>
              <w:t>社会保障和就业支出</w:t>
            </w: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195.08</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195.08</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lang w:val="en-US" w:eastAsia="zh-CN"/>
              </w:rPr>
              <w:t>20805</w:t>
            </w:r>
            <w:r>
              <w:rPr>
                <w:rFonts w:hint="eastAsia" w:ascii="宋体" w:hAnsi="宋体" w:cs="Arial"/>
                <w:color w:val="000000"/>
                <w:kern w:val="0"/>
                <w:sz w:val="22"/>
                <w:szCs w:val="22"/>
              </w:rPr>
              <w:t>　</w:t>
            </w:r>
          </w:p>
        </w:tc>
        <w:tc>
          <w:tcPr>
            <w:tcW w:w="2305"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lang w:eastAsia="zh-CN"/>
              </w:rPr>
              <w:t>行政事业单位养老支出</w:t>
            </w: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195.08</w:t>
            </w:r>
          </w:p>
        </w:tc>
        <w:tc>
          <w:tcPr>
            <w:tcW w:w="154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195.08</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05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w:t>
            </w:r>
            <w:r>
              <w:rPr>
                <w:rFonts w:hint="eastAsia" w:ascii="宋体" w:hAnsi="宋体" w:cs="宋体"/>
                <w:i w:val="0"/>
                <w:iCs w:val="0"/>
                <w:color w:val="000000"/>
                <w:kern w:val="0"/>
                <w:sz w:val="22"/>
                <w:szCs w:val="22"/>
                <w:u w:val="none"/>
                <w:lang w:val="en-US" w:eastAsia="zh-CN" w:bidi="ar"/>
              </w:rPr>
              <w:t>2</w:t>
            </w:r>
          </w:p>
        </w:tc>
        <w:tc>
          <w:tcPr>
            <w:tcW w:w="230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事业</w:t>
            </w:r>
            <w:r>
              <w:rPr>
                <w:rFonts w:hint="eastAsia" w:ascii="宋体" w:hAnsi="宋体" w:eastAsia="宋体" w:cs="宋体"/>
                <w:i w:val="0"/>
                <w:iCs w:val="0"/>
                <w:color w:val="000000"/>
                <w:kern w:val="0"/>
                <w:sz w:val="22"/>
                <w:szCs w:val="22"/>
                <w:u w:val="none"/>
                <w:lang w:val="en-US" w:eastAsia="zh-CN" w:bidi="ar"/>
              </w:rPr>
              <w:t>单位离退休</w:t>
            </w:r>
          </w:p>
        </w:tc>
        <w:tc>
          <w:tcPr>
            <w:tcW w:w="154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3.48</w:t>
            </w:r>
          </w:p>
        </w:tc>
        <w:tc>
          <w:tcPr>
            <w:tcW w:w="154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3.48</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54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138.76</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138.76</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584"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2080506</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52.84</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52.84</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39.68</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39.68</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39.68</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39.68</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w:t>
            </w:r>
            <w:r>
              <w:rPr>
                <w:rFonts w:hint="eastAsia" w:ascii="宋体" w:hAnsi="宋体" w:cs="宋体"/>
                <w:i w:val="0"/>
                <w:iCs w:val="0"/>
                <w:color w:val="000000"/>
                <w:kern w:val="0"/>
                <w:sz w:val="22"/>
                <w:szCs w:val="22"/>
                <w:u w:val="none"/>
                <w:lang w:val="en-US" w:eastAsia="zh-CN" w:bidi="ar"/>
              </w:rPr>
              <w:t>2</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事业</w:t>
            </w:r>
            <w:r>
              <w:rPr>
                <w:rFonts w:hint="eastAsia" w:ascii="宋体" w:hAnsi="宋体" w:eastAsia="宋体" w:cs="宋体"/>
                <w:i w:val="0"/>
                <w:iCs w:val="0"/>
                <w:color w:val="000000"/>
                <w:kern w:val="0"/>
                <w:sz w:val="22"/>
                <w:szCs w:val="22"/>
                <w:u w:val="none"/>
                <w:lang w:val="en-US" w:eastAsia="zh-CN" w:bidi="ar"/>
              </w:rPr>
              <w:t>单位医疗</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36.49</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36.49</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2101103</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公务员医疗补助</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3.20</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3.20</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107.90</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107.90</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107.90</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107.90</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104.64</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104.64</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2210203</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购房补贴</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3.27</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3.27</w:t>
            </w: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bookmarkStart w:id="0" w:name="_GoBack" w:colFirst="8" w:colLast="8"/>
            <w:r>
              <w:rPr>
                <w:rFonts w:hint="eastAsia" w:ascii="宋体" w:hAnsi="宋体" w:eastAsia="宋体" w:cs="宋体"/>
                <w:i w:val="0"/>
                <w:iCs w:val="0"/>
                <w:color w:val="000000"/>
                <w:kern w:val="0"/>
                <w:sz w:val="22"/>
                <w:szCs w:val="22"/>
                <w:u w:val="none"/>
                <w:lang w:val="en-US" w:eastAsia="zh-CN" w:bidi="ar"/>
              </w:rPr>
              <w:t>229</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0.06</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0.06</w:t>
            </w: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0.06</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0.06</w:t>
            </w:r>
          </w:p>
        </w:tc>
      </w:tr>
      <w:tr>
        <w:tblPrEx>
          <w:tblCellMar>
            <w:top w:w="0" w:type="dxa"/>
            <w:left w:w="108" w:type="dxa"/>
            <w:bottom w:w="0" w:type="dxa"/>
            <w:right w:w="108" w:type="dxa"/>
          </w:tblCellMar>
        </w:tblPrEx>
        <w:trPr>
          <w:trHeight w:val="288"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2299901</w:t>
            </w:r>
          </w:p>
        </w:tc>
        <w:tc>
          <w:tcPr>
            <w:tcW w:w="23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0.06</w:t>
            </w: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c>
          <w:tcPr>
            <w:tcW w:w="1540"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0.06</w:t>
            </w:r>
          </w:p>
        </w:tc>
      </w:tr>
      <w:bookmarkEnd w:id="0"/>
    </w:tbl>
    <w:p/>
    <w:p>
      <w:r>
        <w:rPr>
          <w:rFonts w:hint="eastAsia"/>
        </w:rPr>
        <w:t>注：本表反映部门本年度取得的各项收入情况。</w:t>
      </w:r>
    </w:p>
    <w:p>
      <w:pPr>
        <w:jc w:val="center"/>
      </w:pPr>
      <w:r>
        <w:rPr>
          <w:rFonts w:hint="eastAsia" w:ascii="方正小标宋简体" w:hAnsi="宋体" w:eastAsia="方正小标宋简体" w:cs="宋体"/>
          <w:kern w:val="0"/>
          <w:sz w:val="36"/>
          <w:szCs w:val="36"/>
        </w:rPr>
        <w:t>表三：支出决算表</w:t>
      </w:r>
    </w:p>
    <w:p>
      <w:pPr>
        <w:jc w:val="right"/>
      </w:pPr>
      <w:r>
        <w:rPr>
          <w:rFonts w:hint="eastAsia"/>
          <w:sz w:val="22"/>
          <w:szCs w:val="22"/>
        </w:rPr>
        <w:t>单位：万元</w:t>
      </w:r>
    </w:p>
    <w:tbl>
      <w:tblPr>
        <w:tblStyle w:val="6"/>
        <w:tblW w:w="14049" w:type="dxa"/>
        <w:jc w:val="center"/>
        <w:tblLayout w:type="fixed"/>
        <w:tblCellMar>
          <w:top w:w="0" w:type="dxa"/>
          <w:left w:w="108" w:type="dxa"/>
          <w:bottom w:w="0" w:type="dxa"/>
          <w:right w:w="108" w:type="dxa"/>
        </w:tblCellMar>
      </w:tblPr>
      <w:tblGrid>
        <w:gridCol w:w="1180"/>
        <w:gridCol w:w="1812"/>
        <w:gridCol w:w="1985"/>
        <w:gridCol w:w="1842"/>
        <w:gridCol w:w="1701"/>
        <w:gridCol w:w="1701"/>
        <w:gridCol w:w="1843"/>
        <w:gridCol w:w="1985"/>
      </w:tblGrid>
      <w:tr>
        <w:tblPrEx>
          <w:tblCellMar>
            <w:top w:w="0" w:type="dxa"/>
            <w:left w:w="108" w:type="dxa"/>
            <w:bottom w:w="0" w:type="dxa"/>
            <w:right w:w="108" w:type="dxa"/>
          </w:tblCellMar>
        </w:tblPrEx>
        <w:trPr>
          <w:trHeight w:val="288" w:hRule="atLeast"/>
          <w:jc w:val="center"/>
        </w:trPr>
        <w:tc>
          <w:tcPr>
            <w:tcW w:w="299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支出功能项目</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本年支出合计</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基本支出</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项目支出</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上缴上级支出</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经营支出</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对附属单位补助支出</w:t>
            </w:r>
          </w:p>
        </w:tc>
      </w:tr>
      <w:tr>
        <w:tblPrEx>
          <w:tblCellMar>
            <w:top w:w="0" w:type="dxa"/>
            <w:left w:w="108" w:type="dxa"/>
            <w:bottom w:w="0" w:type="dxa"/>
            <w:right w:w="108" w:type="dxa"/>
          </w:tblCellMar>
        </w:tblPrEx>
        <w:trPr>
          <w:trHeight w:val="288" w:hRule="atLeast"/>
          <w:jc w:val="center"/>
        </w:trPr>
        <w:tc>
          <w:tcPr>
            <w:tcW w:w="1180"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支出功能分类科目编码</w:t>
            </w:r>
          </w:p>
        </w:tc>
        <w:tc>
          <w:tcPr>
            <w:tcW w:w="181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科目名称</w:t>
            </w: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Arial"/>
                <w:kern w:val="0"/>
                <w:sz w:val="22"/>
                <w:szCs w:val="22"/>
              </w:rPr>
            </w:pPr>
          </w:p>
        </w:tc>
      </w:tr>
      <w:tr>
        <w:tblPrEx>
          <w:tblCellMar>
            <w:top w:w="0" w:type="dxa"/>
            <w:left w:w="108" w:type="dxa"/>
            <w:bottom w:w="0" w:type="dxa"/>
            <w:right w:w="108" w:type="dxa"/>
          </w:tblCellMar>
        </w:tblPrEx>
        <w:trPr>
          <w:trHeight w:val="288" w:hRule="atLeast"/>
          <w:jc w:val="center"/>
        </w:trPr>
        <w:tc>
          <w:tcPr>
            <w:tcW w:w="2992" w:type="dxa"/>
            <w:gridSpan w:val="2"/>
            <w:tcBorders>
              <w:top w:val="single" w:color="auto" w:sz="4" w:space="0"/>
              <w:left w:val="single" w:color="auto" w:sz="4" w:space="0"/>
              <w:bottom w:val="single" w:color="auto" w:sz="4" w:space="0"/>
              <w:right w:val="single" w:color="auto" w:sz="4" w:space="0"/>
            </w:tcBorders>
          </w:tcPr>
          <w:p>
            <w:pPr>
              <w:widowControl/>
              <w:ind w:firstLine="1980" w:firstLineChars="900"/>
              <w:jc w:val="left"/>
              <w:rPr>
                <w:rFonts w:ascii="宋体" w:hAnsi="宋体" w:cs="Arial"/>
                <w:color w:val="000000"/>
                <w:kern w:val="0"/>
                <w:sz w:val="22"/>
                <w:szCs w:val="22"/>
              </w:rPr>
            </w:pPr>
            <w:r>
              <w:rPr>
                <w:rFonts w:hint="eastAsia" w:ascii="宋体" w:hAnsi="宋体" w:cs="Arial"/>
                <w:kern w:val="0"/>
                <w:sz w:val="22"/>
                <w:szCs w:val="22"/>
              </w:rPr>
              <w:t>栏次</w:t>
            </w:r>
          </w:p>
        </w:tc>
        <w:tc>
          <w:tcPr>
            <w:tcW w:w="198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1</w:t>
            </w:r>
          </w:p>
        </w:tc>
        <w:tc>
          <w:tcPr>
            <w:tcW w:w="1842"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2</w:t>
            </w:r>
          </w:p>
        </w:tc>
        <w:tc>
          <w:tcPr>
            <w:tcW w:w="1701"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3</w:t>
            </w:r>
          </w:p>
        </w:tc>
        <w:tc>
          <w:tcPr>
            <w:tcW w:w="170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4</w:t>
            </w:r>
          </w:p>
        </w:tc>
        <w:tc>
          <w:tcPr>
            <w:tcW w:w="1843"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5</w:t>
            </w:r>
          </w:p>
        </w:tc>
        <w:tc>
          <w:tcPr>
            <w:tcW w:w="1985"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6</w:t>
            </w:r>
          </w:p>
        </w:tc>
      </w:tr>
      <w:tr>
        <w:tblPrEx>
          <w:tblCellMar>
            <w:top w:w="0" w:type="dxa"/>
            <w:left w:w="108" w:type="dxa"/>
            <w:bottom w:w="0" w:type="dxa"/>
            <w:right w:w="108" w:type="dxa"/>
          </w:tblCellMar>
        </w:tblPrEx>
        <w:trPr>
          <w:trHeight w:val="288" w:hRule="atLeast"/>
          <w:jc w:val="center"/>
        </w:trPr>
        <w:tc>
          <w:tcPr>
            <w:tcW w:w="2992" w:type="dxa"/>
            <w:gridSpan w:val="2"/>
            <w:tcBorders>
              <w:top w:val="single" w:color="auto" w:sz="4" w:space="0"/>
              <w:left w:val="single" w:color="auto" w:sz="4" w:space="0"/>
              <w:bottom w:val="single" w:color="auto" w:sz="4" w:space="0"/>
              <w:right w:val="single" w:color="auto" w:sz="4" w:space="0"/>
            </w:tcBorders>
          </w:tcPr>
          <w:p>
            <w:pPr>
              <w:widowControl/>
              <w:ind w:firstLine="1980" w:firstLineChars="900"/>
              <w:jc w:val="left"/>
              <w:rPr>
                <w:rFonts w:ascii="宋体" w:hAnsi="宋体" w:cs="Arial"/>
                <w:color w:val="000000"/>
                <w:kern w:val="0"/>
                <w:sz w:val="22"/>
                <w:szCs w:val="22"/>
              </w:rPr>
            </w:pPr>
            <w:r>
              <w:rPr>
                <w:rFonts w:hint="eastAsia" w:ascii="宋体" w:hAnsi="宋体" w:cs="Arial"/>
                <w:kern w:val="0"/>
                <w:sz w:val="22"/>
                <w:szCs w:val="22"/>
              </w:rPr>
              <w:t>合计</w:t>
            </w:r>
          </w:p>
        </w:tc>
        <w:tc>
          <w:tcPr>
            <w:tcW w:w="1985" w:type="dxa"/>
            <w:tcBorders>
              <w:top w:val="nil"/>
              <w:left w:val="nil"/>
              <w:bottom w:val="single" w:color="auto" w:sz="4" w:space="0"/>
              <w:right w:val="single" w:color="auto" w:sz="4" w:space="0"/>
            </w:tcBorders>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1733.58</w:t>
            </w:r>
          </w:p>
        </w:tc>
        <w:tc>
          <w:tcPr>
            <w:tcW w:w="1842"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1268.93</w:t>
            </w:r>
          </w:p>
        </w:tc>
        <w:tc>
          <w:tcPr>
            <w:tcW w:w="1701"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464.55</w:t>
            </w:r>
          </w:p>
        </w:tc>
        <w:tc>
          <w:tcPr>
            <w:tcW w:w="1701" w:type="dxa"/>
            <w:tcBorders>
              <w:top w:val="nil"/>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宋体" w:cs="Arial"/>
                <w:i w:val="0"/>
                <w:iCs w:val="0"/>
                <w:color w:val="000000"/>
                <w:kern w:val="2"/>
                <w:sz w:val="20"/>
                <w:szCs w:val="20"/>
                <w:u w:val="none"/>
                <w:lang w:val="en-US" w:eastAsia="zh-CN" w:bidi="ar-SA"/>
              </w:rPr>
            </w:pPr>
          </w:p>
        </w:tc>
        <w:tc>
          <w:tcPr>
            <w:tcW w:w="1843"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985"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1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181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985"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1441.49</w:t>
            </w:r>
          </w:p>
        </w:tc>
        <w:tc>
          <w:tcPr>
            <w:tcW w:w="1842"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976.84</w:t>
            </w:r>
          </w:p>
        </w:tc>
        <w:tc>
          <w:tcPr>
            <w:tcW w:w="1701"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464.55</w:t>
            </w:r>
          </w:p>
        </w:tc>
        <w:tc>
          <w:tcPr>
            <w:tcW w:w="1701"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843"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985"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1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w:t>
            </w:r>
          </w:p>
        </w:tc>
        <w:tc>
          <w:tcPr>
            <w:tcW w:w="181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85"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1441.49</w:t>
            </w:r>
          </w:p>
        </w:tc>
        <w:tc>
          <w:tcPr>
            <w:tcW w:w="1842"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976.84</w:t>
            </w:r>
          </w:p>
        </w:tc>
        <w:tc>
          <w:tcPr>
            <w:tcW w:w="1701"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464.55</w:t>
            </w:r>
          </w:p>
        </w:tc>
        <w:tc>
          <w:tcPr>
            <w:tcW w:w="1701"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843"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985"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11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2010301</w:t>
            </w:r>
          </w:p>
        </w:tc>
        <w:tc>
          <w:tcPr>
            <w:tcW w:w="181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985"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26.99</w:t>
            </w:r>
          </w:p>
        </w:tc>
        <w:tc>
          <w:tcPr>
            <w:tcW w:w="1842"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26.99</w:t>
            </w:r>
          </w:p>
        </w:tc>
        <w:tc>
          <w:tcPr>
            <w:tcW w:w="1701"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843"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985"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04" w:hRule="atLeast"/>
          <w:jc w:val="center"/>
        </w:trPr>
        <w:tc>
          <w:tcPr>
            <w:tcW w:w="11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2010306</w:t>
            </w:r>
          </w:p>
        </w:tc>
        <w:tc>
          <w:tcPr>
            <w:tcW w:w="181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政务公开审批</w:t>
            </w:r>
          </w:p>
        </w:tc>
        <w:tc>
          <w:tcPr>
            <w:tcW w:w="1985"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464.65</w:t>
            </w:r>
          </w:p>
        </w:tc>
        <w:tc>
          <w:tcPr>
            <w:tcW w:w="1842"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464.55</w:t>
            </w:r>
          </w:p>
        </w:tc>
        <w:tc>
          <w:tcPr>
            <w:tcW w:w="1701"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843"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985"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2010350</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事业运行</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949.85</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949.85</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141.55</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141.55</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98"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141.55</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141.55</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24"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2080501</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事业</w:t>
            </w:r>
            <w:r>
              <w:rPr>
                <w:rFonts w:hint="eastAsia" w:ascii="宋体" w:hAnsi="宋体" w:eastAsia="宋体" w:cs="宋体"/>
                <w:i w:val="0"/>
                <w:iCs w:val="0"/>
                <w:color w:val="000000"/>
                <w:kern w:val="0"/>
                <w:sz w:val="22"/>
                <w:szCs w:val="22"/>
                <w:u w:val="none"/>
                <w:lang w:val="en-US" w:eastAsia="zh-CN" w:bidi="ar"/>
              </w:rPr>
              <w:t>单位离退休</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3.35</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3.35</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2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92.04</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92.04</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88"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2080506</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46.17</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46.17</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48"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42.63</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42.63</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227" w:hRule="atLeast"/>
          <w:jc w:val="center"/>
        </w:trPr>
        <w:tc>
          <w:tcPr>
            <w:tcW w:w="11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181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985"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42.63</w:t>
            </w:r>
          </w:p>
        </w:tc>
        <w:tc>
          <w:tcPr>
            <w:tcW w:w="1842"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42.63</w:t>
            </w:r>
          </w:p>
        </w:tc>
        <w:tc>
          <w:tcPr>
            <w:tcW w:w="1701"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843" w:type="dxa"/>
            <w:tcBorders>
              <w:top w:val="nil"/>
              <w:left w:val="nil"/>
              <w:bottom w:val="single" w:color="auto" w:sz="4" w:space="0"/>
              <w:right w:val="single" w:color="auto" w:sz="4" w:space="0"/>
            </w:tcBorders>
          </w:tcPr>
          <w:p>
            <w:pPr>
              <w:widowControl/>
              <w:ind w:firstLine="440" w:firstLineChars="2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985"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w:t>
            </w:r>
            <w:r>
              <w:rPr>
                <w:rFonts w:hint="eastAsia" w:ascii="宋体" w:hAnsi="宋体" w:cs="宋体"/>
                <w:i w:val="0"/>
                <w:iCs w:val="0"/>
                <w:color w:val="000000"/>
                <w:kern w:val="0"/>
                <w:sz w:val="22"/>
                <w:szCs w:val="22"/>
                <w:u w:val="none"/>
                <w:lang w:val="en-US" w:eastAsia="zh-CN" w:bidi="ar"/>
              </w:rPr>
              <w:t>2</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事业</w:t>
            </w:r>
            <w:r>
              <w:rPr>
                <w:rFonts w:hint="eastAsia" w:ascii="宋体" w:hAnsi="宋体" w:eastAsia="宋体" w:cs="宋体"/>
                <w:i w:val="0"/>
                <w:iCs w:val="0"/>
                <w:color w:val="000000"/>
                <w:kern w:val="0"/>
                <w:sz w:val="22"/>
                <w:szCs w:val="22"/>
                <w:u w:val="none"/>
                <w:lang w:val="en-US" w:eastAsia="zh-CN" w:bidi="ar"/>
              </w:rPr>
              <w:t>单位医疗</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36.89</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36.89</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2101103</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公务员医疗补助</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5.75</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5.75</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107.90</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107.90</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107.90</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107.90</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住房公积金</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104.64</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104.64</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2210203</w:t>
            </w: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购房补贴</w:t>
            </w: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3.27</w:t>
            </w: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3.27</w:t>
            </w: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75"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r>
        <w:tblPrEx>
          <w:tblCellMar>
            <w:top w:w="0" w:type="dxa"/>
            <w:left w:w="108" w:type="dxa"/>
            <w:bottom w:w="0" w:type="dxa"/>
            <w:right w:w="108" w:type="dxa"/>
          </w:tblCellMar>
        </w:tblPrEx>
        <w:trPr>
          <w:trHeight w:val="123" w:hRule="atLeast"/>
          <w:jc w:val="center"/>
        </w:trPr>
        <w:tc>
          <w:tcPr>
            <w:tcW w:w="11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8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985"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842" w:type="dxa"/>
            <w:tcBorders>
              <w:top w:val="single" w:color="auto" w:sz="4" w:space="0"/>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Arial"/>
                <w:color w:val="000000"/>
                <w:kern w:val="0"/>
                <w:sz w:val="22"/>
                <w:szCs w:val="22"/>
                <w:lang w:val="en-US" w:eastAsia="zh-CN"/>
              </w:rPr>
            </w:pPr>
          </w:p>
        </w:tc>
        <w:tc>
          <w:tcPr>
            <w:tcW w:w="1701"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843" w:type="dxa"/>
            <w:tcBorders>
              <w:top w:val="single" w:color="auto" w:sz="4" w:space="0"/>
              <w:left w:val="nil"/>
              <w:bottom w:val="single" w:color="auto" w:sz="4" w:space="0"/>
              <w:right w:val="single" w:color="auto" w:sz="4" w:space="0"/>
            </w:tcBorders>
          </w:tcPr>
          <w:p>
            <w:pPr>
              <w:widowControl/>
              <w:ind w:firstLine="440" w:firstLineChars="200"/>
              <w:jc w:val="left"/>
              <w:rPr>
                <w:rFonts w:hint="eastAsia" w:ascii="宋体" w:hAnsi="宋体" w:cs="Arial"/>
                <w:color w:val="000000"/>
                <w:kern w:val="0"/>
                <w:sz w:val="22"/>
                <w:szCs w:val="22"/>
              </w:rPr>
            </w:pPr>
          </w:p>
        </w:tc>
        <w:tc>
          <w:tcPr>
            <w:tcW w:w="1985" w:type="dxa"/>
            <w:tcBorders>
              <w:top w:val="single" w:color="auto" w:sz="4" w:space="0"/>
              <w:left w:val="nil"/>
              <w:bottom w:val="single" w:color="auto" w:sz="4" w:space="0"/>
              <w:right w:val="single" w:color="auto" w:sz="4" w:space="0"/>
            </w:tcBorders>
          </w:tcPr>
          <w:p>
            <w:pPr>
              <w:widowControl/>
              <w:ind w:firstLine="220" w:firstLineChars="100"/>
              <w:jc w:val="left"/>
              <w:rPr>
                <w:rFonts w:hint="eastAsia" w:ascii="宋体" w:hAnsi="宋体" w:cs="Arial"/>
                <w:color w:val="000000"/>
                <w:kern w:val="0"/>
                <w:sz w:val="22"/>
                <w:szCs w:val="22"/>
              </w:rPr>
            </w:pPr>
          </w:p>
        </w:tc>
      </w:tr>
    </w:tbl>
    <w:p/>
    <w:p>
      <w:pPr>
        <w:rPr>
          <w:rFonts w:hint="eastAsia"/>
        </w:rPr>
      </w:pPr>
      <w:r>
        <w:rPr>
          <w:rFonts w:hint="eastAsia"/>
        </w:rPr>
        <w:t>注：本表反映部门本年度各项支出情况。</w:t>
      </w:r>
    </w:p>
    <w:p>
      <w:pPr>
        <w:rPr>
          <w:rFonts w:hint="eastAsia"/>
        </w:rPr>
      </w:pPr>
    </w:p>
    <w:p>
      <w:pPr>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表四：财政拨款收入支出决算总表</w:t>
      </w:r>
    </w:p>
    <w:p>
      <w:pPr>
        <w:jc w:val="right"/>
      </w:pPr>
      <w:r>
        <w:rPr>
          <w:rFonts w:hint="eastAsia"/>
          <w:sz w:val="22"/>
          <w:szCs w:val="22"/>
        </w:rPr>
        <w:t>单位：万元</w:t>
      </w:r>
    </w:p>
    <w:tbl>
      <w:tblPr>
        <w:tblStyle w:val="6"/>
        <w:tblpPr w:leftFromText="180" w:rightFromText="180" w:vertAnchor="text" w:horzAnchor="page" w:tblpX="1768" w:tblpY="24"/>
        <w:tblOverlap w:val="never"/>
        <w:tblW w:w="13765" w:type="dxa"/>
        <w:tblInd w:w="0" w:type="dxa"/>
        <w:tblLayout w:type="fixed"/>
        <w:tblCellMar>
          <w:top w:w="0" w:type="dxa"/>
          <w:left w:w="108" w:type="dxa"/>
          <w:bottom w:w="0" w:type="dxa"/>
          <w:right w:w="108" w:type="dxa"/>
        </w:tblCellMar>
      </w:tblPr>
      <w:tblGrid>
        <w:gridCol w:w="4015"/>
        <w:gridCol w:w="555"/>
        <w:gridCol w:w="1410"/>
        <w:gridCol w:w="3015"/>
        <w:gridCol w:w="750"/>
        <w:gridCol w:w="1020"/>
        <w:gridCol w:w="1590"/>
        <w:gridCol w:w="1410"/>
      </w:tblGrid>
      <w:tr>
        <w:tblPrEx>
          <w:tblCellMar>
            <w:top w:w="0" w:type="dxa"/>
            <w:left w:w="108" w:type="dxa"/>
            <w:bottom w:w="0" w:type="dxa"/>
            <w:right w:w="108" w:type="dxa"/>
          </w:tblCellMar>
        </w:tblPrEx>
        <w:trPr>
          <w:trHeight w:val="300" w:hRule="atLeast"/>
        </w:trPr>
        <w:tc>
          <w:tcPr>
            <w:tcW w:w="5980" w:type="dxa"/>
            <w:gridSpan w:val="3"/>
            <w:tcBorders>
              <w:top w:val="single" w:color="auto" w:sz="4" w:space="0"/>
              <w:left w:val="single" w:color="auto" w:sz="4" w:space="0"/>
              <w:bottom w:val="single" w:color="auto" w:sz="4" w:space="0"/>
              <w:right w:val="single" w:color="000000" w:sz="4" w:space="0"/>
            </w:tcBorders>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收 入</w:t>
            </w:r>
          </w:p>
        </w:tc>
        <w:tc>
          <w:tcPr>
            <w:tcW w:w="7785" w:type="dxa"/>
            <w:gridSpan w:val="5"/>
            <w:tcBorders>
              <w:top w:val="single" w:color="auto" w:sz="4" w:space="0"/>
              <w:left w:val="nil"/>
              <w:bottom w:val="single" w:color="auto" w:sz="4" w:space="0"/>
              <w:right w:val="single" w:color="000000" w:sz="4" w:space="0"/>
            </w:tcBorders>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支 出</w:t>
            </w:r>
          </w:p>
        </w:tc>
      </w:tr>
      <w:tr>
        <w:tblPrEx>
          <w:tblCellMar>
            <w:top w:w="0" w:type="dxa"/>
            <w:left w:w="108" w:type="dxa"/>
            <w:bottom w:w="0" w:type="dxa"/>
            <w:right w:w="108" w:type="dxa"/>
          </w:tblCellMar>
        </w:tblPrEx>
        <w:trPr>
          <w:trHeight w:val="732" w:hRule="atLeast"/>
        </w:trPr>
        <w:tc>
          <w:tcPr>
            <w:tcW w:w="4015"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 目</w:t>
            </w:r>
          </w:p>
        </w:tc>
        <w:tc>
          <w:tcPr>
            <w:tcW w:w="555"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行次</w:t>
            </w:r>
          </w:p>
        </w:tc>
        <w:tc>
          <w:tcPr>
            <w:tcW w:w="1410"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金额</w:t>
            </w:r>
          </w:p>
        </w:tc>
        <w:tc>
          <w:tcPr>
            <w:tcW w:w="3015"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 目</w:t>
            </w:r>
          </w:p>
        </w:tc>
        <w:tc>
          <w:tcPr>
            <w:tcW w:w="750"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行次</w:t>
            </w:r>
          </w:p>
        </w:tc>
        <w:tc>
          <w:tcPr>
            <w:tcW w:w="1020"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590"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一般公共预算财政拨款</w:t>
            </w:r>
          </w:p>
        </w:tc>
        <w:tc>
          <w:tcPr>
            <w:tcW w:w="1410"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政府性基金预算财政拨款</w:t>
            </w: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栏 次</w:t>
            </w:r>
          </w:p>
        </w:tc>
        <w:tc>
          <w:tcPr>
            <w:tcW w:w="555"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3015"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栏 次</w:t>
            </w:r>
          </w:p>
        </w:tc>
        <w:tc>
          <w:tcPr>
            <w:tcW w:w="750"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02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159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141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kern w:val="0"/>
                <w:sz w:val="22"/>
                <w:szCs w:val="22"/>
              </w:rPr>
              <w:t>一、一般公共预算财政拨款收入</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141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1509.15</w:t>
            </w:r>
          </w:p>
        </w:tc>
        <w:tc>
          <w:tcPr>
            <w:tcW w:w="3015"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一、一般公共服务支出</w:t>
            </w:r>
          </w:p>
        </w:tc>
        <w:tc>
          <w:tcPr>
            <w:tcW w:w="75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18</w:t>
            </w:r>
          </w:p>
        </w:tc>
        <w:tc>
          <w:tcPr>
            <w:tcW w:w="102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1441.49</w:t>
            </w:r>
          </w:p>
        </w:tc>
        <w:tc>
          <w:tcPr>
            <w:tcW w:w="159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1441.49</w:t>
            </w: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kern w:val="0"/>
                <w:sz w:val="22"/>
                <w:szCs w:val="22"/>
              </w:rPr>
              <w:t>二、政府性基金预算财政拨款收入</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1410" w:type="dxa"/>
            <w:tcBorders>
              <w:top w:val="nil"/>
              <w:left w:val="nil"/>
              <w:bottom w:val="single" w:color="auto" w:sz="4" w:space="0"/>
              <w:right w:val="single" w:color="auto" w:sz="4" w:space="0"/>
            </w:tcBorders>
          </w:tcPr>
          <w:p>
            <w:pPr>
              <w:widowControl/>
              <w:jc w:val="center"/>
              <w:rPr>
                <w:rFonts w:hint="eastAsia" w:ascii="宋体" w:hAnsi="宋体" w:eastAsia="宋体" w:cs="宋体"/>
                <w:color w:val="000000"/>
                <w:kern w:val="0"/>
                <w:sz w:val="22"/>
                <w:szCs w:val="22"/>
                <w:lang w:val="en-US" w:eastAsia="zh-CN"/>
              </w:rPr>
            </w:pPr>
          </w:p>
        </w:tc>
        <w:tc>
          <w:tcPr>
            <w:tcW w:w="3015"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二、外交支出</w:t>
            </w:r>
          </w:p>
        </w:tc>
        <w:tc>
          <w:tcPr>
            <w:tcW w:w="75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19</w:t>
            </w:r>
          </w:p>
        </w:tc>
        <w:tc>
          <w:tcPr>
            <w:tcW w:w="102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c>
          <w:tcPr>
            <w:tcW w:w="159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1410" w:type="dxa"/>
            <w:tcBorders>
              <w:top w:val="nil"/>
              <w:left w:val="nil"/>
              <w:bottom w:val="single" w:color="auto" w:sz="4" w:space="0"/>
              <w:right w:val="single" w:color="auto" w:sz="4" w:space="0"/>
            </w:tcBorders>
          </w:tcPr>
          <w:p>
            <w:pPr>
              <w:widowControl/>
              <w:ind w:firstLine="220" w:firstLineChars="100"/>
              <w:jc w:val="center"/>
              <w:rPr>
                <w:rFonts w:hint="eastAsia" w:ascii="宋体" w:hAnsi="宋体" w:eastAsia="宋体" w:cs="宋体"/>
                <w:color w:val="000000"/>
                <w:kern w:val="0"/>
                <w:sz w:val="22"/>
                <w:szCs w:val="22"/>
              </w:rPr>
            </w:pPr>
          </w:p>
        </w:tc>
        <w:tc>
          <w:tcPr>
            <w:tcW w:w="3015" w:type="dxa"/>
            <w:tcBorders>
              <w:top w:val="nil"/>
              <w:left w:val="nil"/>
              <w:bottom w:val="single" w:color="auto" w:sz="4" w:space="0"/>
              <w:right w:val="single" w:color="auto" w:sz="4" w:space="0"/>
            </w:tcBorders>
            <w:vAlign w:val="center"/>
          </w:tcPr>
          <w:p>
            <w:pPr>
              <w:widowControl/>
              <w:jc w:val="left"/>
              <w:rPr>
                <w:rFonts w:ascii="宋体" w:hAnsi="宋体" w:eastAsia="宋体" w:cs="Arial"/>
                <w:color w:val="000000"/>
                <w:kern w:val="0"/>
                <w:sz w:val="22"/>
                <w:szCs w:val="22"/>
                <w:lang w:val="en-US" w:eastAsia="zh-CN" w:bidi="ar-SA"/>
              </w:rPr>
            </w:pPr>
            <w:r>
              <w:rPr>
                <w:rFonts w:hint="eastAsia" w:ascii="宋体" w:hAnsi="宋体" w:cs="宋体"/>
                <w:color w:val="000000"/>
                <w:kern w:val="0"/>
                <w:sz w:val="22"/>
                <w:szCs w:val="22"/>
                <w:lang w:eastAsia="zh-CN"/>
              </w:rPr>
              <w:t>八、社会保障和就业支出</w:t>
            </w:r>
          </w:p>
        </w:tc>
        <w:tc>
          <w:tcPr>
            <w:tcW w:w="750" w:type="dxa"/>
            <w:tcBorders>
              <w:top w:val="nil"/>
              <w:left w:val="nil"/>
              <w:bottom w:val="single" w:color="auto" w:sz="4" w:space="0"/>
              <w:right w:val="single" w:color="auto" w:sz="4" w:space="0"/>
            </w:tcBorders>
            <w:vAlign w:val="top"/>
          </w:tcPr>
          <w:p>
            <w:pPr>
              <w:widowControl/>
              <w:jc w:val="center"/>
              <w:rPr>
                <w:rFonts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24</w:t>
            </w:r>
          </w:p>
        </w:tc>
        <w:tc>
          <w:tcPr>
            <w:tcW w:w="102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141.55</w:t>
            </w:r>
          </w:p>
        </w:tc>
        <w:tc>
          <w:tcPr>
            <w:tcW w:w="159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141.55</w:t>
            </w: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c>
          <w:tcPr>
            <w:tcW w:w="1410" w:type="dxa"/>
            <w:tcBorders>
              <w:top w:val="nil"/>
              <w:left w:val="nil"/>
              <w:bottom w:val="single" w:color="auto" w:sz="4" w:space="0"/>
              <w:right w:val="single" w:color="auto" w:sz="4" w:space="0"/>
            </w:tcBorders>
          </w:tcPr>
          <w:p>
            <w:pPr>
              <w:widowControl/>
              <w:ind w:firstLine="220" w:firstLineChars="100"/>
              <w:jc w:val="center"/>
              <w:rPr>
                <w:rFonts w:hint="eastAsia" w:ascii="宋体" w:hAnsi="宋体" w:eastAsia="宋体" w:cs="宋体"/>
                <w:color w:val="000000"/>
                <w:kern w:val="0"/>
                <w:sz w:val="22"/>
                <w:szCs w:val="22"/>
              </w:rPr>
            </w:pPr>
          </w:p>
        </w:tc>
        <w:tc>
          <w:tcPr>
            <w:tcW w:w="3015" w:type="dxa"/>
            <w:tcBorders>
              <w:top w:val="nil"/>
              <w:left w:val="nil"/>
              <w:bottom w:val="single" w:color="auto" w:sz="4" w:space="0"/>
              <w:right w:val="single" w:color="auto" w:sz="4" w:space="0"/>
            </w:tcBorders>
            <w:vAlign w:val="center"/>
          </w:tcPr>
          <w:p>
            <w:pPr>
              <w:widowControl/>
              <w:jc w:val="left"/>
              <w:rPr>
                <w:rFonts w:ascii="宋体" w:hAnsi="宋体" w:eastAsia="宋体" w:cs="Arial"/>
                <w:color w:val="000000"/>
                <w:kern w:val="0"/>
                <w:sz w:val="22"/>
                <w:szCs w:val="22"/>
                <w:lang w:val="en-US" w:eastAsia="zh-CN" w:bidi="ar-SA"/>
              </w:rPr>
            </w:pPr>
            <w:r>
              <w:rPr>
                <w:rFonts w:hint="eastAsia" w:ascii="宋体" w:hAnsi="宋体" w:cs="宋体"/>
                <w:color w:val="000000"/>
                <w:kern w:val="0"/>
                <w:sz w:val="22"/>
                <w:szCs w:val="22"/>
                <w:lang w:eastAsia="zh-CN"/>
              </w:rPr>
              <w:t>九、卫生健康支出</w:t>
            </w:r>
          </w:p>
        </w:tc>
        <w:tc>
          <w:tcPr>
            <w:tcW w:w="750" w:type="dxa"/>
            <w:tcBorders>
              <w:top w:val="nil"/>
              <w:left w:val="nil"/>
              <w:bottom w:val="single" w:color="auto" w:sz="4" w:space="0"/>
              <w:right w:val="single" w:color="auto" w:sz="4" w:space="0"/>
            </w:tcBorders>
            <w:vAlign w:val="top"/>
          </w:tcPr>
          <w:p>
            <w:pPr>
              <w:widowControl/>
              <w:jc w:val="center"/>
              <w:rPr>
                <w:rFonts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25</w:t>
            </w:r>
          </w:p>
        </w:tc>
        <w:tc>
          <w:tcPr>
            <w:tcW w:w="102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42.63</w:t>
            </w:r>
          </w:p>
        </w:tc>
        <w:tc>
          <w:tcPr>
            <w:tcW w:w="159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42.63</w:t>
            </w: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w:t>
            </w:r>
          </w:p>
        </w:tc>
        <w:tc>
          <w:tcPr>
            <w:tcW w:w="1410" w:type="dxa"/>
            <w:tcBorders>
              <w:top w:val="nil"/>
              <w:left w:val="nil"/>
              <w:bottom w:val="single" w:color="auto" w:sz="4" w:space="0"/>
              <w:right w:val="single" w:color="auto" w:sz="4" w:space="0"/>
            </w:tcBorders>
          </w:tcPr>
          <w:p>
            <w:pPr>
              <w:widowControl/>
              <w:ind w:firstLine="220" w:firstLineChars="100"/>
              <w:jc w:val="center"/>
              <w:rPr>
                <w:rFonts w:hint="eastAsia" w:ascii="宋体" w:hAnsi="宋体" w:eastAsia="宋体" w:cs="宋体"/>
                <w:color w:val="000000"/>
                <w:kern w:val="0"/>
                <w:sz w:val="22"/>
                <w:szCs w:val="22"/>
              </w:rPr>
            </w:pPr>
          </w:p>
        </w:tc>
        <w:tc>
          <w:tcPr>
            <w:tcW w:w="3015" w:type="dxa"/>
            <w:tcBorders>
              <w:top w:val="nil"/>
              <w:left w:val="nil"/>
              <w:bottom w:val="single" w:color="auto" w:sz="4" w:space="0"/>
              <w:right w:val="single" w:color="auto" w:sz="4" w:space="0"/>
            </w:tcBorders>
            <w:vAlign w:val="center"/>
          </w:tcPr>
          <w:p>
            <w:pPr>
              <w:widowControl/>
              <w:jc w:val="left"/>
              <w:rPr>
                <w:rFonts w:ascii="宋体" w:hAnsi="宋体" w:eastAsia="宋体" w:cs="Arial"/>
                <w:color w:val="000000"/>
                <w:kern w:val="0"/>
                <w:sz w:val="22"/>
                <w:szCs w:val="22"/>
                <w:lang w:val="en-US" w:eastAsia="zh-CN" w:bidi="ar-SA"/>
              </w:rPr>
            </w:pPr>
            <w:r>
              <w:rPr>
                <w:rFonts w:hint="eastAsia" w:ascii="宋体" w:hAnsi="宋体" w:eastAsia="宋体" w:cs="宋体"/>
                <w:i w:val="0"/>
                <w:iCs w:val="0"/>
                <w:caps w:val="0"/>
                <w:color w:val="000000"/>
                <w:spacing w:val="0"/>
                <w:sz w:val="22"/>
                <w:szCs w:val="22"/>
                <w:shd w:val="clear" w:fill="FFFFFF"/>
              </w:rPr>
              <w:t>……</w:t>
            </w:r>
          </w:p>
        </w:tc>
        <w:tc>
          <w:tcPr>
            <w:tcW w:w="750" w:type="dxa"/>
            <w:tcBorders>
              <w:top w:val="nil"/>
              <w:left w:val="nil"/>
              <w:bottom w:val="single" w:color="auto" w:sz="4" w:space="0"/>
              <w:right w:val="single" w:color="auto" w:sz="4" w:space="0"/>
            </w:tcBorders>
            <w:vAlign w:val="top"/>
          </w:tcPr>
          <w:p>
            <w:pPr>
              <w:widowControl/>
              <w:jc w:val="center"/>
              <w:rPr>
                <w:rFonts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26</w:t>
            </w:r>
          </w:p>
        </w:tc>
        <w:tc>
          <w:tcPr>
            <w:tcW w:w="102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c>
          <w:tcPr>
            <w:tcW w:w="159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w:t>
            </w:r>
          </w:p>
        </w:tc>
        <w:tc>
          <w:tcPr>
            <w:tcW w:w="1410" w:type="dxa"/>
            <w:tcBorders>
              <w:top w:val="nil"/>
              <w:left w:val="nil"/>
              <w:bottom w:val="single" w:color="auto" w:sz="4" w:space="0"/>
              <w:right w:val="single" w:color="auto" w:sz="4" w:space="0"/>
            </w:tcBorders>
          </w:tcPr>
          <w:p>
            <w:pPr>
              <w:widowControl/>
              <w:ind w:firstLine="220" w:firstLineChars="100"/>
              <w:jc w:val="center"/>
              <w:rPr>
                <w:rFonts w:hint="eastAsia" w:ascii="宋体" w:hAnsi="宋体" w:eastAsia="宋体" w:cs="宋体"/>
                <w:color w:val="000000"/>
                <w:kern w:val="0"/>
                <w:sz w:val="22"/>
                <w:szCs w:val="22"/>
              </w:rPr>
            </w:pPr>
          </w:p>
        </w:tc>
        <w:tc>
          <w:tcPr>
            <w:tcW w:w="3015" w:type="dxa"/>
            <w:tcBorders>
              <w:top w:val="nil"/>
              <w:left w:val="nil"/>
              <w:bottom w:val="single" w:color="auto" w:sz="4" w:space="0"/>
              <w:right w:val="single" w:color="auto" w:sz="4" w:space="0"/>
            </w:tcBorders>
            <w:vAlign w:val="center"/>
          </w:tcPr>
          <w:p>
            <w:pPr>
              <w:widowControl/>
              <w:jc w:val="left"/>
              <w:rPr>
                <w:rFonts w:ascii="宋体" w:hAnsi="宋体" w:eastAsia="宋体" w:cs="Arial"/>
                <w:color w:val="000000"/>
                <w:kern w:val="0"/>
                <w:sz w:val="22"/>
                <w:szCs w:val="22"/>
                <w:lang w:val="en-US" w:eastAsia="zh-CN" w:bidi="ar-SA"/>
              </w:rPr>
            </w:pPr>
            <w:r>
              <w:rPr>
                <w:rFonts w:hint="eastAsia" w:ascii="宋体" w:hAnsi="宋体" w:cs="宋体"/>
                <w:color w:val="000000"/>
                <w:kern w:val="0"/>
                <w:sz w:val="22"/>
                <w:szCs w:val="22"/>
                <w:lang w:eastAsia="zh-CN"/>
              </w:rPr>
              <w:t>十一、城乡社区支出</w:t>
            </w:r>
          </w:p>
        </w:tc>
        <w:tc>
          <w:tcPr>
            <w:tcW w:w="750" w:type="dxa"/>
            <w:tcBorders>
              <w:top w:val="nil"/>
              <w:left w:val="nil"/>
              <w:bottom w:val="single" w:color="auto" w:sz="4" w:space="0"/>
              <w:right w:val="single" w:color="auto" w:sz="4" w:space="0"/>
            </w:tcBorders>
            <w:vAlign w:val="top"/>
          </w:tcPr>
          <w:p>
            <w:pPr>
              <w:widowControl/>
              <w:jc w:val="center"/>
              <w:rPr>
                <w:rFonts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27</w:t>
            </w:r>
          </w:p>
        </w:tc>
        <w:tc>
          <w:tcPr>
            <w:tcW w:w="102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c>
          <w:tcPr>
            <w:tcW w:w="159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w:t>
            </w:r>
          </w:p>
        </w:tc>
        <w:tc>
          <w:tcPr>
            <w:tcW w:w="1410" w:type="dxa"/>
            <w:tcBorders>
              <w:top w:val="nil"/>
              <w:left w:val="nil"/>
              <w:bottom w:val="single" w:color="auto" w:sz="4" w:space="0"/>
              <w:right w:val="single" w:color="auto" w:sz="4" w:space="0"/>
            </w:tcBorders>
          </w:tcPr>
          <w:p>
            <w:pPr>
              <w:widowControl/>
              <w:ind w:firstLine="220" w:firstLineChars="100"/>
              <w:jc w:val="center"/>
              <w:rPr>
                <w:rFonts w:hint="eastAsia" w:ascii="宋体" w:hAnsi="宋体" w:eastAsia="宋体" w:cs="宋体"/>
                <w:color w:val="000000"/>
                <w:kern w:val="0"/>
                <w:sz w:val="22"/>
                <w:szCs w:val="22"/>
              </w:rPr>
            </w:pPr>
          </w:p>
        </w:tc>
        <w:tc>
          <w:tcPr>
            <w:tcW w:w="3015" w:type="dxa"/>
            <w:tcBorders>
              <w:top w:val="nil"/>
              <w:left w:val="nil"/>
              <w:bottom w:val="single" w:color="auto" w:sz="4" w:space="0"/>
              <w:right w:val="single" w:color="auto" w:sz="4" w:space="0"/>
            </w:tcBorders>
            <w:vAlign w:val="center"/>
          </w:tcPr>
          <w:p>
            <w:pPr>
              <w:widowControl/>
              <w:jc w:val="left"/>
              <w:rPr>
                <w:rFonts w:ascii="宋体" w:hAnsi="宋体" w:eastAsia="宋体" w:cs="Arial"/>
                <w:color w:val="000000"/>
                <w:kern w:val="0"/>
                <w:sz w:val="22"/>
                <w:szCs w:val="22"/>
                <w:lang w:val="en-US" w:eastAsia="zh-CN" w:bidi="ar-SA"/>
              </w:rPr>
            </w:pPr>
            <w:r>
              <w:rPr>
                <w:rFonts w:hint="eastAsia" w:ascii="宋体" w:hAnsi="宋体" w:eastAsia="宋体" w:cs="宋体"/>
                <w:i w:val="0"/>
                <w:iCs w:val="0"/>
                <w:caps w:val="0"/>
                <w:color w:val="000000"/>
                <w:spacing w:val="0"/>
                <w:sz w:val="22"/>
                <w:szCs w:val="22"/>
                <w:shd w:val="clear" w:fill="FFFFFF"/>
              </w:rPr>
              <w:t>……</w:t>
            </w:r>
          </w:p>
        </w:tc>
        <w:tc>
          <w:tcPr>
            <w:tcW w:w="750" w:type="dxa"/>
            <w:tcBorders>
              <w:top w:val="nil"/>
              <w:left w:val="nil"/>
              <w:bottom w:val="single" w:color="auto" w:sz="4" w:space="0"/>
              <w:right w:val="single" w:color="auto" w:sz="4" w:space="0"/>
            </w:tcBorders>
            <w:vAlign w:val="top"/>
          </w:tcPr>
          <w:p>
            <w:pPr>
              <w:widowControl/>
              <w:jc w:val="center"/>
              <w:rPr>
                <w:rFonts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28</w:t>
            </w:r>
          </w:p>
        </w:tc>
        <w:tc>
          <w:tcPr>
            <w:tcW w:w="102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c>
          <w:tcPr>
            <w:tcW w:w="159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8</w:t>
            </w:r>
          </w:p>
        </w:tc>
        <w:tc>
          <w:tcPr>
            <w:tcW w:w="1410" w:type="dxa"/>
            <w:tcBorders>
              <w:top w:val="nil"/>
              <w:left w:val="nil"/>
              <w:bottom w:val="single" w:color="auto" w:sz="4" w:space="0"/>
              <w:right w:val="single" w:color="auto" w:sz="4" w:space="0"/>
            </w:tcBorders>
          </w:tcPr>
          <w:p>
            <w:pPr>
              <w:widowControl/>
              <w:ind w:firstLine="220" w:firstLineChars="100"/>
              <w:jc w:val="center"/>
              <w:rPr>
                <w:rFonts w:hint="eastAsia" w:ascii="宋体" w:hAnsi="宋体" w:eastAsia="宋体" w:cs="宋体"/>
                <w:color w:val="000000"/>
                <w:kern w:val="0"/>
                <w:sz w:val="22"/>
                <w:szCs w:val="22"/>
              </w:rPr>
            </w:pPr>
          </w:p>
        </w:tc>
        <w:tc>
          <w:tcPr>
            <w:tcW w:w="3015" w:type="dxa"/>
            <w:tcBorders>
              <w:top w:val="nil"/>
              <w:left w:val="nil"/>
              <w:bottom w:val="single" w:color="auto" w:sz="4" w:space="0"/>
              <w:right w:val="single" w:color="auto" w:sz="4" w:space="0"/>
            </w:tcBorders>
            <w:vAlign w:val="center"/>
          </w:tcPr>
          <w:p>
            <w:pPr>
              <w:widowControl/>
              <w:jc w:val="left"/>
              <w:rPr>
                <w:rFonts w:hint="eastAsia" w:ascii="宋体" w:hAnsi="宋体" w:eastAsia="宋体" w:cs="Arial"/>
                <w:kern w:val="0"/>
                <w:sz w:val="22"/>
                <w:szCs w:val="22"/>
                <w:lang w:val="en-US" w:eastAsia="zh-CN" w:bidi="ar-SA"/>
              </w:rPr>
            </w:pPr>
            <w:r>
              <w:rPr>
                <w:rFonts w:hint="eastAsia" w:ascii="宋体" w:hAnsi="宋体" w:cs="宋体"/>
                <w:color w:val="000000"/>
                <w:kern w:val="0"/>
                <w:sz w:val="22"/>
                <w:szCs w:val="22"/>
                <w:lang w:eastAsia="zh-CN"/>
              </w:rPr>
              <w:t>十九、住房保障支出</w:t>
            </w:r>
          </w:p>
        </w:tc>
        <w:tc>
          <w:tcPr>
            <w:tcW w:w="75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29</w:t>
            </w:r>
          </w:p>
        </w:tc>
        <w:tc>
          <w:tcPr>
            <w:tcW w:w="102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107.90</w:t>
            </w:r>
          </w:p>
        </w:tc>
        <w:tc>
          <w:tcPr>
            <w:tcW w:w="159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107.90</w:t>
            </w: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5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9</w:t>
            </w:r>
          </w:p>
        </w:tc>
        <w:tc>
          <w:tcPr>
            <w:tcW w:w="1410" w:type="dxa"/>
            <w:tcBorders>
              <w:top w:val="nil"/>
              <w:left w:val="nil"/>
              <w:bottom w:val="single" w:color="auto" w:sz="4" w:space="0"/>
              <w:right w:val="single" w:color="auto" w:sz="4" w:space="0"/>
            </w:tcBorders>
          </w:tcPr>
          <w:p>
            <w:pPr>
              <w:widowControl/>
              <w:ind w:firstLine="220" w:firstLineChars="100"/>
              <w:jc w:val="center"/>
              <w:rPr>
                <w:rFonts w:hint="eastAsia" w:ascii="宋体" w:hAnsi="宋体" w:eastAsia="宋体" w:cs="宋体"/>
                <w:color w:val="000000"/>
                <w:kern w:val="0"/>
                <w:sz w:val="22"/>
                <w:szCs w:val="22"/>
              </w:rPr>
            </w:pPr>
          </w:p>
        </w:tc>
        <w:tc>
          <w:tcPr>
            <w:tcW w:w="3015" w:type="dxa"/>
            <w:tcBorders>
              <w:top w:val="nil"/>
              <w:left w:val="nil"/>
              <w:bottom w:val="single" w:color="auto" w:sz="4" w:space="0"/>
              <w:right w:val="single" w:color="auto" w:sz="4" w:space="0"/>
            </w:tcBorders>
            <w:vAlign w:val="center"/>
          </w:tcPr>
          <w:p>
            <w:pPr>
              <w:widowControl/>
              <w:jc w:val="left"/>
              <w:rPr>
                <w:rFonts w:hint="eastAsia" w:ascii="宋体" w:hAnsi="宋体" w:eastAsia="宋体" w:cs="Arial"/>
                <w:kern w:val="0"/>
                <w:sz w:val="22"/>
                <w:szCs w:val="22"/>
                <w:lang w:val="en-US" w:eastAsia="zh-CN" w:bidi="ar-SA"/>
              </w:rPr>
            </w:pPr>
            <w:r>
              <w:rPr>
                <w:rFonts w:hint="eastAsia" w:ascii="宋体" w:hAnsi="宋体" w:eastAsia="宋体" w:cs="宋体"/>
                <w:i w:val="0"/>
                <w:iCs w:val="0"/>
                <w:caps w:val="0"/>
                <w:color w:val="000000"/>
                <w:spacing w:val="0"/>
                <w:sz w:val="22"/>
                <w:szCs w:val="22"/>
                <w:shd w:val="clear" w:fill="FFFFFF"/>
              </w:rPr>
              <w:t>……</w:t>
            </w:r>
          </w:p>
        </w:tc>
        <w:tc>
          <w:tcPr>
            <w:tcW w:w="750" w:type="dxa"/>
            <w:tcBorders>
              <w:top w:val="nil"/>
              <w:left w:val="nil"/>
              <w:bottom w:val="single" w:color="auto" w:sz="4" w:space="0"/>
              <w:right w:val="single" w:color="auto" w:sz="4" w:space="0"/>
            </w:tcBorders>
            <w:vAlign w:val="top"/>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30</w:t>
            </w:r>
          </w:p>
        </w:tc>
        <w:tc>
          <w:tcPr>
            <w:tcW w:w="102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c>
          <w:tcPr>
            <w:tcW w:w="159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ind w:firstLine="1540" w:firstLineChars="700"/>
              <w:jc w:val="left"/>
              <w:rPr>
                <w:rFonts w:ascii="宋体" w:hAnsi="宋体" w:cs="Arial"/>
                <w:color w:val="000000"/>
                <w:kern w:val="0"/>
                <w:sz w:val="22"/>
                <w:szCs w:val="22"/>
              </w:rPr>
            </w:pPr>
            <w:r>
              <w:rPr>
                <w:rFonts w:hint="eastAsia" w:ascii="宋体" w:hAnsi="宋体" w:cs="Arial"/>
                <w:kern w:val="0"/>
                <w:sz w:val="22"/>
                <w:szCs w:val="22"/>
              </w:rPr>
              <w:t>本年收入合计</w:t>
            </w:r>
          </w:p>
        </w:tc>
        <w:tc>
          <w:tcPr>
            <w:tcW w:w="555"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1</w:t>
            </w:r>
            <w:r>
              <w:rPr>
                <w:rFonts w:hint="eastAsia" w:ascii="宋体" w:hAnsi="宋体" w:cs="Arial"/>
                <w:color w:val="000000"/>
                <w:kern w:val="0"/>
                <w:sz w:val="22"/>
                <w:szCs w:val="22"/>
                <w:lang w:val="en-US" w:eastAsia="zh-CN"/>
              </w:rPr>
              <w:t>4</w:t>
            </w:r>
          </w:p>
        </w:tc>
        <w:tc>
          <w:tcPr>
            <w:tcW w:w="141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1509.15</w:t>
            </w:r>
          </w:p>
        </w:tc>
        <w:tc>
          <w:tcPr>
            <w:tcW w:w="301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本年支出合计</w:t>
            </w:r>
          </w:p>
        </w:tc>
        <w:tc>
          <w:tcPr>
            <w:tcW w:w="750" w:type="dxa"/>
            <w:tcBorders>
              <w:top w:val="nil"/>
              <w:left w:val="nil"/>
              <w:bottom w:val="single" w:color="auto" w:sz="4" w:space="0"/>
              <w:right w:val="single" w:color="auto" w:sz="4" w:space="0"/>
            </w:tcBorders>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31</w:t>
            </w:r>
          </w:p>
        </w:tc>
        <w:tc>
          <w:tcPr>
            <w:tcW w:w="4020" w:type="dxa"/>
            <w:gridSpan w:val="3"/>
            <w:tcBorders>
              <w:top w:val="single" w:color="auto" w:sz="4" w:space="0"/>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1733.58</w:t>
            </w: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kern w:val="0"/>
                <w:sz w:val="22"/>
                <w:szCs w:val="22"/>
              </w:rPr>
              <w:t>年初财政拨款结转和结余</w:t>
            </w:r>
          </w:p>
        </w:tc>
        <w:tc>
          <w:tcPr>
            <w:tcW w:w="555"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1</w:t>
            </w:r>
            <w:r>
              <w:rPr>
                <w:rFonts w:hint="eastAsia" w:ascii="宋体" w:hAnsi="宋体" w:cs="Arial"/>
                <w:color w:val="000000"/>
                <w:kern w:val="0"/>
                <w:sz w:val="22"/>
                <w:szCs w:val="22"/>
                <w:lang w:val="en-US" w:eastAsia="zh-CN"/>
              </w:rPr>
              <w:t>5</w:t>
            </w:r>
          </w:p>
        </w:tc>
        <w:tc>
          <w:tcPr>
            <w:tcW w:w="141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314.28</w:t>
            </w:r>
          </w:p>
        </w:tc>
        <w:tc>
          <w:tcPr>
            <w:tcW w:w="301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年末财政拨款结转和结余</w:t>
            </w:r>
          </w:p>
        </w:tc>
        <w:tc>
          <w:tcPr>
            <w:tcW w:w="750"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3</w:t>
            </w:r>
            <w:r>
              <w:rPr>
                <w:rFonts w:hint="eastAsia" w:ascii="宋体" w:hAnsi="宋体" w:cs="Arial"/>
                <w:color w:val="000000"/>
                <w:kern w:val="0"/>
                <w:sz w:val="22"/>
                <w:szCs w:val="22"/>
                <w:lang w:val="en-US" w:eastAsia="zh-CN"/>
              </w:rPr>
              <w:t>2</w:t>
            </w:r>
          </w:p>
        </w:tc>
        <w:tc>
          <w:tcPr>
            <w:tcW w:w="4020" w:type="dxa"/>
            <w:gridSpan w:val="3"/>
            <w:tcBorders>
              <w:top w:val="single" w:color="auto" w:sz="4" w:space="0"/>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89.85</w:t>
            </w: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kern w:val="0"/>
                <w:sz w:val="22"/>
                <w:szCs w:val="22"/>
              </w:rPr>
            </w:pPr>
            <w:r>
              <w:rPr>
                <w:rFonts w:hint="eastAsia" w:ascii="宋体" w:hAnsi="宋体" w:cs="Arial"/>
                <w:kern w:val="0"/>
                <w:sz w:val="22"/>
                <w:szCs w:val="22"/>
                <w:lang w:eastAsia="zh-CN"/>
              </w:rPr>
              <w:t>一、</w:t>
            </w:r>
            <w:r>
              <w:rPr>
                <w:rFonts w:hint="eastAsia" w:ascii="宋体" w:hAnsi="宋体" w:cs="Arial"/>
                <w:kern w:val="0"/>
                <w:sz w:val="22"/>
                <w:szCs w:val="22"/>
              </w:rPr>
              <w:t>一般公共预算财政拨款</w:t>
            </w:r>
          </w:p>
        </w:tc>
        <w:tc>
          <w:tcPr>
            <w:tcW w:w="555"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1</w:t>
            </w:r>
            <w:r>
              <w:rPr>
                <w:rFonts w:hint="eastAsia" w:ascii="宋体" w:hAnsi="宋体" w:cs="Arial"/>
                <w:color w:val="000000"/>
                <w:kern w:val="0"/>
                <w:sz w:val="22"/>
                <w:szCs w:val="22"/>
                <w:lang w:val="en-US" w:eastAsia="zh-CN"/>
              </w:rPr>
              <w:t>6</w:t>
            </w:r>
          </w:p>
        </w:tc>
        <w:tc>
          <w:tcPr>
            <w:tcW w:w="141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314.28</w:t>
            </w:r>
          </w:p>
        </w:tc>
        <w:tc>
          <w:tcPr>
            <w:tcW w:w="3015"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750"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3</w:t>
            </w:r>
            <w:r>
              <w:rPr>
                <w:rFonts w:hint="eastAsia" w:ascii="宋体" w:hAnsi="宋体" w:cs="Arial"/>
                <w:color w:val="000000"/>
                <w:kern w:val="0"/>
                <w:sz w:val="22"/>
                <w:szCs w:val="22"/>
                <w:lang w:val="en-US" w:eastAsia="zh-CN"/>
              </w:rPr>
              <w:t>3</w:t>
            </w:r>
          </w:p>
        </w:tc>
        <w:tc>
          <w:tcPr>
            <w:tcW w:w="4020" w:type="dxa"/>
            <w:gridSpan w:val="3"/>
            <w:tcBorders>
              <w:top w:val="single" w:color="auto" w:sz="4" w:space="0"/>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kern w:val="0"/>
                <w:sz w:val="22"/>
                <w:szCs w:val="22"/>
                <w:lang w:eastAsia="zh-CN"/>
              </w:rPr>
              <w:t>二、</w:t>
            </w:r>
            <w:r>
              <w:rPr>
                <w:rFonts w:hint="eastAsia" w:ascii="宋体" w:hAnsi="宋体" w:cs="Arial"/>
                <w:kern w:val="0"/>
                <w:sz w:val="22"/>
                <w:szCs w:val="22"/>
              </w:rPr>
              <w:t>政府性基金预算财政拨款</w:t>
            </w:r>
          </w:p>
        </w:tc>
        <w:tc>
          <w:tcPr>
            <w:tcW w:w="555"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1</w:t>
            </w:r>
            <w:r>
              <w:rPr>
                <w:rFonts w:hint="eastAsia" w:ascii="宋体" w:hAnsi="宋体" w:cs="Arial"/>
                <w:color w:val="000000"/>
                <w:kern w:val="0"/>
                <w:sz w:val="22"/>
                <w:szCs w:val="22"/>
                <w:lang w:val="en-US" w:eastAsia="zh-CN"/>
              </w:rPr>
              <w:t>7</w:t>
            </w:r>
          </w:p>
        </w:tc>
        <w:tc>
          <w:tcPr>
            <w:tcW w:w="141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c>
        <w:tc>
          <w:tcPr>
            <w:tcW w:w="3015"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750"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3</w:t>
            </w:r>
            <w:r>
              <w:rPr>
                <w:rFonts w:hint="eastAsia" w:ascii="宋体" w:hAnsi="宋体" w:cs="Arial"/>
                <w:color w:val="000000"/>
                <w:kern w:val="0"/>
                <w:sz w:val="22"/>
                <w:szCs w:val="22"/>
                <w:lang w:val="en-US" w:eastAsia="zh-CN"/>
              </w:rPr>
              <w:t>4</w:t>
            </w:r>
          </w:p>
        </w:tc>
        <w:tc>
          <w:tcPr>
            <w:tcW w:w="4020" w:type="dxa"/>
            <w:gridSpan w:val="3"/>
            <w:tcBorders>
              <w:top w:val="single" w:color="auto" w:sz="4" w:space="0"/>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trPr>
        <w:tc>
          <w:tcPr>
            <w:tcW w:w="4015" w:type="dxa"/>
            <w:tcBorders>
              <w:top w:val="nil"/>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555"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1</w:t>
            </w:r>
            <w:r>
              <w:rPr>
                <w:rFonts w:hint="eastAsia" w:ascii="宋体" w:hAnsi="宋体" w:cs="Arial"/>
                <w:color w:val="000000"/>
                <w:kern w:val="0"/>
                <w:sz w:val="22"/>
                <w:szCs w:val="22"/>
                <w:lang w:val="en-US" w:eastAsia="zh-CN"/>
              </w:rPr>
              <w:t>9</w:t>
            </w:r>
          </w:p>
        </w:tc>
        <w:tc>
          <w:tcPr>
            <w:tcW w:w="141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1823.43</w:t>
            </w:r>
          </w:p>
        </w:tc>
        <w:tc>
          <w:tcPr>
            <w:tcW w:w="301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750" w:type="dxa"/>
            <w:tcBorders>
              <w:top w:val="nil"/>
              <w:left w:val="nil"/>
              <w:bottom w:val="single" w:color="auto" w:sz="4" w:space="0"/>
              <w:right w:val="single" w:color="auto" w:sz="4" w:space="0"/>
            </w:tcBorders>
          </w:tcPr>
          <w:p>
            <w:pPr>
              <w:widowControl/>
              <w:jc w:val="center"/>
              <w:rPr>
                <w:rFonts w:hint="eastAsia" w:ascii="宋体" w:hAnsi="宋体" w:eastAsia="宋体" w:cs="Arial"/>
                <w:color w:val="000000"/>
                <w:kern w:val="0"/>
                <w:sz w:val="22"/>
                <w:szCs w:val="22"/>
                <w:lang w:val="en-US" w:eastAsia="zh-CN"/>
              </w:rPr>
            </w:pPr>
            <w:r>
              <w:rPr>
                <w:rFonts w:hint="eastAsia" w:ascii="宋体" w:hAnsi="宋体" w:cs="Arial"/>
                <w:color w:val="000000"/>
                <w:kern w:val="0"/>
                <w:sz w:val="22"/>
                <w:szCs w:val="22"/>
              </w:rPr>
              <w:t>3</w:t>
            </w:r>
            <w:r>
              <w:rPr>
                <w:rFonts w:hint="eastAsia" w:ascii="宋体" w:hAnsi="宋体" w:cs="Arial"/>
                <w:color w:val="000000"/>
                <w:kern w:val="0"/>
                <w:sz w:val="22"/>
                <w:szCs w:val="22"/>
                <w:lang w:val="en-US" w:eastAsia="zh-CN"/>
              </w:rPr>
              <w:t>6</w:t>
            </w:r>
          </w:p>
        </w:tc>
        <w:tc>
          <w:tcPr>
            <w:tcW w:w="4020" w:type="dxa"/>
            <w:gridSpan w:val="3"/>
            <w:tcBorders>
              <w:top w:val="single" w:color="auto" w:sz="4" w:space="0"/>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1823.43</w:t>
            </w:r>
          </w:p>
        </w:tc>
      </w:tr>
    </w:tbl>
    <w:p>
      <w:pPr>
        <w:rPr>
          <w:rFonts w:hint="eastAsia"/>
        </w:rPr>
      </w:pPr>
      <w:r>
        <w:rPr>
          <w:rFonts w:hint="eastAsia"/>
        </w:rPr>
        <w:t>注：本表反映部门本年度一般公共预算财政拨款和政府性基金预算财政拨款的总收支和年末结转结余情况。</w:t>
      </w:r>
    </w:p>
    <w:p>
      <w:pPr>
        <w:rPr>
          <w:rFonts w:hint="eastAsia"/>
        </w:rPr>
      </w:pPr>
    </w:p>
    <w:p>
      <w:pPr>
        <w:rPr>
          <w:rFonts w:hint="eastAsia"/>
        </w:rPr>
      </w:pPr>
    </w:p>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表五：</w:t>
      </w:r>
      <w:r>
        <w:rPr>
          <w:rFonts w:hint="eastAsia" w:ascii="方正小标宋简体" w:eastAsia="方正小标宋简体"/>
          <w:sz w:val="36"/>
          <w:szCs w:val="36"/>
        </w:rPr>
        <w:t>一般</w:t>
      </w:r>
      <w:r>
        <w:rPr>
          <w:rFonts w:hint="eastAsia" w:ascii="方正小标宋简体" w:hAnsi="宋体" w:eastAsia="方正小标宋简体" w:cs="宋体"/>
          <w:kern w:val="0"/>
          <w:sz w:val="36"/>
          <w:szCs w:val="36"/>
        </w:rPr>
        <w:t>公共预算财政拨款支出决算表</w:t>
      </w:r>
    </w:p>
    <w:p>
      <w:pPr>
        <w:jc w:val="right"/>
        <w:rPr>
          <w:rFonts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bl>
      <w:tblPr>
        <w:tblStyle w:val="6"/>
        <w:tblW w:w="13479" w:type="dxa"/>
        <w:jc w:val="center"/>
        <w:tblLayout w:type="fixed"/>
        <w:tblCellMar>
          <w:top w:w="0" w:type="dxa"/>
          <w:left w:w="108" w:type="dxa"/>
          <w:bottom w:w="0" w:type="dxa"/>
          <w:right w:w="108" w:type="dxa"/>
        </w:tblCellMar>
      </w:tblPr>
      <w:tblGrid>
        <w:gridCol w:w="1283"/>
        <w:gridCol w:w="3000"/>
        <w:gridCol w:w="2900"/>
        <w:gridCol w:w="2900"/>
        <w:gridCol w:w="3396"/>
      </w:tblGrid>
      <w:tr>
        <w:tblPrEx>
          <w:tblCellMar>
            <w:top w:w="0" w:type="dxa"/>
            <w:left w:w="108" w:type="dxa"/>
            <w:bottom w:w="0" w:type="dxa"/>
            <w:right w:w="108" w:type="dxa"/>
          </w:tblCellMar>
        </w:tblPrEx>
        <w:trPr>
          <w:trHeight w:val="300" w:hRule="atLeast"/>
          <w:jc w:val="center"/>
        </w:trPr>
        <w:tc>
          <w:tcPr>
            <w:tcW w:w="428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cs="Arial"/>
                <w:kern w:val="0"/>
                <w:sz w:val="22"/>
                <w:szCs w:val="22"/>
              </w:rPr>
              <w:t>支出功能</w:t>
            </w:r>
            <w:r>
              <w:rPr>
                <w:rFonts w:hint="eastAsia" w:ascii="MingLiU" w:hAnsi="MingLiU" w:eastAsia="MingLiU" w:cs="Arial"/>
                <w:kern w:val="0"/>
                <w:sz w:val="22"/>
                <w:szCs w:val="22"/>
              </w:rPr>
              <w:t>项 目</w:t>
            </w:r>
          </w:p>
        </w:tc>
        <w:tc>
          <w:tcPr>
            <w:tcW w:w="29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合计</w:t>
            </w:r>
          </w:p>
        </w:tc>
        <w:tc>
          <w:tcPr>
            <w:tcW w:w="29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基本支出</w:t>
            </w:r>
          </w:p>
        </w:tc>
        <w:tc>
          <w:tcPr>
            <w:tcW w:w="339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项目支出</w:t>
            </w:r>
          </w:p>
        </w:tc>
      </w:tr>
      <w:tr>
        <w:tblPrEx>
          <w:tblCellMar>
            <w:top w:w="0" w:type="dxa"/>
            <w:left w:w="108" w:type="dxa"/>
            <w:bottom w:w="0" w:type="dxa"/>
            <w:right w:w="108" w:type="dxa"/>
          </w:tblCellMar>
        </w:tblPrEx>
        <w:trPr>
          <w:trHeight w:val="300" w:hRule="atLeast"/>
          <w:jc w:val="center"/>
        </w:trPr>
        <w:tc>
          <w:tcPr>
            <w:tcW w:w="1283" w:type="dxa"/>
            <w:tcBorders>
              <w:top w:val="nil"/>
              <w:left w:val="single" w:color="auto" w:sz="4" w:space="0"/>
              <w:bottom w:val="single" w:color="auto" w:sz="4" w:space="0"/>
              <w:right w:val="single" w:color="auto" w:sz="4" w:space="0"/>
            </w:tcBorders>
            <w:vAlign w:val="center"/>
          </w:tcPr>
          <w:p>
            <w:pPr>
              <w:widowControl/>
              <w:rPr>
                <w:rFonts w:ascii="MingLiU" w:hAnsi="MingLiU" w:eastAsia="MingLiU" w:cs="Arial"/>
                <w:kern w:val="0"/>
                <w:sz w:val="22"/>
                <w:szCs w:val="22"/>
              </w:rPr>
            </w:pPr>
            <w:r>
              <w:rPr>
                <w:rFonts w:hint="eastAsia" w:ascii="MingLiU" w:hAnsi="MingLiU" w:cs="Arial"/>
                <w:kern w:val="0"/>
                <w:sz w:val="22"/>
                <w:szCs w:val="22"/>
              </w:rPr>
              <w:t>支出功能分类</w:t>
            </w:r>
            <w:r>
              <w:rPr>
                <w:rFonts w:hint="eastAsia" w:ascii="MingLiU" w:hAnsi="MingLiU" w:eastAsia="MingLiU" w:cs="Arial"/>
                <w:kern w:val="0"/>
                <w:sz w:val="22"/>
                <w:szCs w:val="22"/>
              </w:rPr>
              <w:t>科目编码</w:t>
            </w:r>
          </w:p>
        </w:tc>
        <w:tc>
          <w:tcPr>
            <w:tcW w:w="3000" w:type="dxa"/>
            <w:tcBorders>
              <w:top w:val="nil"/>
              <w:left w:val="nil"/>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科目名称</w:t>
            </w:r>
          </w:p>
        </w:tc>
        <w:tc>
          <w:tcPr>
            <w:tcW w:w="2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color w:val="000000"/>
                <w:kern w:val="0"/>
                <w:sz w:val="20"/>
                <w:szCs w:val="20"/>
              </w:rPr>
            </w:pPr>
          </w:p>
        </w:tc>
        <w:tc>
          <w:tcPr>
            <w:tcW w:w="2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color w:val="000000"/>
                <w:kern w:val="0"/>
                <w:sz w:val="20"/>
                <w:szCs w:val="20"/>
              </w:rPr>
            </w:pPr>
          </w:p>
        </w:tc>
        <w:tc>
          <w:tcPr>
            <w:tcW w:w="33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64" w:hRule="atLeast"/>
          <w:jc w:val="center"/>
        </w:trPr>
        <w:tc>
          <w:tcPr>
            <w:tcW w:w="4283" w:type="dxa"/>
            <w:gridSpan w:val="2"/>
            <w:tcBorders>
              <w:top w:val="single" w:color="auto" w:sz="4" w:space="0"/>
              <w:left w:val="single" w:color="auto" w:sz="4" w:space="0"/>
              <w:bottom w:val="single" w:color="auto" w:sz="4" w:space="0"/>
              <w:right w:val="single" w:color="auto" w:sz="4" w:space="0"/>
            </w:tcBorders>
          </w:tcPr>
          <w:p>
            <w:pPr>
              <w:widowControl/>
              <w:jc w:val="center"/>
              <w:rPr>
                <w:rFonts w:ascii="Arial" w:hAnsi="Arial" w:cs="Arial"/>
                <w:color w:val="000000"/>
                <w:kern w:val="0"/>
                <w:sz w:val="20"/>
                <w:szCs w:val="20"/>
              </w:rPr>
            </w:pPr>
            <w:r>
              <w:rPr>
                <w:rFonts w:hint="eastAsia" w:ascii="MingLiU" w:hAnsi="MingLiU" w:eastAsia="MingLiU" w:cs="Arial"/>
                <w:b/>
                <w:bCs/>
                <w:kern w:val="0"/>
                <w:sz w:val="18"/>
                <w:szCs w:val="18"/>
              </w:rPr>
              <w:t>栏次</w:t>
            </w:r>
          </w:p>
        </w:tc>
        <w:tc>
          <w:tcPr>
            <w:tcW w:w="2900" w:type="dxa"/>
            <w:tcBorders>
              <w:top w:val="nil"/>
              <w:left w:val="nil"/>
              <w:bottom w:val="single" w:color="auto" w:sz="4" w:space="0"/>
              <w:right w:val="single" w:color="auto" w:sz="4" w:space="0"/>
            </w:tcBorders>
          </w:tcPr>
          <w:p>
            <w:pPr>
              <w:widowControl/>
              <w:jc w:val="center"/>
              <w:rPr>
                <w:rFonts w:ascii="Arial" w:hAnsi="Arial" w:cs="Arial"/>
                <w:color w:val="000000"/>
                <w:kern w:val="0"/>
                <w:sz w:val="20"/>
                <w:szCs w:val="20"/>
              </w:rPr>
            </w:pPr>
            <w:r>
              <w:rPr>
                <w:rFonts w:ascii="Arial" w:hAnsi="Arial" w:cs="Arial"/>
                <w:color w:val="000000"/>
                <w:kern w:val="0"/>
                <w:sz w:val="20"/>
                <w:szCs w:val="20"/>
              </w:rPr>
              <w:t>1</w:t>
            </w:r>
          </w:p>
        </w:tc>
        <w:tc>
          <w:tcPr>
            <w:tcW w:w="2900" w:type="dxa"/>
            <w:tcBorders>
              <w:top w:val="nil"/>
              <w:left w:val="nil"/>
              <w:bottom w:val="single" w:color="auto" w:sz="4" w:space="0"/>
              <w:right w:val="single" w:color="auto" w:sz="4" w:space="0"/>
            </w:tcBorders>
          </w:tcPr>
          <w:p>
            <w:pPr>
              <w:widowControl/>
              <w:jc w:val="center"/>
              <w:rPr>
                <w:rFonts w:ascii="Arial" w:hAnsi="Arial" w:cs="Arial"/>
                <w:color w:val="000000"/>
                <w:kern w:val="0"/>
                <w:sz w:val="20"/>
                <w:szCs w:val="20"/>
              </w:rPr>
            </w:pPr>
            <w:r>
              <w:rPr>
                <w:rFonts w:ascii="Arial" w:hAnsi="Arial" w:cs="Arial"/>
                <w:color w:val="000000"/>
                <w:kern w:val="0"/>
                <w:sz w:val="20"/>
                <w:szCs w:val="20"/>
              </w:rPr>
              <w:t>2</w:t>
            </w:r>
          </w:p>
        </w:tc>
        <w:tc>
          <w:tcPr>
            <w:tcW w:w="3396" w:type="dxa"/>
            <w:tcBorders>
              <w:top w:val="nil"/>
              <w:left w:val="nil"/>
              <w:bottom w:val="single" w:color="auto" w:sz="4" w:space="0"/>
              <w:right w:val="single" w:color="auto" w:sz="4" w:space="0"/>
            </w:tcBorders>
          </w:tcPr>
          <w:p>
            <w:pPr>
              <w:widowControl/>
              <w:jc w:val="center"/>
              <w:rPr>
                <w:rFonts w:ascii="Arial" w:hAnsi="Arial" w:cs="Arial"/>
                <w:color w:val="000000"/>
                <w:kern w:val="0"/>
                <w:sz w:val="20"/>
                <w:szCs w:val="20"/>
              </w:rPr>
            </w:pPr>
            <w:r>
              <w:rPr>
                <w:rFonts w:ascii="Arial" w:hAnsi="Arial" w:cs="Arial"/>
                <w:color w:val="000000"/>
                <w:kern w:val="0"/>
                <w:sz w:val="20"/>
                <w:szCs w:val="20"/>
              </w:rPr>
              <w:t>3</w:t>
            </w:r>
          </w:p>
        </w:tc>
      </w:tr>
      <w:tr>
        <w:tblPrEx>
          <w:tblCellMar>
            <w:top w:w="0" w:type="dxa"/>
            <w:left w:w="108" w:type="dxa"/>
            <w:bottom w:w="0" w:type="dxa"/>
            <w:right w:w="108" w:type="dxa"/>
          </w:tblCellMar>
        </w:tblPrEx>
        <w:trPr>
          <w:trHeight w:val="297" w:hRule="atLeast"/>
          <w:jc w:val="center"/>
        </w:trPr>
        <w:tc>
          <w:tcPr>
            <w:tcW w:w="4283" w:type="dxa"/>
            <w:gridSpan w:val="2"/>
            <w:tcBorders>
              <w:top w:val="single" w:color="auto" w:sz="4" w:space="0"/>
              <w:left w:val="single" w:color="auto" w:sz="4" w:space="0"/>
              <w:bottom w:val="single" w:color="auto" w:sz="4" w:space="0"/>
              <w:right w:val="single" w:color="auto" w:sz="4" w:space="0"/>
            </w:tcBorders>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合计</w:t>
            </w:r>
          </w:p>
        </w:tc>
        <w:tc>
          <w:tcPr>
            <w:tcW w:w="2900" w:type="dxa"/>
            <w:tcBorders>
              <w:top w:val="nil"/>
              <w:left w:val="nil"/>
              <w:bottom w:val="single" w:color="auto" w:sz="4" w:space="0"/>
              <w:right w:val="single" w:color="auto" w:sz="4" w:space="0"/>
            </w:tcBorders>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1733.58</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1268.93</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464.65</w:t>
            </w: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1441.49</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976.84</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464.65</w:t>
            </w: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1441.49</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976.84</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464.65</w:t>
            </w: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2010301</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26.99</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26.99</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2010306</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政务公开审批</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464.65</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464.65</w:t>
            </w: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2010350</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 xml:space="preserve">  事业运行</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949.85</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949.85</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141.55</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141.55</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141.55</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141.55</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w:t>
            </w:r>
            <w:r>
              <w:rPr>
                <w:rFonts w:hint="eastAsia" w:ascii="宋体" w:hAnsi="宋体" w:cs="宋体"/>
                <w:i w:val="0"/>
                <w:iCs w:val="0"/>
                <w:color w:val="000000"/>
                <w:kern w:val="0"/>
                <w:sz w:val="22"/>
                <w:szCs w:val="22"/>
                <w:u w:val="none"/>
                <w:lang w:val="en-US" w:eastAsia="zh-CN" w:bidi="ar"/>
              </w:rPr>
              <w:t>2</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事业</w:t>
            </w:r>
            <w:r>
              <w:rPr>
                <w:rFonts w:hint="eastAsia" w:ascii="宋体" w:hAnsi="宋体" w:eastAsia="宋体" w:cs="宋体"/>
                <w:i w:val="0"/>
                <w:iCs w:val="0"/>
                <w:color w:val="000000"/>
                <w:kern w:val="0"/>
                <w:sz w:val="22"/>
                <w:szCs w:val="22"/>
                <w:u w:val="none"/>
                <w:lang w:val="en-US" w:eastAsia="zh-CN" w:bidi="ar"/>
              </w:rPr>
              <w:t>单位离退休</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3.35</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3.35</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92.04</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92.04</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2080506</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46.17</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46.17</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42.63</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42.63</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42.63</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42.63</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w:t>
            </w:r>
            <w:r>
              <w:rPr>
                <w:rFonts w:hint="eastAsia" w:ascii="宋体" w:hAnsi="宋体" w:cs="宋体"/>
                <w:i w:val="0"/>
                <w:iCs w:val="0"/>
                <w:color w:val="000000"/>
                <w:kern w:val="0"/>
                <w:sz w:val="22"/>
                <w:szCs w:val="22"/>
                <w:u w:val="none"/>
                <w:lang w:val="en-US" w:eastAsia="zh-CN" w:bidi="ar"/>
              </w:rPr>
              <w:t>2</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事业</w:t>
            </w:r>
            <w:r>
              <w:rPr>
                <w:rFonts w:hint="eastAsia" w:ascii="宋体" w:hAnsi="宋体" w:eastAsia="宋体" w:cs="宋体"/>
                <w:i w:val="0"/>
                <w:iCs w:val="0"/>
                <w:color w:val="000000"/>
                <w:kern w:val="0"/>
                <w:sz w:val="22"/>
                <w:szCs w:val="22"/>
                <w:u w:val="none"/>
                <w:lang w:val="en-US" w:eastAsia="zh-CN" w:bidi="ar"/>
              </w:rPr>
              <w:t>单位医疗</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36.89</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36.89</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88"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2101103</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公务员医疗补助</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5.75</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5.75</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64" w:hRule="atLeast"/>
          <w:jc w:val="center"/>
        </w:trPr>
        <w:tc>
          <w:tcPr>
            <w:tcW w:w="128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30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107.90</w:t>
            </w:r>
          </w:p>
        </w:tc>
        <w:tc>
          <w:tcPr>
            <w:tcW w:w="2900"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107.90</w:t>
            </w:r>
          </w:p>
        </w:tc>
        <w:tc>
          <w:tcPr>
            <w:tcW w:w="3396" w:type="dxa"/>
            <w:tcBorders>
              <w:top w:val="nil"/>
              <w:left w:val="nil"/>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6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107.90</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107.90</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6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104.64</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104.64</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r>
        <w:tblPrEx>
          <w:tblCellMar>
            <w:top w:w="0" w:type="dxa"/>
            <w:left w:w="108" w:type="dxa"/>
            <w:bottom w:w="0" w:type="dxa"/>
            <w:right w:w="108" w:type="dxa"/>
          </w:tblCellMar>
        </w:tblPrEx>
        <w:trPr>
          <w:trHeight w:val="26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2210203</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购房补贴</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3.27</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3.27</w:t>
            </w:r>
          </w:p>
        </w:tc>
        <w:tc>
          <w:tcPr>
            <w:tcW w:w="0" w:type="auto"/>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2"/>
                <w:szCs w:val="22"/>
                <w:u w:val="none"/>
                <w:lang w:val="en-US" w:eastAsia="zh-CN" w:bidi="ar"/>
              </w:rPr>
            </w:pPr>
          </w:p>
        </w:tc>
      </w:tr>
    </w:tbl>
    <w:p/>
    <w:p>
      <w:r>
        <w:rPr>
          <w:rFonts w:hint="eastAsia"/>
        </w:rPr>
        <w:t>注：本表反映部门本年度一般公共预算财政拨款实际支出情况。</w:t>
      </w:r>
    </w:p>
    <w:p/>
    <w:p/>
    <w:p>
      <w:pPr>
        <w:sectPr>
          <w:footerReference r:id="rId9" w:type="default"/>
          <w:footerReference r:id="rId10" w:type="even"/>
          <w:pgSz w:w="16838" w:h="11906" w:orient="landscape"/>
          <w:pgMar w:top="137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表六</w:t>
      </w:r>
      <w:r>
        <w:rPr>
          <w:rFonts w:hint="eastAsia" w:ascii="方正小标宋简体" w:hAnsi="宋体" w:eastAsia="方正小标宋简体" w:cs="宋体"/>
          <w:color w:val="000000"/>
          <w:kern w:val="0"/>
          <w:sz w:val="36"/>
          <w:szCs w:val="36"/>
        </w:rPr>
        <w:t>：</w:t>
      </w:r>
      <w:r>
        <w:rPr>
          <w:rFonts w:hint="eastAsia" w:ascii="方正小标宋简体" w:eastAsia="方正小标宋简体"/>
          <w:color w:val="000000"/>
          <w:sz w:val="36"/>
          <w:szCs w:val="36"/>
        </w:rPr>
        <w:t>一般</w:t>
      </w:r>
      <w:r>
        <w:rPr>
          <w:rFonts w:hint="eastAsia" w:ascii="方正小标宋简体" w:hAnsi="宋体" w:eastAsia="方正小标宋简体" w:cs="宋体"/>
          <w:color w:val="000000"/>
          <w:kern w:val="0"/>
          <w:sz w:val="36"/>
          <w:szCs w:val="36"/>
        </w:rPr>
        <w:t>公共预算财政拨</w:t>
      </w:r>
      <w:r>
        <w:rPr>
          <w:rFonts w:hint="eastAsia" w:ascii="方正小标宋简体" w:hAnsi="宋体" w:eastAsia="方正小标宋简体" w:cs="宋体"/>
          <w:kern w:val="0"/>
          <w:sz w:val="36"/>
          <w:szCs w:val="36"/>
        </w:rPr>
        <w:t>款基本支出决算表</w:t>
      </w:r>
    </w:p>
    <w:p>
      <w:pPr>
        <w:jc w:val="center"/>
        <w:rPr>
          <w:rFonts w:ascii="方正小标宋简体" w:hAnsi="宋体" w:eastAsia="方正小标宋简体" w:cs="宋体"/>
          <w:kern w:val="0"/>
          <w:sz w:val="36"/>
          <w:szCs w:val="36"/>
        </w:rPr>
      </w:pPr>
    </w:p>
    <w:p>
      <w:pPr>
        <w:ind w:right="330"/>
        <w:jc w:val="right"/>
        <w:rPr>
          <w:rFonts w:ascii="宋体" w:hAnsi="宋体" w:cs="宋体"/>
          <w:kern w:val="0"/>
          <w:sz w:val="22"/>
          <w:szCs w:val="22"/>
        </w:rPr>
      </w:pPr>
      <w:r>
        <w:rPr>
          <w:rFonts w:hint="eastAsia" w:ascii="宋体" w:hAnsi="宋体" w:cs="宋体"/>
          <w:kern w:val="0"/>
          <w:sz w:val="22"/>
          <w:szCs w:val="22"/>
        </w:rPr>
        <w:t>单位：万元</w:t>
      </w:r>
    </w:p>
    <w:tbl>
      <w:tblPr>
        <w:tblStyle w:val="6"/>
        <w:tblpPr w:leftFromText="180" w:rightFromText="180" w:vertAnchor="text" w:horzAnchor="page" w:tblpX="1582" w:tblpY="75"/>
        <w:tblOverlap w:val="never"/>
        <w:tblW w:w="9151" w:type="dxa"/>
        <w:tblInd w:w="0" w:type="dxa"/>
        <w:tblLayout w:type="fixed"/>
        <w:tblCellMar>
          <w:top w:w="0" w:type="dxa"/>
          <w:left w:w="108" w:type="dxa"/>
          <w:bottom w:w="0" w:type="dxa"/>
          <w:right w:w="108" w:type="dxa"/>
        </w:tblCellMar>
      </w:tblPr>
      <w:tblGrid>
        <w:gridCol w:w="796"/>
        <w:gridCol w:w="3105"/>
        <w:gridCol w:w="1086"/>
        <w:gridCol w:w="849"/>
        <w:gridCol w:w="2115"/>
        <w:gridCol w:w="1200"/>
      </w:tblGrid>
      <w:tr>
        <w:tblPrEx>
          <w:tblCellMar>
            <w:top w:w="0" w:type="dxa"/>
            <w:left w:w="108" w:type="dxa"/>
            <w:bottom w:w="0" w:type="dxa"/>
            <w:right w:w="108" w:type="dxa"/>
          </w:tblCellMar>
        </w:tblPrEx>
        <w:trPr>
          <w:trHeight w:val="564" w:hRule="atLeast"/>
        </w:trPr>
        <w:tc>
          <w:tcPr>
            <w:tcW w:w="49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人员经费</w:t>
            </w:r>
          </w:p>
        </w:tc>
        <w:tc>
          <w:tcPr>
            <w:tcW w:w="4164"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公用经费</w:t>
            </w:r>
          </w:p>
        </w:tc>
      </w:tr>
      <w:tr>
        <w:tblPrEx>
          <w:tblCellMar>
            <w:top w:w="0" w:type="dxa"/>
            <w:left w:w="108" w:type="dxa"/>
            <w:bottom w:w="0" w:type="dxa"/>
            <w:right w:w="108" w:type="dxa"/>
          </w:tblCellMar>
        </w:tblPrEx>
        <w:trPr>
          <w:trHeight w:val="312" w:hRule="atLeast"/>
        </w:trPr>
        <w:tc>
          <w:tcPr>
            <w:tcW w:w="796" w:type="dxa"/>
            <w:tcBorders>
              <w:top w:val="nil"/>
              <w:left w:val="single" w:color="auto" w:sz="4" w:space="0"/>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支出经济分类科目编码</w:t>
            </w:r>
          </w:p>
        </w:tc>
        <w:tc>
          <w:tcPr>
            <w:tcW w:w="3105"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科目名称</w:t>
            </w:r>
          </w:p>
        </w:tc>
        <w:tc>
          <w:tcPr>
            <w:tcW w:w="1086"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金额</w:t>
            </w:r>
          </w:p>
        </w:tc>
        <w:tc>
          <w:tcPr>
            <w:tcW w:w="849"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经济分类科目编码</w:t>
            </w:r>
          </w:p>
        </w:tc>
        <w:tc>
          <w:tcPr>
            <w:tcW w:w="2115"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科目名称</w:t>
            </w:r>
          </w:p>
        </w:tc>
        <w:tc>
          <w:tcPr>
            <w:tcW w:w="1200"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金额</w:t>
            </w:r>
          </w:p>
        </w:tc>
      </w:tr>
      <w:tr>
        <w:tblPrEx>
          <w:tblCellMar>
            <w:top w:w="0" w:type="dxa"/>
            <w:left w:w="108" w:type="dxa"/>
            <w:bottom w:w="0" w:type="dxa"/>
            <w:right w:w="108" w:type="dxa"/>
          </w:tblCellMar>
        </w:tblPrEx>
        <w:trPr>
          <w:trHeight w:val="264" w:hRule="atLeast"/>
        </w:trPr>
        <w:tc>
          <w:tcPr>
            <w:tcW w:w="796" w:type="dxa"/>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301</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工资福利支出</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1185.89</w:t>
            </w:r>
          </w:p>
        </w:tc>
        <w:tc>
          <w:tcPr>
            <w:tcW w:w="849"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302</w:t>
            </w:r>
          </w:p>
        </w:tc>
        <w:tc>
          <w:tcPr>
            <w:tcW w:w="211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商品和服务支出</w:t>
            </w:r>
            <w:r>
              <w:rPr>
                <w:rFonts w:ascii="宋体" w:hAnsi="宋体" w:cs="Arial"/>
                <w:color w:val="000000"/>
                <w:kern w:val="0"/>
                <w:sz w:val="22"/>
                <w:szCs w:val="22"/>
              </w:rPr>
              <w:t>　</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79.70</w:t>
            </w:r>
          </w:p>
        </w:tc>
      </w:tr>
      <w:tr>
        <w:tblPrEx>
          <w:tblCellMar>
            <w:top w:w="0" w:type="dxa"/>
            <w:left w:w="108" w:type="dxa"/>
            <w:bottom w:w="0" w:type="dxa"/>
            <w:right w:w="108" w:type="dxa"/>
          </w:tblCellMar>
        </w:tblPrEx>
        <w:trPr>
          <w:trHeight w:val="264"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30101</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ascii="宋体" w:hAnsi="宋体" w:cs="Arial"/>
                <w:color w:val="000000"/>
                <w:kern w:val="0"/>
                <w:sz w:val="22"/>
                <w:szCs w:val="22"/>
              </w:rPr>
              <w:t>　</w:t>
            </w:r>
            <w:r>
              <w:rPr>
                <w:rFonts w:hint="eastAsia" w:ascii="宋体" w:hAnsi="宋体" w:cs="Arial"/>
                <w:color w:val="000000"/>
                <w:kern w:val="0"/>
                <w:sz w:val="22"/>
                <w:szCs w:val="22"/>
              </w:rPr>
              <w:t>基本工资</w:t>
            </w:r>
          </w:p>
        </w:tc>
        <w:tc>
          <w:tcPr>
            <w:tcW w:w="1086" w:type="dxa"/>
            <w:tcBorders>
              <w:top w:val="nil"/>
              <w:left w:val="nil"/>
              <w:bottom w:val="single" w:color="auto" w:sz="4" w:space="0"/>
              <w:right w:val="single" w:color="auto" w:sz="4" w:space="0"/>
            </w:tcBorders>
            <w:vAlign w:val="center"/>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218.02</w:t>
            </w:r>
          </w:p>
        </w:tc>
        <w:tc>
          <w:tcPr>
            <w:tcW w:w="849"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30201</w:t>
            </w:r>
          </w:p>
        </w:tc>
        <w:tc>
          <w:tcPr>
            <w:tcW w:w="2115"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办公费　</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25.80</w:t>
            </w:r>
          </w:p>
        </w:tc>
      </w:tr>
      <w:tr>
        <w:tblPrEx>
          <w:tblCellMar>
            <w:top w:w="0" w:type="dxa"/>
            <w:left w:w="108" w:type="dxa"/>
            <w:bottom w:w="0" w:type="dxa"/>
            <w:right w:w="108" w:type="dxa"/>
          </w:tblCellMar>
        </w:tblPrEx>
        <w:trPr>
          <w:trHeight w:val="264"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30102</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ascii="宋体" w:hAnsi="宋体" w:cs="Arial"/>
                <w:color w:val="000000"/>
                <w:kern w:val="0"/>
                <w:sz w:val="22"/>
                <w:szCs w:val="22"/>
              </w:rPr>
              <w:t>　</w:t>
            </w:r>
            <w:r>
              <w:rPr>
                <w:rFonts w:hint="eastAsia" w:ascii="宋体" w:hAnsi="宋体" w:cs="Arial"/>
                <w:color w:val="000000"/>
                <w:kern w:val="0"/>
                <w:sz w:val="22"/>
                <w:szCs w:val="22"/>
              </w:rPr>
              <w:t>津贴补贴</w:t>
            </w:r>
          </w:p>
        </w:tc>
        <w:tc>
          <w:tcPr>
            <w:tcW w:w="1086" w:type="dxa"/>
            <w:tcBorders>
              <w:top w:val="nil"/>
              <w:left w:val="nil"/>
              <w:bottom w:val="single" w:color="auto" w:sz="4" w:space="0"/>
              <w:right w:val="single" w:color="auto" w:sz="4" w:space="0"/>
            </w:tcBorders>
            <w:vAlign w:val="center"/>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44.19</w:t>
            </w:r>
          </w:p>
        </w:tc>
        <w:tc>
          <w:tcPr>
            <w:tcW w:w="849" w:type="dxa"/>
            <w:tcBorders>
              <w:top w:val="nil"/>
              <w:left w:val="nil"/>
              <w:bottom w:val="single" w:color="auto" w:sz="4" w:space="0"/>
              <w:right w:val="single" w:color="auto" w:sz="4" w:space="0"/>
            </w:tcBorders>
            <w:vAlign w:val="bottom"/>
          </w:tcPr>
          <w:p>
            <w:pPr>
              <w:widowControl/>
              <w:jc w:val="left"/>
              <w:rPr>
                <w:rFonts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 xml:space="preserve"> ……</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30103</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xml:space="preserve">  奖金  </w:t>
            </w:r>
            <w:r>
              <w:rPr>
                <w:rFonts w:ascii="宋体" w:hAnsi="宋体" w:cs="Arial"/>
                <w:color w:val="000000"/>
                <w:kern w:val="0"/>
                <w:sz w:val="22"/>
                <w:szCs w:val="22"/>
              </w:rPr>
              <w:t>　</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54.90</w:t>
            </w:r>
          </w:p>
        </w:tc>
        <w:tc>
          <w:tcPr>
            <w:tcW w:w="849" w:type="dxa"/>
            <w:tcBorders>
              <w:top w:val="nil"/>
              <w:left w:val="nil"/>
              <w:bottom w:val="single" w:color="auto" w:sz="4" w:space="0"/>
              <w:right w:val="single" w:color="auto" w:sz="4" w:space="0"/>
            </w:tcBorders>
            <w:vAlign w:val="center"/>
          </w:tcPr>
          <w:p>
            <w:pPr>
              <w:widowControl/>
              <w:jc w:val="left"/>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30207</w:t>
            </w:r>
          </w:p>
        </w:tc>
        <w:tc>
          <w:tcPr>
            <w:tcW w:w="2115" w:type="dxa"/>
            <w:tcBorders>
              <w:top w:val="nil"/>
              <w:left w:val="nil"/>
              <w:bottom w:val="single" w:color="auto" w:sz="4" w:space="0"/>
              <w:right w:val="single" w:color="auto" w:sz="4" w:space="0"/>
            </w:tcBorders>
            <w:vAlign w:val="center"/>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eastAsia="zh-CN"/>
              </w:rPr>
              <w:t>邮电费</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9.49</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30106</w:t>
            </w:r>
          </w:p>
        </w:tc>
        <w:tc>
          <w:tcPr>
            <w:tcW w:w="3105" w:type="dxa"/>
            <w:tcBorders>
              <w:top w:val="nil"/>
              <w:left w:val="nil"/>
              <w:bottom w:val="single" w:color="auto" w:sz="4" w:space="0"/>
              <w:right w:val="single" w:color="auto" w:sz="4" w:space="0"/>
            </w:tcBorders>
            <w:vAlign w:val="center"/>
          </w:tcPr>
          <w:p>
            <w:pPr>
              <w:widowControl/>
              <w:ind w:firstLine="220" w:firstLineChars="100"/>
              <w:jc w:val="both"/>
              <w:rPr>
                <w:rFonts w:hint="eastAsia" w:ascii="宋体" w:hAnsi="宋体" w:cs="Arial"/>
                <w:color w:val="000000"/>
                <w:kern w:val="0"/>
                <w:sz w:val="22"/>
                <w:szCs w:val="22"/>
              </w:rPr>
            </w:pPr>
            <w:r>
              <w:rPr>
                <w:rFonts w:hint="eastAsia" w:ascii="宋体" w:hAnsi="宋体" w:cs="Arial"/>
                <w:color w:val="000000"/>
                <w:kern w:val="0"/>
                <w:sz w:val="22"/>
                <w:szCs w:val="22"/>
              </w:rPr>
              <w:t>伙食补助费</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29.34</w:t>
            </w:r>
          </w:p>
        </w:tc>
        <w:tc>
          <w:tcPr>
            <w:tcW w:w="849"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 xml:space="preserve"> ……</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Arial"/>
                <w:color w:val="000000"/>
                <w:kern w:val="0"/>
                <w:sz w:val="22"/>
                <w:szCs w:val="22"/>
              </w:rPr>
            </w:pPr>
            <w:r>
              <w:rPr>
                <w:rFonts w:hint="eastAsia" w:ascii="宋体" w:hAnsi="宋体" w:cs="Arial"/>
                <w:color w:val="000000"/>
                <w:kern w:val="0"/>
                <w:sz w:val="22"/>
                <w:szCs w:val="22"/>
              </w:rPr>
              <w:t>30107</w:t>
            </w:r>
          </w:p>
        </w:tc>
        <w:tc>
          <w:tcPr>
            <w:tcW w:w="3105" w:type="dxa"/>
            <w:tcBorders>
              <w:top w:val="nil"/>
              <w:left w:val="nil"/>
              <w:bottom w:val="single" w:color="auto" w:sz="4" w:space="0"/>
              <w:right w:val="single" w:color="auto" w:sz="4" w:space="0"/>
            </w:tcBorders>
            <w:vAlign w:val="center"/>
          </w:tcPr>
          <w:p>
            <w:pPr>
              <w:widowControl/>
              <w:ind w:firstLine="220" w:firstLineChars="100"/>
              <w:jc w:val="both"/>
              <w:rPr>
                <w:rFonts w:hint="eastAsia" w:ascii="宋体" w:hAnsi="宋体" w:cs="Arial"/>
                <w:color w:val="000000"/>
                <w:kern w:val="0"/>
                <w:sz w:val="22"/>
                <w:szCs w:val="22"/>
              </w:rPr>
            </w:pPr>
            <w:r>
              <w:rPr>
                <w:rFonts w:hint="eastAsia" w:ascii="宋体" w:hAnsi="宋体" w:cs="Arial"/>
                <w:color w:val="000000"/>
                <w:kern w:val="0"/>
                <w:sz w:val="22"/>
                <w:szCs w:val="22"/>
              </w:rPr>
              <w:t>绩效工资</w:t>
            </w:r>
          </w:p>
        </w:tc>
        <w:tc>
          <w:tcPr>
            <w:tcW w:w="1086" w:type="dxa"/>
            <w:tcBorders>
              <w:top w:val="nil"/>
              <w:left w:val="nil"/>
              <w:bottom w:val="single" w:color="auto" w:sz="4" w:space="0"/>
              <w:right w:val="single" w:color="auto" w:sz="4" w:space="0"/>
            </w:tcBorders>
            <w:vAlign w:val="center"/>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544.91</w:t>
            </w: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30211</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eastAsia="zh-CN"/>
              </w:rPr>
              <w:t>差旅费</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bidi="ar-SA"/>
              </w:rPr>
              <w:t>0.62</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30108</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机关事业单位基本养老保险缴费</w:t>
            </w:r>
          </w:p>
        </w:tc>
        <w:tc>
          <w:tcPr>
            <w:tcW w:w="1086" w:type="dxa"/>
            <w:tcBorders>
              <w:top w:val="nil"/>
              <w:left w:val="nil"/>
              <w:bottom w:val="single" w:color="auto" w:sz="4" w:space="0"/>
              <w:right w:val="single" w:color="auto" w:sz="4" w:space="0"/>
            </w:tcBorders>
            <w:vAlign w:val="center"/>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92.04</w:t>
            </w: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30109</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职业年金缴费</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46.17</w:t>
            </w: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30216</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培训费</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3.08</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30110</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职工基本医疗保险缴费</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36.89</w:t>
            </w:r>
          </w:p>
        </w:tc>
        <w:tc>
          <w:tcPr>
            <w:tcW w:w="849"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rPr>
              <w:t>……</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30111</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公务员医疗补助缴费</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5.75</w:t>
            </w: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30228</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工会经费</w:t>
            </w:r>
          </w:p>
        </w:tc>
        <w:tc>
          <w:tcPr>
            <w:tcW w:w="1200" w:type="dxa"/>
            <w:tcBorders>
              <w:top w:val="nil"/>
              <w:left w:val="nil"/>
              <w:bottom w:val="single" w:color="auto" w:sz="4" w:space="0"/>
              <w:right w:val="single" w:color="auto" w:sz="4" w:space="0"/>
            </w:tcBorders>
            <w:vAlign w:val="center"/>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12.97</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30112</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其他社会保障缴费</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9.05</w:t>
            </w: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rPr>
              <w:t xml:space="preserve"> ……</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eastAsia="zh-CN"/>
              </w:rPr>
            </w:pPr>
            <w:r>
              <w:rPr>
                <w:rFonts w:hint="eastAsia" w:ascii="宋体" w:hAnsi="宋体" w:cs="Arial"/>
                <w:color w:val="000000"/>
                <w:kern w:val="0"/>
                <w:sz w:val="22"/>
                <w:szCs w:val="22"/>
              </w:rPr>
              <w:t>……</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rPr>
              <w:t>……</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30113</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住房公积金</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104.64</w:t>
            </w: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30239</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cs="Arial"/>
                <w:color w:val="000000"/>
                <w:kern w:val="0"/>
                <w:sz w:val="22"/>
                <w:szCs w:val="22"/>
                <w:lang w:val="en-US" w:eastAsia="zh-CN"/>
              </w:rPr>
            </w:pPr>
            <w:r>
              <w:rPr>
                <w:rFonts w:hint="eastAsia" w:ascii="宋体" w:hAnsi="宋体" w:cs="Arial"/>
                <w:color w:val="000000"/>
                <w:kern w:val="0"/>
                <w:sz w:val="22"/>
                <w:szCs w:val="22"/>
                <w:lang w:val="en-US" w:eastAsia="zh-CN"/>
              </w:rPr>
              <w:t>其他交通费用</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7.25</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30114</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医疗费</w:t>
            </w:r>
          </w:p>
        </w:tc>
        <w:tc>
          <w:tcPr>
            <w:tcW w:w="1086"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p>
        </w:tc>
        <w:tc>
          <w:tcPr>
            <w:tcW w:w="849"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 xml:space="preserve"> ……</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bidi="ar-SA"/>
              </w:rPr>
            </w:pPr>
            <w:r>
              <w:rPr>
                <w:rFonts w:hint="eastAsia" w:ascii="宋体" w:hAnsi="宋体" w:cs="Arial"/>
                <w:color w:val="000000"/>
                <w:kern w:val="0"/>
                <w:sz w:val="22"/>
                <w:szCs w:val="22"/>
                <w:lang w:val="en-US" w:eastAsia="zh-CN"/>
              </w:rPr>
              <w:t>……</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30199</w:t>
            </w:r>
          </w:p>
        </w:tc>
        <w:tc>
          <w:tcPr>
            <w:tcW w:w="3105" w:type="dxa"/>
            <w:tcBorders>
              <w:top w:val="nil"/>
              <w:left w:val="nil"/>
              <w:bottom w:val="single" w:color="auto" w:sz="4" w:space="0"/>
              <w:right w:val="single" w:color="auto" w:sz="4" w:space="0"/>
            </w:tcBorders>
            <w:vAlign w:val="center"/>
          </w:tcPr>
          <w:p>
            <w:pPr>
              <w:widowControl/>
              <w:jc w:val="left"/>
              <w:textAlignment w:val="center"/>
              <w:rPr>
                <w:rFonts w:ascii="宋体" w:hAnsi="宋体" w:cs="Arial"/>
                <w:color w:val="000000"/>
                <w:kern w:val="0"/>
                <w:sz w:val="22"/>
                <w:szCs w:val="22"/>
              </w:rPr>
            </w:pPr>
            <w:r>
              <w:rPr>
                <w:rFonts w:hint="eastAsia" w:ascii="宋体" w:hAnsi="宋体" w:cs="宋体"/>
                <w:color w:val="000000"/>
                <w:kern w:val="0"/>
                <w:sz w:val="20"/>
                <w:szCs w:val="20"/>
                <w:lang w:bidi="ar"/>
              </w:rPr>
              <w:t>其他工资福利支出</w:t>
            </w:r>
          </w:p>
        </w:tc>
        <w:tc>
          <w:tcPr>
            <w:tcW w:w="1086"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30299</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eastAsia="zh-CN"/>
              </w:rPr>
            </w:pPr>
            <w:r>
              <w:rPr>
                <w:rFonts w:hint="eastAsia" w:ascii="宋体" w:hAnsi="宋体" w:cs="Arial"/>
                <w:color w:val="000000"/>
                <w:kern w:val="0"/>
                <w:sz w:val="20"/>
                <w:szCs w:val="20"/>
                <w:lang w:eastAsia="zh-CN"/>
              </w:rPr>
              <w:t>其他商品和服务支出</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20.49</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Arial"/>
                <w:color w:val="000000"/>
                <w:kern w:val="0"/>
                <w:sz w:val="18"/>
                <w:szCs w:val="18"/>
                <w:lang w:val="en-US" w:eastAsia="zh-CN" w:bidi="ar-SA"/>
              </w:rPr>
            </w:pPr>
            <w:r>
              <w:rPr>
                <w:rFonts w:hint="eastAsia" w:ascii="宋体" w:hAnsi="宋体" w:cs="Arial"/>
                <w:color w:val="000000"/>
                <w:kern w:val="0"/>
                <w:sz w:val="18"/>
                <w:szCs w:val="18"/>
              </w:rPr>
              <w:t xml:space="preserve">  ……</w:t>
            </w:r>
          </w:p>
        </w:tc>
        <w:tc>
          <w:tcPr>
            <w:tcW w:w="3105" w:type="dxa"/>
            <w:tcBorders>
              <w:top w:val="nil"/>
              <w:left w:val="nil"/>
              <w:bottom w:val="single" w:color="auto" w:sz="4" w:space="0"/>
              <w:right w:val="single" w:color="auto" w:sz="4" w:space="0"/>
            </w:tcBorders>
            <w:vAlign w:val="bottom"/>
          </w:tcPr>
          <w:p>
            <w:pPr>
              <w:widowControl/>
              <w:jc w:val="left"/>
              <w:rPr>
                <w:rFonts w:ascii="宋体" w:hAnsi="宋体" w:eastAsia="宋体" w:cs="Arial"/>
                <w:color w:val="000000"/>
                <w:kern w:val="0"/>
                <w:sz w:val="22"/>
                <w:szCs w:val="22"/>
                <w:lang w:val="en-US" w:eastAsia="zh-CN" w:bidi="ar-SA"/>
              </w:rPr>
            </w:pPr>
            <w:r>
              <w:rPr>
                <w:rFonts w:ascii="宋体" w:hAnsi="宋体" w:cs="Arial"/>
                <w:color w:val="000000"/>
                <w:kern w:val="0"/>
                <w:sz w:val="22"/>
                <w:szCs w:val="22"/>
              </w:rPr>
              <w:t>　</w:t>
            </w:r>
            <w:r>
              <w:rPr>
                <w:rFonts w:hint="eastAsia" w:ascii="宋体" w:hAnsi="宋体" w:cs="Arial"/>
                <w:color w:val="000000"/>
                <w:kern w:val="0"/>
                <w:sz w:val="22"/>
                <w:szCs w:val="22"/>
              </w:rPr>
              <w:t xml:space="preserve"> ……</w:t>
            </w:r>
          </w:p>
        </w:tc>
        <w:tc>
          <w:tcPr>
            <w:tcW w:w="1086" w:type="dxa"/>
            <w:tcBorders>
              <w:top w:val="nil"/>
              <w:left w:val="nil"/>
              <w:bottom w:val="single" w:color="auto" w:sz="4" w:space="0"/>
              <w:right w:val="single" w:color="auto" w:sz="4" w:space="0"/>
            </w:tcBorders>
            <w:vAlign w:val="bottom"/>
          </w:tcPr>
          <w:p>
            <w:pPr>
              <w:widowControl/>
              <w:jc w:val="center"/>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rPr>
            </w:pP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eastAsia="zh-CN"/>
              </w:rPr>
            </w:pP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xml:space="preserve">  ……</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ascii="宋体" w:hAnsi="宋体" w:cs="Arial"/>
                <w:color w:val="000000"/>
                <w:kern w:val="0"/>
                <w:sz w:val="22"/>
                <w:szCs w:val="22"/>
              </w:rPr>
              <w:t>　</w:t>
            </w:r>
            <w:r>
              <w:rPr>
                <w:rFonts w:hint="eastAsia" w:ascii="宋体" w:hAnsi="宋体" w:cs="Arial"/>
                <w:color w:val="000000"/>
                <w:kern w:val="0"/>
                <w:sz w:val="22"/>
                <w:szCs w:val="22"/>
              </w:rPr>
              <w:t xml:space="preserve"> ……</w:t>
            </w:r>
          </w:p>
        </w:tc>
        <w:tc>
          <w:tcPr>
            <w:tcW w:w="1086"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303</w:t>
            </w:r>
          </w:p>
        </w:tc>
        <w:tc>
          <w:tcPr>
            <w:tcW w:w="211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0"/>
                <w:szCs w:val="20"/>
              </w:rPr>
              <w:t>对个人和家庭的补助</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3.35</w:t>
            </w: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xml:space="preserve">  ……</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ascii="宋体" w:hAnsi="宋体" w:cs="Arial"/>
                <w:color w:val="000000"/>
                <w:kern w:val="0"/>
                <w:sz w:val="22"/>
                <w:szCs w:val="22"/>
              </w:rPr>
              <w:t>　</w:t>
            </w:r>
            <w:r>
              <w:rPr>
                <w:rFonts w:hint="eastAsia" w:ascii="宋体" w:hAnsi="宋体" w:cs="Arial"/>
                <w:color w:val="000000"/>
                <w:kern w:val="0"/>
                <w:sz w:val="22"/>
                <w:szCs w:val="22"/>
              </w:rPr>
              <w:t xml:space="preserve"> ……</w:t>
            </w:r>
          </w:p>
        </w:tc>
        <w:tc>
          <w:tcPr>
            <w:tcW w:w="1086"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307</w:t>
            </w:r>
          </w:p>
        </w:tc>
        <w:tc>
          <w:tcPr>
            <w:tcW w:w="211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债务利息支出</w:t>
            </w:r>
            <w:r>
              <w:rPr>
                <w:rFonts w:ascii="宋体" w:hAnsi="宋体" w:cs="Arial"/>
                <w:color w:val="000000"/>
                <w:kern w:val="0"/>
                <w:sz w:val="22"/>
                <w:szCs w:val="22"/>
              </w:rPr>
              <w:t>　</w:t>
            </w:r>
          </w:p>
        </w:tc>
        <w:tc>
          <w:tcPr>
            <w:tcW w:w="1200"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rPr>
            </w:pP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xml:space="preserve">  ……</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ascii="宋体" w:hAnsi="宋体" w:cs="Arial"/>
                <w:color w:val="000000"/>
                <w:kern w:val="0"/>
                <w:sz w:val="22"/>
                <w:szCs w:val="22"/>
              </w:rPr>
              <w:t>　</w:t>
            </w:r>
            <w:r>
              <w:rPr>
                <w:rFonts w:hint="eastAsia" w:ascii="宋体" w:hAnsi="宋体" w:cs="Arial"/>
                <w:color w:val="000000"/>
                <w:kern w:val="0"/>
                <w:sz w:val="22"/>
                <w:szCs w:val="22"/>
              </w:rPr>
              <w:t xml:space="preserve"> ……</w:t>
            </w:r>
          </w:p>
        </w:tc>
        <w:tc>
          <w:tcPr>
            <w:tcW w:w="1086"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310</w:t>
            </w:r>
          </w:p>
        </w:tc>
        <w:tc>
          <w:tcPr>
            <w:tcW w:w="211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资本性支出</w:t>
            </w:r>
          </w:p>
        </w:tc>
        <w:tc>
          <w:tcPr>
            <w:tcW w:w="1200"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Arial"/>
                <w:color w:val="000000"/>
                <w:kern w:val="0"/>
                <w:sz w:val="22"/>
                <w:szCs w:val="22"/>
              </w:rPr>
            </w:pP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p>
        </w:tc>
        <w:tc>
          <w:tcPr>
            <w:tcW w:w="1086"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bottom"/>
          </w:tcPr>
          <w:p>
            <w:pPr>
              <w:widowControl/>
              <w:jc w:val="left"/>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312</w:t>
            </w:r>
          </w:p>
        </w:tc>
        <w:tc>
          <w:tcPr>
            <w:tcW w:w="2115" w:type="dxa"/>
            <w:tcBorders>
              <w:top w:val="nil"/>
              <w:left w:val="nil"/>
              <w:bottom w:val="single" w:color="auto" w:sz="4" w:space="0"/>
              <w:right w:val="single" w:color="auto" w:sz="4" w:space="0"/>
            </w:tcBorders>
            <w:vAlign w:val="bottom"/>
          </w:tcPr>
          <w:p>
            <w:pPr>
              <w:widowControl/>
              <w:jc w:val="left"/>
              <w:rPr>
                <w:rFonts w:hint="eastAsia" w:ascii="宋体" w:hAnsi="宋体" w:eastAsia="宋体" w:cs="Arial"/>
                <w:color w:val="000000"/>
                <w:kern w:val="0"/>
                <w:sz w:val="22"/>
                <w:szCs w:val="22"/>
                <w:lang w:eastAsia="zh-CN"/>
              </w:rPr>
            </w:pPr>
            <w:r>
              <w:rPr>
                <w:rFonts w:hint="eastAsia" w:ascii="宋体" w:hAnsi="宋体" w:cs="Arial"/>
                <w:color w:val="000000"/>
                <w:kern w:val="0"/>
                <w:sz w:val="22"/>
                <w:szCs w:val="22"/>
                <w:lang w:eastAsia="zh-CN"/>
              </w:rPr>
              <w:t>对企业补助</w:t>
            </w:r>
          </w:p>
        </w:tc>
        <w:tc>
          <w:tcPr>
            <w:tcW w:w="1200" w:type="dxa"/>
            <w:tcBorders>
              <w:top w:val="nil"/>
              <w:left w:val="nil"/>
              <w:bottom w:val="single" w:color="auto" w:sz="4" w:space="0"/>
              <w:right w:val="single" w:color="auto" w:sz="4" w:space="0"/>
            </w:tcBorders>
            <w:vAlign w:val="bottom"/>
          </w:tcPr>
          <w:p>
            <w:pPr>
              <w:widowControl/>
              <w:jc w:val="center"/>
              <w:rPr>
                <w:rFonts w:hint="default" w:ascii="宋体" w:hAnsi="宋体" w:eastAsia="宋体" w:cs="Arial"/>
                <w:color w:val="000000"/>
                <w:kern w:val="0"/>
                <w:sz w:val="22"/>
                <w:szCs w:val="22"/>
                <w:lang w:val="en-US" w:eastAsia="zh-CN"/>
              </w:rPr>
            </w:pPr>
          </w:p>
        </w:tc>
      </w:tr>
      <w:tr>
        <w:tblPrEx>
          <w:tblCellMar>
            <w:top w:w="0" w:type="dxa"/>
            <w:left w:w="108" w:type="dxa"/>
            <w:bottom w:w="0" w:type="dxa"/>
            <w:right w:w="108" w:type="dxa"/>
          </w:tblCellMar>
        </w:tblPrEx>
        <w:trPr>
          <w:trHeight w:val="276" w:hRule="atLeast"/>
        </w:trPr>
        <w:tc>
          <w:tcPr>
            <w:tcW w:w="796" w:type="dxa"/>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xml:space="preserve">  </w:t>
            </w:r>
          </w:p>
        </w:tc>
        <w:tc>
          <w:tcPr>
            <w:tcW w:w="310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ascii="宋体" w:hAnsi="宋体" w:cs="Arial"/>
                <w:color w:val="000000"/>
                <w:kern w:val="0"/>
                <w:sz w:val="22"/>
                <w:szCs w:val="22"/>
              </w:rPr>
              <w:t>　</w:t>
            </w:r>
          </w:p>
        </w:tc>
        <w:tc>
          <w:tcPr>
            <w:tcW w:w="1086"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p>
        </w:tc>
        <w:tc>
          <w:tcPr>
            <w:tcW w:w="849"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399</w:t>
            </w:r>
          </w:p>
        </w:tc>
        <w:tc>
          <w:tcPr>
            <w:tcW w:w="2115"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其他支出</w:t>
            </w:r>
            <w:r>
              <w:rPr>
                <w:rFonts w:ascii="宋体" w:hAnsi="宋体" w:cs="Arial"/>
                <w:color w:val="000000"/>
                <w:kern w:val="0"/>
                <w:sz w:val="22"/>
                <w:szCs w:val="22"/>
              </w:rPr>
              <w:t>　</w:t>
            </w:r>
          </w:p>
        </w:tc>
        <w:tc>
          <w:tcPr>
            <w:tcW w:w="1200" w:type="dxa"/>
            <w:tcBorders>
              <w:top w:val="nil"/>
              <w:left w:val="nil"/>
              <w:bottom w:val="single" w:color="auto" w:sz="4" w:space="0"/>
              <w:right w:val="single" w:color="auto" w:sz="4" w:space="0"/>
            </w:tcBorders>
            <w:vAlign w:val="bottom"/>
          </w:tcPr>
          <w:p>
            <w:pPr>
              <w:widowControl/>
              <w:jc w:val="left"/>
              <w:rPr>
                <w:rFonts w:ascii="宋体" w:hAnsi="宋体" w:cs="Arial"/>
                <w:color w:val="000000"/>
                <w:kern w:val="0"/>
                <w:sz w:val="22"/>
                <w:szCs w:val="22"/>
              </w:rPr>
            </w:pPr>
            <w:r>
              <w:rPr>
                <w:rFonts w:ascii="宋体" w:hAnsi="宋体" w:cs="Arial"/>
                <w:color w:val="000000"/>
                <w:kern w:val="0"/>
                <w:sz w:val="22"/>
                <w:szCs w:val="22"/>
              </w:rPr>
              <w:t>　</w:t>
            </w:r>
          </w:p>
        </w:tc>
      </w:tr>
      <w:tr>
        <w:tblPrEx>
          <w:tblCellMar>
            <w:top w:w="0" w:type="dxa"/>
            <w:left w:w="108" w:type="dxa"/>
            <w:bottom w:w="0" w:type="dxa"/>
            <w:right w:w="108" w:type="dxa"/>
          </w:tblCellMar>
        </w:tblPrEx>
        <w:trPr>
          <w:trHeight w:val="607" w:hRule="atLeast"/>
        </w:trPr>
        <w:tc>
          <w:tcPr>
            <w:tcW w:w="3901"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人员经费合计</w:t>
            </w:r>
          </w:p>
        </w:tc>
        <w:tc>
          <w:tcPr>
            <w:tcW w:w="1086" w:type="dxa"/>
            <w:tcBorders>
              <w:top w:val="nil"/>
              <w:left w:val="nil"/>
              <w:bottom w:val="single" w:color="auto" w:sz="4" w:space="0"/>
              <w:right w:val="single" w:color="auto" w:sz="4" w:space="0"/>
            </w:tcBorders>
            <w:vAlign w:val="center"/>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1268.93</w:t>
            </w:r>
          </w:p>
        </w:tc>
        <w:tc>
          <w:tcPr>
            <w:tcW w:w="2964" w:type="dxa"/>
            <w:gridSpan w:val="2"/>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公用经费合计</w:t>
            </w:r>
          </w:p>
        </w:tc>
        <w:tc>
          <w:tcPr>
            <w:tcW w:w="1200" w:type="dxa"/>
            <w:tcBorders>
              <w:top w:val="nil"/>
              <w:left w:val="nil"/>
              <w:bottom w:val="single" w:color="auto" w:sz="4" w:space="0"/>
              <w:right w:val="single" w:color="auto" w:sz="4" w:space="0"/>
            </w:tcBorders>
            <w:vAlign w:val="center"/>
          </w:tcPr>
          <w:p>
            <w:pPr>
              <w:widowControl/>
              <w:jc w:val="center"/>
              <w:rPr>
                <w:rFonts w:hint="default" w:ascii="宋体" w:hAnsi="宋体" w:eastAsia="宋体" w:cs="Arial"/>
                <w:color w:val="000000"/>
                <w:kern w:val="0"/>
                <w:sz w:val="22"/>
                <w:szCs w:val="22"/>
                <w:lang w:val="en-US" w:eastAsia="zh-CN"/>
              </w:rPr>
            </w:pPr>
            <w:r>
              <w:rPr>
                <w:rFonts w:hint="eastAsia" w:ascii="宋体" w:hAnsi="宋体" w:cs="Arial"/>
                <w:color w:val="000000"/>
                <w:kern w:val="0"/>
                <w:sz w:val="22"/>
                <w:szCs w:val="22"/>
                <w:lang w:val="en-US" w:eastAsia="zh-CN"/>
              </w:rPr>
              <w:t>83.05</w:t>
            </w:r>
          </w:p>
        </w:tc>
      </w:tr>
    </w:tbl>
    <w:p>
      <w:p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rPr>
        <w:t>注：本表反映部门本年度一般公共预算财政拨款基本支出明细情况。</w:t>
      </w:r>
    </w:p>
    <w:p>
      <w:pPr>
        <w:jc w:val="both"/>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表七：</w:t>
      </w:r>
      <w:r>
        <w:rPr>
          <w:rFonts w:hint="eastAsia" w:ascii="方正小标宋简体" w:eastAsia="方正小标宋简体"/>
          <w:sz w:val="36"/>
          <w:szCs w:val="36"/>
        </w:rPr>
        <w:t>一般</w:t>
      </w:r>
      <w:r>
        <w:rPr>
          <w:rFonts w:hint="eastAsia" w:ascii="方正小标宋简体" w:hAnsi="宋体" w:eastAsia="方正小标宋简体" w:cs="宋体"/>
          <w:kern w:val="0"/>
          <w:sz w:val="36"/>
          <w:szCs w:val="36"/>
        </w:rPr>
        <w:t>公共预算财政拨款安排的“</w:t>
      </w:r>
      <w:r>
        <w:rPr>
          <w:rFonts w:ascii="方正小标宋简体" w:hAnsi="宋体" w:eastAsia="方正小标宋简体" w:cs="宋体"/>
          <w:kern w:val="0"/>
          <w:sz w:val="36"/>
          <w:szCs w:val="36"/>
        </w:rPr>
        <w:t>三公</w:t>
      </w:r>
      <w:r>
        <w:rPr>
          <w:rFonts w:hint="eastAsia" w:ascii="方正小标宋简体" w:hAnsi="宋体" w:eastAsia="方正小标宋简体" w:cs="宋体"/>
          <w:kern w:val="0"/>
          <w:sz w:val="36"/>
          <w:szCs w:val="36"/>
        </w:rPr>
        <w:t>”</w:t>
      </w:r>
      <w:r>
        <w:rPr>
          <w:rFonts w:ascii="方正小标宋简体" w:hAnsi="宋体" w:eastAsia="方正小标宋简体" w:cs="宋体"/>
          <w:kern w:val="0"/>
          <w:sz w:val="36"/>
          <w:szCs w:val="36"/>
        </w:rPr>
        <w:t>经费</w:t>
      </w:r>
      <w:r>
        <w:rPr>
          <w:rFonts w:hint="eastAsia" w:ascii="方正小标宋简体" w:hAnsi="宋体" w:eastAsia="方正小标宋简体" w:cs="宋体"/>
          <w:kern w:val="0"/>
          <w:sz w:val="36"/>
          <w:szCs w:val="36"/>
        </w:rPr>
        <w:t>支出决算表</w:t>
      </w:r>
    </w:p>
    <w:p/>
    <w:p>
      <w:pPr>
        <w:jc w:val="right"/>
      </w:pPr>
      <w:r>
        <w:rPr>
          <w:rFonts w:hint="eastAsia"/>
        </w:rPr>
        <w:t>单位：万元</w:t>
      </w:r>
    </w:p>
    <w:tbl>
      <w:tblPr>
        <w:tblStyle w:val="6"/>
        <w:tblW w:w="13921" w:type="dxa"/>
        <w:jc w:val="center"/>
        <w:tblLayout w:type="fixed"/>
        <w:tblCellMar>
          <w:top w:w="0" w:type="dxa"/>
          <w:left w:w="108" w:type="dxa"/>
          <w:bottom w:w="0" w:type="dxa"/>
          <w:right w:w="108" w:type="dxa"/>
        </w:tblCellMar>
      </w:tblPr>
      <w:tblGrid>
        <w:gridCol w:w="829"/>
        <w:gridCol w:w="1603"/>
        <w:gridCol w:w="828"/>
        <w:gridCol w:w="1242"/>
        <w:gridCol w:w="1242"/>
        <w:gridCol w:w="1127"/>
        <w:gridCol w:w="895"/>
        <w:gridCol w:w="1560"/>
        <w:gridCol w:w="806"/>
        <w:gridCol w:w="1398"/>
        <w:gridCol w:w="1208"/>
        <w:gridCol w:w="1183"/>
      </w:tblGrid>
      <w:tr>
        <w:tblPrEx>
          <w:tblCellMar>
            <w:top w:w="0" w:type="dxa"/>
            <w:left w:w="108" w:type="dxa"/>
            <w:bottom w:w="0" w:type="dxa"/>
            <w:right w:w="108" w:type="dxa"/>
          </w:tblCellMar>
        </w:tblPrEx>
        <w:trPr>
          <w:trHeight w:val="540" w:hRule="atLeast"/>
          <w:jc w:val="center"/>
        </w:trPr>
        <w:tc>
          <w:tcPr>
            <w:tcW w:w="6871"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2020年度预算数</w:t>
            </w:r>
          </w:p>
        </w:tc>
        <w:tc>
          <w:tcPr>
            <w:tcW w:w="7050"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2020年度决算数</w:t>
            </w:r>
          </w:p>
        </w:tc>
      </w:tr>
      <w:tr>
        <w:tblPrEx>
          <w:tblCellMar>
            <w:top w:w="0" w:type="dxa"/>
            <w:left w:w="108" w:type="dxa"/>
            <w:bottom w:w="0" w:type="dxa"/>
            <w:right w:w="108" w:type="dxa"/>
          </w:tblCellMar>
        </w:tblPrEx>
        <w:trPr>
          <w:trHeight w:val="396" w:hRule="atLeast"/>
          <w:jc w:val="center"/>
        </w:trPr>
        <w:tc>
          <w:tcPr>
            <w:tcW w:w="829"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603"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因公出国(境）费</w:t>
            </w:r>
          </w:p>
        </w:tc>
        <w:tc>
          <w:tcPr>
            <w:tcW w:w="331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公务用车购置及运行费</w:t>
            </w:r>
          </w:p>
        </w:tc>
        <w:tc>
          <w:tcPr>
            <w:tcW w:w="1127"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公务接待费</w:t>
            </w:r>
          </w:p>
        </w:tc>
        <w:tc>
          <w:tcPr>
            <w:tcW w:w="89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560"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因公出国(境）费</w:t>
            </w:r>
          </w:p>
        </w:tc>
        <w:tc>
          <w:tcPr>
            <w:tcW w:w="341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公务用车购置及运行费</w:t>
            </w:r>
          </w:p>
        </w:tc>
        <w:tc>
          <w:tcPr>
            <w:tcW w:w="1183"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公务接待费</w:t>
            </w:r>
          </w:p>
        </w:tc>
      </w:tr>
      <w:tr>
        <w:tblPrEx>
          <w:tblCellMar>
            <w:top w:w="0" w:type="dxa"/>
            <w:left w:w="108" w:type="dxa"/>
            <w:bottom w:w="0" w:type="dxa"/>
            <w:right w:w="108" w:type="dxa"/>
          </w:tblCellMar>
        </w:tblPrEx>
        <w:trPr>
          <w:trHeight w:val="576" w:hRule="atLeast"/>
          <w:jc w:val="center"/>
        </w:trPr>
        <w:tc>
          <w:tcPr>
            <w:tcW w:w="82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603"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2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小计</w:t>
            </w:r>
          </w:p>
        </w:tc>
        <w:tc>
          <w:tcPr>
            <w:tcW w:w="124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购置费</w:t>
            </w:r>
          </w:p>
        </w:tc>
        <w:tc>
          <w:tcPr>
            <w:tcW w:w="124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运行费</w:t>
            </w:r>
          </w:p>
        </w:tc>
        <w:tc>
          <w:tcPr>
            <w:tcW w:w="1127"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9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560"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806"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小计</w:t>
            </w:r>
          </w:p>
        </w:tc>
        <w:tc>
          <w:tcPr>
            <w:tcW w:w="139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购置费</w:t>
            </w:r>
          </w:p>
        </w:tc>
        <w:tc>
          <w:tcPr>
            <w:tcW w:w="120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运行费</w:t>
            </w:r>
          </w:p>
        </w:tc>
        <w:tc>
          <w:tcPr>
            <w:tcW w:w="1183"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r>
      <w:tr>
        <w:tblPrEx>
          <w:tblCellMar>
            <w:top w:w="0" w:type="dxa"/>
            <w:left w:w="108" w:type="dxa"/>
            <w:bottom w:w="0" w:type="dxa"/>
            <w:right w:w="108" w:type="dxa"/>
          </w:tblCellMar>
        </w:tblPrEx>
        <w:trPr>
          <w:trHeight w:val="600" w:hRule="atLeast"/>
          <w:jc w:val="center"/>
        </w:trPr>
        <w:tc>
          <w:tcPr>
            <w:tcW w:w="829" w:type="dxa"/>
            <w:tcBorders>
              <w:top w:val="nil"/>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1603"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828"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124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c>
          <w:tcPr>
            <w:tcW w:w="124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w:t>
            </w:r>
          </w:p>
        </w:tc>
        <w:tc>
          <w:tcPr>
            <w:tcW w:w="112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w:t>
            </w:r>
          </w:p>
        </w:tc>
        <w:tc>
          <w:tcPr>
            <w:tcW w:w="895"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w:t>
            </w:r>
          </w:p>
        </w:tc>
        <w:tc>
          <w:tcPr>
            <w:tcW w:w="156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8</w:t>
            </w:r>
          </w:p>
        </w:tc>
        <w:tc>
          <w:tcPr>
            <w:tcW w:w="806"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9</w:t>
            </w:r>
          </w:p>
        </w:tc>
        <w:tc>
          <w:tcPr>
            <w:tcW w:w="1398"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10</w:t>
            </w:r>
          </w:p>
        </w:tc>
        <w:tc>
          <w:tcPr>
            <w:tcW w:w="1208"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11</w:t>
            </w:r>
          </w:p>
        </w:tc>
        <w:tc>
          <w:tcPr>
            <w:tcW w:w="1183"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12</w:t>
            </w:r>
          </w:p>
        </w:tc>
      </w:tr>
      <w:tr>
        <w:tblPrEx>
          <w:tblCellMar>
            <w:top w:w="0" w:type="dxa"/>
            <w:left w:w="108" w:type="dxa"/>
            <w:bottom w:w="0" w:type="dxa"/>
            <w:right w:w="108" w:type="dxa"/>
          </w:tblCellMar>
        </w:tblPrEx>
        <w:trPr>
          <w:trHeight w:val="564" w:hRule="atLeast"/>
          <w:jc w:val="center"/>
        </w:trPr>
        <w:tc>
          <w:tcPr>
            <w:tcW w:w="829" w:type="dxa"/>
            <w:tcBorders>
              <w:top w:val="nil"/>
              <w:left w:val="single" w:color="auto" w:sz="4" w:space="0"/>
              <w:bottom w:val="single" w:color="auto" w:sz="4" w:space="0"/>
              <w:right w:val="single" w:color="auto" w:sz="4" w:space="0"/>
            </w:tcBorders>
          </w:tcPr>
          <w:p>
            <w:pPr>
              <w:widowControl/>
              <w:ind w:firstLine="200" w:firstLineChars="100"/>
              <w:jc w:val="center"/>
              <w:rPr>
                <w:rFonts w:hint="default" w:asciiTheme="minorEastAsia" w:hAnsiTheme="minorEastAsia" w:eastAsiaTheme="minorEastAsia" w:cstheme="minorEastAsia"/>
                <w:color w:val="000000"/>
                <w:kern w:val="0"/>
                <w:sz w:val="20"/>
                <w:szCs w:val="20"/>
                <w:lang w:val="en-US"/>
              </w:rPr>
            </w:pPr>
            <w:r>
              <w:rPr>
                <w:rFonts w:hint="eastAsia" w:asciiTheme="minorEastAsia" w:hAnsiTheme="minorEastAsia" w:eastAsiaTheme="minorEastAsia" w:cstheme="minorEastAsia"/>
                <w:color w:val="000000"/>
                <w:kern w:val="0"/>
                <w:sz w:val="20"/>
                <w:szCs w:val="20"/>
                <w:lang w:val="en-US" w:eastAsia="zh-CN"/>
              </w:rPr>
              <w:t>0</w:t>
            </w:r>
          </w:p>
        </w:tc>
        <w:tc>
          <w:tcPr>
            <w:tcW w:w="1603" w:type="dxa"/>
            <w:tcBorders>
              <w:top w:val="nil"/>
              <w:left w:val="nil"/>
              <w:bottom w:val="single" w:color="auto" w:sz="4" w:space="0"/>
              <w:right w:val="single" w:color="auto" w:sz="4" w:space="0"/>
            </w:tcBorders>
          </w:tcPr>
          <w:p>
            <w:pPr>
              <w:widowControl/>
              <w:ind w:firstLine="200" w:firstLineChars="100"/>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828" w:type="dxa"/>
            <w:tcBorders>
              <w:top w:val="nil"/>
              <w:left w:val="nil"/>
              <w:bottom w:val="single" w:color="auto" w:sz="4" w:space="0"/>
              <w:right w:val="single" w:color="auto" w:sz="4" w:space="0"/>
            </w:tcBorders>
          </w:tcPr>
          <w:p>
            <w:pPr>
              <w:widowControl/>
              <w:ind w:firstLine="200" w:firstLineChars="100"/>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lang w:val="en-US" w:eastAsia="zh-CN"/>
              </w:rPr>
              <w:t>0</w:t>
            </w:r>
          </w:p>
        </w:tc>
        <w:tc>
          <w:tcPr>
            <w:tcW w:w="1242" w:type="dxa"/>
            <w:tcBorders>
              <w:top w:val="nil"/>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1242" w:type="dxa"/>
            <w:tcBorders>
              <w:top w:val="nil"/>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1127" w:type="dxa"/>
            <w:tcBorders>
              <w:top w:val="nil"/>
              <w:left w:val="nil"/>
              <w:bottom w:val="single" w:color="auto" w:sz="4" w:space="0"/>
              <w:right w:val="single" w:color="auto" w:sz="4" w:space="0"/>
            </w:tcBorders>
          </w:tcPr>
          <w:p>
            <w:pPr>
              <w:widowControl/>
              <w:ind w:firstLine="200" w:firstLineChars="100"/>
              <w:jc w:val="center"/>
              <w:rPr>
                <w:rFonts w:hint="default"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895" w:type="dxa"/>
            <w:tcBorders>
              <w:top w:val="nil"/>
              <w:left w:val="nil"/>
              <w:bottom w:val="single" w:color="auto" w:sz="4" w:space="0"/>
              <w:right w:val="single" w:color="auto" w:sz="4" w:space="0"/>
            </w:tcBorders>
          </w:tcPr>
          <w:p>
            <w:pPr>
              <w:widowControl/>
              <w:ind w:firstLine="200" w:firstLineChars="100"/>
              <w:jc w:val="center"/>
              <w:rPr>
                <w:rFonts w:hint="default"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1560" w:type="dxa"/>
            <w:tcBorders>
              <w:top w:val="nil"/>
              <w:left w:val="nil"/>
              <w:bottom w:val="single" w:color="auto" w:sz="4" w:space="0"/>
              <w:right w:val="single" w:color="auto" w:sz="4" w:space="0"/>
            </w:tcBorders>
          </w:tcPr>
          <w:p>
            <w:pPr>
              <w:widowControl/>
              <w:ind w:firstLine="200" w:firstLineChars="100"/>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806" w:type="dxa"/>
            <w:tcBorders>
              <w:top w:val="nil"/>
              <w:left w:val="nil"/>
              <w:bottom w:val="single" w:color="auto" w:sz="4" w:space="0"/>
              <w:right w:val="single" w:color="auto" w:sz="4" w:space="0"/>
            </w:tcBorders>
          </w:tcPr>
          <w:p>
            <w:pPr>
              <w:widowControl/>
              <w:ind w:firstLine="200" w:firstLineChars="100"/>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1398" w:type="dxa"/>
            <w:tcBorders>
              <w:top w:val="nil"/>
              <w:left w:val="nil"/>
              <w:bottom w:val="single" w:color="auto" w:sz="4" w:space="0"/>
              <w:right w:val="single" w:color="auto" w:sz="4" w:space="0"/>
            </w:tcBorders>
          </w:tcPr>
          <w:p>
            <w:pPr>
              <w:widowControl/>
              <w:ind w:firstLine="400" w:firstLineChars="200"/>
              <w:jc w:val="center"/>
              <w:rPr>
                <w:rFonts w:hint="eastAsia"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1208" w:type="dxa"/>
            <w:tcBorders>
              <w:top w:val="nil"/>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lang w:val="en-US" w:eastAsia="zh-CN"/>
              </w:rPr>
              <w:t>0</w:t>
            </w:r>
          </w:p>
        </w:tc>
        <w:tc>
          <w:tcPr>
            <w:tcW w:w="1183" w:type="dxa"/>
            <w:tcBorders>
              <w:top w:val="nil"/>
              <w:left w:val="nil"/>
              <w:bottom w:val="single" w:color="auto" w:sz="4" w:space="0"/>
              <w:right w:val="single" w:color="auto" w:sz="4" w:space="0"/>
            </w:tcBorders>
          </w:tcPr>
          <w:p>
            <w:pPr>
              <w:widowControl/>
              <w:ind w:firstLine="200" w:firstLineChars="100"/>
              <w:jc w:val="center"/>
              <w:rPr>
                <w:rFonts w:hint="default" w:asciiTheme="minorEastAsia" w:hAnsiTheme="minorEastAsia" w:eastAsiaTheme="minorEastAsia" w:cstheme="minorEastAsia"/>
                <w:color w:val="000000"/>
                <w:kern w:val="0"/>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r>
    </w:tbl>
    <w:p>
      <w:p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rPr>
        <w:t>注：本表反映部门本年度“三公”经费支出预决算情况。其中，2020年度预算数为“三公”经费年初预算数，决算数是包括当年一般公共预算财政拨款和以前年度结转资金安排的实际支出。</w:t>
      </w:r>
    </w:p>
    <w:p/>
    <w:p/>
    <w:tbl>
      <w:tblPr>
        <w:tblStyle w:val="6"/>
        <w:tblW w:w="12480" w:type="dxa"/>
        <w:jc w:val="center"/>
        <w:tblLayout w:type="fixed"/>
        <w:tblCellMar>
          <w:top w:w="0" w:type="dxa"/>
          <w:left w:w="108" w:type="dxa"/>
          <w:bottom w:w="0" w:type="dxa"/>
          <w:right w:w="108" w:type="dxa"/>
        </w:tblCellMar>
      </w:tblPr>
      <w:tblGrid>
        <w:gridCol w:w="1040"/>
        <w:gridCol w:w="1385"/>
        <w:gridCol w:w="765"/>
        <w:gridCol w:w="1040"/>
        <w:gridCol w:w="1040"/>
        <w:gridCol w:w="1040"/>
        <w:gridCol w:w="1040"/>
        <w:gridCol w:w="1040"/>
        <w:gridCol w:w="1040"/>
        <w:gridCol w:w="1040"/>
        <w:gridCol w:w="1020"/>
        <w:gridCol w:w="990"/>
      </w:tblGrid>
      <w:tr>
        <w:tblPrEx>
          <w:tblCellMar>
            <w:top w:w="0" w:type="dxa"/>
            <w:left w:w="108" w:type="dxa"/>
            <w:bottom w:w="0" w:type="dxa"/>
            <w:right w:w="108" w:type="dxa"/>
          </w:tblCellMar>
        </w:tblPrEx>
        <w:trPr>
          <w:trHeight w:val="570" w:hRule="atLeast"/>
          <w:jc w:val="center"/>
        </w:trPr>
        <w:tc>
          <w:tcPr>
            <w:tcW w:w="12480" w:type="dxa"/>
            <w:gridSpan w:val="12"/>
            <w:tcBorders>
              <w:top w:val="nil"/>
              <w:left w:val="nil"/>
              <w:bottom w:val="nil"/>
              <w:right w:val="nil"/>
            </w:tcBorders>
            <w:vAlign w:val="bottom"/>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表八：政府性基金预算财政拨款收入支出决算表</w:t>
            </w:r>
          </w:p>
        </w:tc>
      </w:tr>
      <w:tr>
        <w:tblPrEx>
          <w:tblCellMar>
            <w:top w:w="0" w:type="dxa"/>
            <w:left w:w="108" w:type="dxa"/>
            <w:bottom w:w="0" w:type="dxa"/>
            <w:right w:w="108" w:type="dxa"/>
          </w:tblCellMar>
        </w:tblPrEx>
        <w:trPr>
          <w:trHeight w:val="285" w:hRule="atLeast"/>
          <w:jc w:val="center"/>
        </w:trPr>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385" w:type="dxa"/>
            <w:tcBorders>
              <w:top w:val="nil"/>
              <w:left w:val="nil"/>
              <w:bottom w:val="nil"/>
              <w:right w:val="nil"/>
            </w:tcBorders>
            <w:vAlign w:val="bottom"/>
          </w:tcPr>
          <w:p>
            <w:pPr>
              <w:widowControl/>
              <w:jc w:val="left"/>
              <w:rPr>
                <w:rFonts w:ascii="仿宋_GB2312" w:hAnsi="宋体" w:cs="宋体"/>
                <w:kern w:val="0"/>
                <w:sz w:val="24"/>
              </w:rPr>
            </w:pPr>
          </w:p>
        </w:tc>
        <w:tc>
          <w:tcPr>
            <w:tcW w:w="765"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1040" w:type="dxa"/>
            <w:tcBorders>
              <w:top w:val="nil"/>
              <w:left w:val="nil"/>
              <w:bottom w:val="nil"/>
              <w:right w:val="nil"/>
            </w:tcBorders>
            <w:vAlign w:val="bottom"/>
          </w:tcPr>
          <w:p>
            <w:pPr>
              <w:widowControl/>
              <w:jc w:val="left"/>
              <w:rPr>
                <w:rFonts w:ascii="仿宋_GB2312" w:hAnsi="宋体" w:cs="宋体"/>
                <w:kern w:val="0"/>
                <w:sz w:val="24"/>
              </w:rPr>
            </w:pPr>
          </w:p>
        </w:tc>
        <w:tc>
          <w:tcPr>
            <w:tcW w:w="2010" w:type="dxa"/>
            <w:gridSpan w:val="2"/>
            <w:tcBorders>
              <w:top w:val="nil"/>
              <w:left w:val="nil"/>
              <w:bottom w:val="nil"/>
              <w:right w:val="nil"/>
            </w:tcBorders>
            <w:vAlign w:val="bottom"/>
          </w:tcPr>
          <w:p>
            <w:pPr>
              <w:widowControl/>
              <w:jc w:val="right"/>
              <w:rPr>
                <w:rFonts w:ascii="仿宋_GB2312" w:hAnsi="宋体" w:cs="宋体"/>
                <w:kern w:val="0"/>
                <w:sz w:val="22"/>
                <w:szCs w:val="22"/>
              </w:rPr>
            </w:pPr>
            <w:r>
              <w:rPr>
                <w:rFonts w:hint="eastAsia" w:ascii="仿宋_GB2312" w:hAnsi="宋体" w:cs="宋体"/>
                <w:kern w:val="0"/>
                <w:sz w:val="22"/>
                <w:szCs w:val="22"/>
              </w:rPr>
              <w:t>单位：万元</w:t>
            </w:r>
          </w:p>
        </w:tc>
      </w:tr>
      <w:tr>
        <w:tblPrEx>
          <w:tblCellMar>
            <w:top w:w="0" w:type="dxa"/>
            <w:left w:w="108" w:type="dxa"/>
            <w:bottom w:w="0" w:type="dxa"/>
            <w:right w:w="108" w:type="dxa"/>
          </w:tblCellMar>
        </w:tblPrEx>
        <w:trPr>
          <w:trHeight w:val="405" w:hRule="atLeast"/>
          <w:jc w:val="center"/>
        </w:trPr>
        <w:tc>
          <w:tcPr>
            <w:tcW w:w="1040" w:type="dxa"/>
            <w:vMerge w:val="restart"/>
            <w:tcBorders>
              <w:top w:val="single" w:color="auto" w:sz="4" w:space="0"/>
              <w:left w:val="single" w:color="auto" w:sz="4" w:space="0"/>
              <w:bottom w:val="nil"/>
              <w:right w:val="nil"/>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支出功能分类科目编码</w:t>
            </w:r>
          </w:p>
        </w:tc>
        <w:tc>
          <w:tcPr>
            <w:tcW w:w="13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科目名称</w:t>
            </w:r>
          </w:p>
        </w:tc>
        <w:tc>
          <w:tcPr>
            <w:tcW w:w="2845"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040" w:type="dxa"/>
            <w:vMerge w:val="restart"/>
            <w:tcBorders>
              <w:top w:val="single" w:color="auto" w:sz="4" w:space="0"/>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3120"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3050"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tblPrEx>
          <w:tblCellMar>
            <w:top w:w="0" w:type="dxa"/>
            <w:left w:w="108" w:type="dxa"/>
            <w:bottom w:w="0" w:type="dxa"/>
            <w:right w:w="108" w:type="dxa"/>
          </w:tblCellMar>
        </w:tblPrEx>
        <w:trPr>
          <w:trHeight w:val="312" w:hRule="atLeast"/>
          <w:jc w:val="center"/>
        </w:trPr>
        <w:tc>
          <w:tcPr>
            <w:tcW w:w="1040" w:type="dxa"/>
            <w:vMerge w:val="continue"/>
            <w:tcBorders>
              <w:top w:val="single" w:color="auto" w:sz="4" w:space="0"/>
              <w:left w:val="single" w:color="auto" w:sz="4" w:space="0"/>
              <w:bottom w:val="nil"/>
              <w:right w:val="nil"/>
            </w:tcBorders>
            <w:shd w:val="clear" w:color="auto" w:fill="auto"/>
            <w:vAlign w:val="center"/>
          </w:tcPr>
          <w:p>
            <w:pPr>
              <w:widowControl/>
              <w:jc w:val="left"/>
              <w:rPr>
                <w:rFonts w:ascii="宋体" w:hAnsi="宋体" w:cs="宋体"/>
                <w:kern w:val="0"/>
                <w:sz w:val="22"/>
                <w:szCs w:val="22"/>
              </w:rPr>
            </w:pPr>
          </w:p>
        </w:tc>
        <w:tc>
          <w:tcPr>
            <w:tcW w:w="13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p>
        </w:tc>
        <w:tc>
          <w:tcPr>
            <w:tcW w:w="765" w:type="dxa"/>
            <w:vMerge w:val="restart"/>
            <w:tcBorders>
              <w:top w:val="nil"/>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040" w:type="dxa"/>
            <w:vMerge w:val="restart"/>
            <w:tcBorders>
              <w:top w:val="nil"/>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w:t>
            </w:r>
          </w:p>
        </w:tc>
        <w:tc>
          <w:tcPr>
            <w:tcW w:w="1040" w:type="dxa"/>
            <w:vMerge w:val="restart"/>
            <w:tcBorders>
              <w:top w:val="nil"/>
              <w:left w:val="single" w:color="auto" w:sz="4" w:space="0"/>
              <w:bottom w:val="nil"/>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项目支出结转和结余</w:t>
            </w:r>
          </w:p>
        </w:tc>
        <w:tc>
          <w:tcPr>
            <w:tcW w:w="1040" w:type="dxa"/>
            <w:vMerge w:val="continue"/>
            <w:tcBorders>
              <w:top w:val="single" w:color="auto" w:sz="4" w:space="0"/>
              <w:left w:val="single" w:color="auto" w:sz="4" w:space="0"/>
              <w:bottom w:val="nil"/>
              <w:right w:val="single" w:color="auto" w:sz="4" w:space="0"/>
            </w:tcBorders>
            <w:shd w:val="clear" w:color="auto" w:fill="auto"/>
            <w:vAlign w:val="center"/>
          </w:tcPr>
          <w:p>
            <w:pPr>
              <w:widowControl/>
              <w:jc w:val="left"/>
              <w:rPr>
                <w:rFonts w:ascii="宋体" w:hAnsi="宋体" w:cs="宋体"/>
                <w:color w:val="000000"/>
                <w:kern w:val="0"/>
                <w:sz w:val="22"/>
                <w:szCs w:val="22"/>
              </w:rPr>
            </w:pPr>
          </w:p>
        </w:tc>
        <w:tc>
          <w:tcPr>
            <w:tcW w:w="104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04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04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104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02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w:t>
            </w:r>
          </w:p>
        </w:tc>
        <w:tc>
          <w:tcPr>
            <w:tcW w:w="990"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项目支出结转和结余</w:t>
            </w:r>
          </w:p>
        </w:tc>
      </w:tr>
      <w:tr>
        <w:tblPrEx>
          <w:tblCellMar>
            <w:top w:w="0" w:type="dxa"/>
            <w:left w:w="108" w:type="dxa"/>
            <w:bottom w:w="0" w:type="dxa"/>
            <w:right w:w="108" w:type="dxa"/>
          </w:tblCellMar>
        </w:tblPrEx>
        <w:trPr>
          <w:trHeight w:val="312" w:hRule="atLeast"/>
          <w:jc w:val="center"/>
        </w:trPr>
        <w:tc>
          <w:tcPr>
            <w:tcW w:w="1040" w:type="dxa"/>
            <w:vMerge w:val="continue"/>
            <w:tcBorders>
              <w:top w:val="single" w:color="auto" w:sz="4" w:space="0"/>
              <w:left w:val="single" w:color="auto" w:sz="4" w:space="0"/>
              <w:bottom w:val="nil"/>
              <w:right w:val="nil"/>
            </w:tcBorders>
            <w:vAlign w:val="center"/>
          </w:tcPr>
          <w:p>
            <w:pPr>
              <w:widowControl/>
              <w:jc w:val="left"/>
              <w:rPr>
                <w:rFonts w:ascii="宋体" w:hAnsi="宋体" w:cs="宋体"/>
                <w:kern w:val="0"/>
                <w:sz w:val="22"/>
                <w:szCs w:val="22"/>
              </w:rPr>
            </w:pPr>
          </w:p>
        </w:tc>
        <w:tc>
          <w:tcPr>
            <w:tcW w:w="13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szCs w:val="22"/>
              </w:rPr>
            </w:pPr>
          </w:p>
        </w:tc>
        <w:tc>
          <w:tcPr>
            <w:tcW w:w="765"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2"/>
                <w:szCs w:val="22"/>
              </w:rPr>
            </w:pPr>
          </w:p>
        </w:tc>
        <w:tc>
          <w:tcPr>
            <w:tcW w:w="104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2"/>
                <w:szCs w:val="22"/>
              </w:rPr>
            </w:pPr>
          </w:p>
        </w:tc>
        <w:tc>
          <w:tcPr>
            <w:tcW w:w="104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2"/>
                <w:szCs w:val="22"/>
              </w:rPr>
            </w:pPr>
          </w:p>
        </w:tc>
        <w:tc>
          <w:tcPr>
            <w:tcW w:w="104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cs="宋体"/>
                <w:color w:val="000000"/>
                <w:kern w:val="0"/>
                <w:sz w:val="22"/>
                <w:szCs w:val="22"/>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99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85" w:hRule="atLeast"/>
          <w:jc w:val="center"/>
        </w:trPr>
        <w:tc>
          <w:tcPr>
            <w:tcW w:w="242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合  计</w:t>
            </w:r>
          </w:p>
        </w:tc>
        <w:tc>
          <w:tcPr>
            <w:tcW w:w="765"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212</w:t>
            </w:r>
          </w:p>
        </w:tc>
        <w:tc>
          <w:tcPr>
            <w:tcW w:w="138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lang w:eastAsia="zh-CN"/>
              </w:rPr>
              <w:t>城乡社区支出</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both"/>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21208</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lang w:eastAsia="zh-CN"/>
              </w:rPr>
              <w:t>国有土地使用权出让收入安排的支出</w:t>
            </w: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right"/>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2120803</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lang w:eastAsia="zh-CN"/>
              </w:rPr>
              <w:t>城市建设支出</w:t>
            </w: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285" w:hRule="atLeast"/>
          <w:jc w:val="center"/>
        </w:trPr>
        <w:tc>
          <w:tcPr>
            <w:tcW w:w="10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8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765"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4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990"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bl>
    <w:p>
      <w:pPr>
        <w:spacing w:line="560" w:lineRule="exact"/>
        <w:ind w:firstLine="420"/>
        <w:rPr>
          <w:rFonts w:hint="eastAsia"/>
        </w:rPr>
      </w:pPr>
      <w:r>
        <w:rPr>
          <w:rFonts w:hint="eastAsia"/>
        </w:rPr>
        <w:t>注：本表反映部门本年度政府性基金预算财政拨款收入支出及结转和结余情况。</w:t>
      </w:r>
    </w:p>
    <w:tbl>
      <w:tblPr>
        <w:tblStyle w:val="6"/>
        <w:tblW w:w="13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18"/>
        <w:gridCol w:w="1292"/>
        <w:gridCol w:w="2249"/>
        <w:gridCol w:w="3242"/>
        <w:gridCol w:w="1344"/>
        <w:gridCol w:w="4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8" w:hRule="atLeast"/>
        </w:trPr>
        <w:tc>
          <w:tcPr>
            <w:tcW w:w="13520" w:type="dxa"/>
            <w:gridSpan w:val="6"/>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表九：国有资本经营预算财政拨款支出决算表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0" w:hRule="atLeast"/>
        </w:trPr>
        <w:tc>
          <w:tcPr>
            <w:tcW w:w="1318"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p>
        </w:tc>
        <w:tc>
          <w:tcPr>
            <w:tcW w:w="1292" w:type="dxa"/>
            <w:shd w:val="clear" w:color="auto" w:fill="FFFFFF"/>
            <w:vAlign w:val="center"/>
          </w:tcPr>
          <w:p>
            <w:pPr>
              <w:jc w:val="center"/>
              <w:rPr>
                <w:rFonts w:hint="eastAsia" w:ascii="宋体" w:hAnsi="宋体" w:eastAsia="宋体" w:cs="宋体"/>
                <w:i w:val="0"/>
                <w:color w:val="000000"/>
                <w:sz w:val="20"/>
                <w:szCs w:val="20"/>
                <w:highlight w:val="none"/>
                <w:u w:val="none"/>
              </w:rPr>
            </w:pPr>
          </w:p>
        </w:tc>
        <w:tc>
          <w:tcPr>
            <w:tcW w:w="2249" w:type="dxa"/>
            <w:shd w:val="clear" w:color="auto" w:fill="FFFFFF"/>
            <w:vAlign w:val="center"/>
          </w:tcPr>
          <w:p>
            <w:pPr>
              <w:jc w:val="center"/>
              <w:rPr>
                <w:rFonts w:hint="eastAsia" w:ascii="宋体" w:hAnsi="宋体" w:eastAsia="宋体" w:cs="宋体"/>
                <w:i w:val="0"/>
                <w:color w:val="000000"/>
                <w:sz w:val="20"/>
                <w:szCs w:val="20"/>
                <w:highlight w:val="none"/>
                <w:u w:val="none"/>
              </w:rPr>
            </w:pPr>
          </w:p>
        </w:tc>
        <w:tc>
          <w:tcPr>
            <w:tcW w:w="3242" w:type="dxa"/>
            <w:tcBorders>
              <w:bottom w:val="single" w:color="000000" w:sz="12" w:space="0"/>
            </w:tcBorders>
            <w:shd w:val="clear" w:color="auto" w:fill="FFFFFF"/>
            <w:vAlign w:val="center"/>
          </w:tcPr>
          <w:p>
            <w:pPr>
              <w:rPr>
                <w:rFonts w:hint="eastAsia" w:ascii="宋体" w:hAnsi="宋体" w:eastAsia="宋体" w:cs="宋体"/>
                <w:i w:val="0"/>
                <w:color w:val="000000"/>
                <w:sz w:val="20"/>
                <w:szCs w:val="20"/>
                <w:highlight w:val="none"/>
                <w:u w:val="none"/>
              </w:rPr>
            </w:pPr>
          </w:p>
        </w:tc>
        <w:tc>
          <w:tcPr>
            <w:tcW w:w="1344" w:type="dxa"/>
            <w:tcBorders>
              <w:bottom w:val="single" w:color="000000" w:sz="12" w:space="0"/>
            </w:tcBorders>
            <w:shd w:val="clear" w:color="auto" w:fill="FFFFFF"/>
            <w:vAlign w:val="center"/>
          </w:tcPr>
          <w:p>
            <w:pPr>
              <w:rPr>
                <w:rFonts w:hint="eastAsia" w:ascii="宋体" w:hAnsi="宋体" w:eastAsia="宋体" w:cs="宋体"/>
                <w:i w:val="0"/>
                <w:color w:val="000000"/>
                <w:sz w:val="20"/>
                <w:szCs w:val="20"/>
                <w:highlight w:val="none"/>
                <w:u w:val="none"/>
              </w:rPr>
            </w:pPr>
          </w:p>
        </w:tc>
        <w:tc>
          <w:tcPr>
            <w:tcW w:w="4075"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0" w:hRule="atLeast"/>
        </w:trPr>
        <w:tc>
          <w:tcPr>
            <w:tcW w:w="4859" w:type="dxa"/>
            <w:gridSpan w:val="3"/>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Style w:val="11"/>
                <w:highlight w:val="none"/>
                <w:lang w:val="en-US" w:eastAsia="zh-CN" w:bidi="ar"/>
              </w:rPr>
              <w:t xml:space="preserve">   </w:t>
            </w:r>
            <w:r>
              <w:rPr>
                <w:rStyle w:val="12"/>
                <w:highlight w:val="none"/>
                <w:lang w:val="en-US" w:eastAsia="zh-CN" w:bidi="ar"/>
              </w:rPr>
              <w:t>目</w:t>
            </w:r>
          </w:p>
        </w:tc>
        <w:tc>
          <w:tcPr>
            <w:tcW w:w="8661" w:type="dxa"/>
            <w:gridSpan w:val="3"/>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功能分类科目编码</w:t>
            </w:r>
          </w:p>
        </w:tc>
        <w:tc>
          <w:tcPr>
            <w:tcW w:w="22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324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1344"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4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324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134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4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324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134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4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4859" w:type="dxa"/>
            <w:gridSpan w:val="3"/>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4859" w:type="dxa"/>
            <w:gridSpan w:val="3"/>
            <w:tcBorders>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highlight w:val="none"/>
                <w:u w:val="none"/>
              </w:rPr>
            </w:pP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highlight w:val="none"/>
                <w:u w:val="none"/>
              </w:rPr>
            </w:pP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40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0" w:hRule="atLeast"/>
        </w:trPr>
        <w:tc>
          <w:tcPr>
            <w:tcW w:w="2610" w:type="dxa"/>
            <w:gridSpan w:val="2"/>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hint="eastAsia" w:ascii="宋体" w:hAnsi="宋体" w:eastAsia="宋体" w:cs="宋体"/>
                <w:i w:val="0"/>
                <w:color w:val="000000"/>
                <w:sz w:val="24"/>
                <w:szCs w:val="24"/>
                <w:highlight w:val="none"/>
                <w:u w:val="none"/>
              </w:rPr>
            </w:pPr>
          </w:p>
        </w:tc>
        <w:tc>
          <w:tcPr>
            <w:tcW w:w="2249" w:type="dxa"/>
            <w:tcBorders>
              <w:top w:val="single" w:color="000000" w:sz="4" w:space="0"/>
              <w:left w:val="single" w:color="000000" w:sz="4" w:space="0"/>
              <w:bottom w:val="single" w:color="000000" w:sz="12"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3242" w:type="dxa"/>
            <w:tcBorders>
              <w:top w:val="single" w:color="000000" w:sz="4" w:space="0"/>
              <w:left w:val="single" w:color="000000" w:sz="4" w:space="0"/>
              <w:bottom w:val="single" w:color="000000" w:sz="12"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1344" w:type="dxa"/>
            <w:tcBorders>
              <w:top w:val="single" w:color="000000" w:sz="4" w:space="0"/>
              <w:left w:val="single" w:color="000000" w:sz="4" w:space="0"/>
              <w:bottom w:val="single" w:color="000000" w:sz="12"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c>
          <w:tcPr>
            <w:tcW w:w="4075" w:type="dxa"/>
            <w:tcBorders>
              <w:top w:val="single" w:color="000000" w:sz="4" w:space="0"/>
              <w:left w:val="single" w:color="000000" w:sz="4" w:space="0"/>
              <w:bottom w:val="single" w:color="000000" w:sz="12" w:space="0"/>
              <w:right w:val="single" w:color="000000" w:sz="4" w:space="0"/>
            </w:tcBorders>
            <w:shd w:val="clear" w:color="auto" w:fill="auto"/>
            <w:vAlign w:val="center"/>
          </w:tcPr>
          <w:p>
            <w:pP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8" w:hRule="atLeast"/>
        </w:trPr>
        <w:tc>
          <w:tcPr>
            <w:tcW w:w="13520" w:type="dxa"/>
            <w:gridSpan w:val="6"/>
            <w:tcBorders>
              <w:top w:val="single" w:color="000000" w:sz="12"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注：本表反映部门本年度国有资本经营预算财政拨款支出情况。</w:t>
            </w:r>
          </w:p>
          <w:p>
            <w:pPr>
              <w:keepNext w:val="0"/>
              <w:keepLines w:val="0"/>
              <w:widowControl/>
              <w:suppressLineNumbers w:val="0"/>
              <w:ind w:firstLine="480" w:firstLineChars="20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柳州市行政审批局没有国有资本经营预算财政拨款收入，也没有国有资本经营预算财政拨款安排的支出，故本表无数据</w:t>
            </w:r>
          </w:p>
        </w:tc>
      </w:tr>
    </w:tbl>
    <w:p>
      <w:pPr>
        <w:spacing w:line="560" w:lineRule="exact"/>
        <w:ind w:firstLine="420"/>
        <w:rPr>
          <w:rFonts w:hint="eastAsia"/>
          <w:highlight w:val="none"/>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柳州市行政审批服务中心</w:t>
      </w:r>
      <w:r>
        <w:rPr>
          <w:rFonts w:hint="eastAsia" w:ascii="仿宋_GB2312" w:eastAsia="仿宋_GB2312"/>
          <w:b/>
          <w:sz w:val="32"/>
          <w:szCs w:val="32"/>
        </w:rPr>
        <w:t>2020年度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2020</w:t>
      </w:r>
      <w:r>
        <w:rPr>
          <w:rFonts w:hint="eastAsia" w:ascii="仿宋_GB2312" w:eastAsia="仿宋_GB2312" w:cs="仿宋_GB2312"/>
          <w:b/>
          <w:kern w:val="0"/>
          <w:sz w:val="32"/>
          <w:szCs w:val="32"/>
        </w:rPr>
        <w:t>年度收入支出决算总体情况</w:t>
      </w:r>
    </w:p>
    <w:p>
      <w:pPr>
        <w:autoSpaceDE w:val="0"/>
        <w:autoSpaceDN w:val="0"/>
        <w:adjustRightInd w:val="0"/>
        <w:spacing w:line="580" w:lineRule="exact"/>
        <w:ind w:firstLine="643" w:firstLineChars="200"/>
        <w:jc w:val="left"/>
        <w:rPr>
          <w:rFonts w:hint="default" w:ascii="仿宋_GB2312" w:eastAsia="仿宋_GB2312" w:cs="仿宋_GB2312"/>
          <w:bCs/>
          <w:kern w:val="0"/>
          <w:sz w:val="32"/>
          <w:szCs w:val="32"/>
          <w:lang w:val="en-US" w:eastAsia="zh-CN"/>
        </w:rPr>
      </w:pPr>
      <w:r>
        <w:rPr>
          <w:rFonts w:hint="eastAsia" w:ascii="仿宋_GB2312" w:eastAsia="仿宋_GB2312" w:cs="仿宋_GB2312"/>
          <w:b/>
          <w:kern w:val="0"/>
          <w:sz w:val="32"/>
          <w:szCs w:val="32"/>
        </w:rPr>
        <w:t xml:space="preserve"> </w:t>
      </w:r>
      <w:r>
        <w:rPr>
          <w:rFonts w:hint="eastAsia" w:ascii="仿宋_GB2312" w:eastAsia="仿宋_GB2312" w:cs="仿宋_GB2312"/>
          <w:bCs/>
          <w:kern w:val="0"/>
          <w:sz w:val="32"/>
          <w:szCs w:val="32"/>
        </w:rPr>
        <w:t>2020年度收入总计</w:t>
      </w:r>
      <w:r>
        <w:rPr>
          <w:rFonts w:hint="eastAsia" w:ascii="仿宋_GB2312" w:eastAsia="仿宋_GB2312"/>
          <w:sz w:val="32"/>
          <w:szCs w:val="32"/>
          <w:lang w:val="en-US" w:eastAsia="zh-CN"/>
        </w:rPr>
        <w:t>1823.52</w:t>
      </w:r>
      <w:r>
        <w:rPr>
          <w:rFonts w:hint="eastAsia" w:ascii="仿宋_GB2312" w:eastAsia="仿宋_GB2312" w:cs="仿宋_GB2312"/>
          <w:bCs/>
          <w:kern w:val="0"/>
          <w:sz w:val="32"/>
          <w:szCs w:val="32"/>
        </w:rPr>
        <w:t>万元，支出总计</w:t>
      </w:r>
      <w:r>
        <w:rPr>
          <w:rFonts w:hint="eastAsia" w:ascii="仿宋_GB2312" w:eastAsia="仿宋_GB2312"/>
          <w:sz w:val="32"/>
          <w:szCs w:val="32"/>
          <w:lang w:val="en-US" w:eastAsia="zh-CN"/>
        </w:rPr>
        <w:t>1823.52</w:t>
      </w:r>
      <w:r>
        <w:rPr>
          <w:rFonts w:hint="eastAsia" w:ascii="仿宋_GB2312" w:eastAsia="仿宋_GB2312" w:cs="仿宋_GB2312"/>
          <w:bCs/>
          <w:kern w:val="0"/>
          <w:sz w:val="32"/>
          <w:szCs w:val="32"/>
        </w:rPr>
        <w:t>万元，与2019年相比，收、支分别增加</w:t>
      </w:r>
      <w:r>
        <w:rPr>
          <w:rFonts w:hint="eastAsia" w:ascii="仿宋_GB2312" w:eastAsia="仿宋_GB2312" w:cs="仿宋_GB2312"/>
          <w:bCs/>
          <w:kern w:val="0"/>
          <w:sz w:val="32"/>
          <w:szCs w:val="32"/>
          <w:lang w:val="en-US" w:eastAsia="zh-CN"/>
        </w:rPr>
        <w:t>233.33万元、233.33万元</w:t>
      </w:r>
      <w:r>
        <w:rPr>
          <w:rFonts w:hint="eastAsia" w:ascii="仿宋_GB2312" w:eastAsia="仿宋_GB2312" w:cs="仿宋_GB2312"/>
          <w:bCs/>
          <w:kern w:val="0"/>
          <w:sz w:val="32"/>
          <w:szCs w:val="32"/>
        </w:rPr>
        <w:t>；增长</w:t>
      </w:r>
      <w:r>
        <w:rPr>
          <w:rFonts w:hint="eastAsia" w:ascii="仿宋_GB2312" w:eastAsia="仿宋_GB2312" w:cs="仿宋_GB2312"/>
          <w:bCs/>
          <w:kern w:val="0"/>
          <w:sz w:val="32"/>
          <w:szCs w:val="32"/>
          <w:lang w:val="en-US" w:eastAsia="zh-CN"/>
        </w:rPr>
        <w:t>14.67%。</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2020</w:t>
      </w:r>
      <w:r>
        <w:rPr>
          <w:rFonts w:hint="eastAsia" w:ascii="仿宋_GB2312" w:eastAsia="仿宋_GB2312" w:cs="仿宋_GB2312"/>
          <w:b/>
          <w:kern w:val="0"/>
          <w:sz w:val="32"/>
          <w:szCs w:val="32"/>
        </w:rPr>
        <w:t>年度收入决算情况</w:t>
      </w:r>
    </w:p>
    <w:p>
      <w:pPr>
        <w:autoSpaceDE w:val="0"/>
        <w:autoSpaceDN w:val="0"/>
        <w:adjustRightInd w:val="0"/>
        <w:spacing w:line="58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本年收入总计</w:t>
      </w:r>
      <w:r>
        <w:rPr>
          <w:rFonts w:hint="eastAsia" w:ascii="仿宋_GB2312" w:eastAsia="仿宋_GB2312" w:cs="仿宋_GB2312"/>
          <w:bCs/>
          <w:kern w:val="0"/>
          <w:sz w:val="32"/>
          <w:szCs w:val="32"/>
          <w:lang w:val="en-US" w:eastAsia="zh-CN"/>
        </w:rPr>
        <w:t>1509.21</w:t>
      </w:r>
      <w:r>
        <w:rPr>
          <w:rFonts w:hint="eastAsia" w:ascii="仿宋_GB2312" w:eastAsia="仿宋_GB2312" w:cs="仿宋_GB2312"/>
          <w:bCs/>
          <w:kern w:val="0"/>
          <w:sz w:val="32"/>
          <w:szCs w:val="32"/>
        </w:rPr>
        <w:t>元 ，其中：一般公共预算财政拨款收入</w:t>
      </w:r>
      <w:r>
        <w:rPr>
          <w:rFonts w:hint="eastAsia" w:ascii="仿宋_GB2312" w:eastAsia="仿宋_GB2312"/>
          <w:sz w:val="32"/>
          <w:szCs w:val="32"/>
          <w:lang w:val="en-US" w:eastAsia="zh-CN"/>
        </w:rPr>
        <w:t>1509.15</w:t>
      </w:r>
      <w:r>
        <w:rPr>
          <w:rFonts w:hint="eastAsia" w:ascii="仿宋_GB2312" w:eastAsia="仿宋_GB2312" w:cs="仿宋_GB2312"/>
          <w:bCs/>
          <w:kern w:val="0"/>
          <w:sz w:val="32"/>
          <w:szCs w:val="32"/>
        </w:rPr>
        <w:t>万元；占比</w:t>
      </w:r>
      <w:r>
        <w:rPr>
          <w:rFonts w:hint="eastAsia" w:ascii="仿宋_GB2312" w:eastAsia="仿宋_GB2312" w:cs="仿宋_GB2312"/>
          <w:bCs/>
          <w:kern w:val="0"/>
          <w:sz w:val="32"/>
          <w:szCs w:val="32"/>
          <w:lang w:val="en-US" w:eastAsia="zh-CN"/>
        </w:rPr>
        <w:t>99.99%</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其他收入0.06万元，占比0.01%</w:t>
      </w:r>
      <w:r>
        <w:rPr>
          <w:rFonts w:hint="eastAsia" w:ascii="仿宋_GB2312" w:eastAsia="仿宋_GB2312" w:cs="仿宋_GB2312"/>
          <w:bCs/>
          <w:kern w:val="0"/>
          <w:sz w:val="32"/>
          <w:szCs w:val="32"/>
        </w:rPr>
        <w:t>。</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三、</w:t>
      </w:r>
      <w:r>
        <w:rPr>
          <w:rFonts w:hint="eastAsia" w:eastAsia="仿宋_GB2312"/>
          <w:b/>
          <w:kern w:val="0"/>
          <w:sz w:val="32"/>
          <w:szCs w:val="32"/>
        </w:rPr>
        <w:t>2020</w:t>
      </w:r>
      <w:r>
        <w:rPr>
          <w:rFonts w:hint="eastAsia" w:ascii="仿宋_GB2312" w:eastAsia="仿宋_GB2312" w:cs="仿宋_GB2312"/>
          <w:b/>
          <w:kern w:val="0"/>
          <w:sz w:val="32"/>
          <w:szCs w:val="32"/>
        </w:rPr>
        <w:t>年度支出决算情况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rPr>
        <w:t>本年支出合计</w:t>
      </w:r>
      <w:r>
        <w:rPr>
          <w:rFonts w:hint="eastAsia" w:ascii="仿宋_GB2312" w:eastAsia="仿宋_GB2312" w:cs="仿宋_GB2312"/>
          <w:bCs/>
          <w:kern w:val="0"/>
          <w:sz w:val="32"/>
          <w:szCs w:val="32"/>
          <w:lang w:val="en-US" w:eastAsia="zh-CN"/>
        </w:rPr>
        <w:t>1733.58</w:t>
      </w:r>
      <w:r>
        <w:rPr>
          <w:rFonts w:hint="eastAsia" w:ascii="仿宋_GB2312" w:eastAsia="仿宋_GB2312" w:cs="仿宋_GB2312"/>
          <w:bCs/>
          <w:kern w:val="0"/>
          <w:sz w:val="32"/>
          <w:szCs w:val="32"/>
        </w:rPr>
        <w:t>万元，其中：基本支出</w:t>
      </w:r>
      <w:r>
        <w:rPr>
          <w:rFonts w:hint="eastAsia" w:ascii="仿宋_GB2312" w:eastAsia="仿宋_GB2312" w:cs="仿宋_GB2312"/>
          <w:bCs/>
          <w:kern w:val="0"/>
          <w:sz w:val="32"/>
          <w:szCs w:val="32"/>
          <w:lang w:val="en-US" w:eastAsia="zh-CN"/>
        </w:rPr>
        <w:t>1268.93</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占</w:t>
      </w:r>
      <w:r>
        <w:rPr>
          <w:rFonts w:hint="eastAsia" w:ascii="仿宋_GB2312" w:eastAsia="仿宋_GB2312" w:cs="仿宋_GB2312"/>
          <w:bCs/>
          <w:kern w:val="0"/>
          <w:sz w:val="32"/>
          <w:szCs w:val="32"/>
          <w:lang w:val="en-US" w:eastAsia="zh-CN"/>
        </w:rPr>
        <w:t>73.20</w:t>
      </w:r>
      <w:r>
        <w:rPr>
          <w:rFonts w:hint="eastAsia" w:ascii="仿宋_GB2312" w:eastAsia="仿宋_GB2312" w:cs="仿宋_GB2312"/>
          <w:bCs/>
          <w:kern w:val="0"/>
          <w:sz w:val="32"/>
          <w:szCs w:val="32"/>
        </w:rPr>
        <w:t>%；项目支出</w:t>
      </w:r>
      <w:r>
        <w:rPr>
          <w:rFonts w:hint="eastAsia" w:ascii="仿宋_GB2312" w:eastAsia="仿宋_GB2312" w:cs="仿宋_GB2312"/>
          <w:bCs/>
          <w:kern w:val="0"/>
          <w:sz w:val="32"/>
          <w:szCs w:val="32"/>
          <w:lang w:val="en-US" w:eastAsia="zh-CN"/>
        </w:rPr>
        <w:t>464.65</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占</w:t>
      </w:r>
      <w:r>
        <w:rPr>
          <w:rFonts w:hint="eastAsia" w:ascii="仿宋_GB2312" w:eastAsia="仿宋_GB2312" w:cs="仿宋_GB2312"/>
          <w:bCs/>
          <w:kern w:val="0"/>
          <w:sz w:val="32"/>
          <w:szCs w:val="32"/>
          <w:lang w:val="en-US" w:eastAsia="zh-CN"/>
        </w:rPr>
        <w:t>26.80</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2020</w:t>
      </w:r>
      <w:r>
        <w:rPr>
          <w:rFonts w:hint="eastAsia" w:ascii="仿宋_GB2312" w:eastAsia="仿宋_GB2312" w:cs="仿宋_GB2312"/>
          <w:b/>
          <w:kern w:val="0"/>
          <w:sz w:val="32"/>
          <w:szCs w:val="32"/>
        </w:rPr>
        <w:t>年度财政拨款收入支出决算情况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本部门2020年度财政拨款收、支总决算</w:t>
      </w:r>
      <w:r>
        <w:rPr>
          <w:rFonts w:hint="eastAsia" w:ascii="仿宋_GB2312" w:eastAsia="仿宋_GB2312" w:cs="仿宋_GB2312"/>
          <w:bCs/>
          <w:kern w:val="0"/>
          <w:sz w:val="32"/>
          <w:szCs w:val="32"/>
          <w:lang w:val="en-US" w:eastAsia="zh-CN"/>
        </w:rPr>
        <w:t>1823.43</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1823.43</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与2019年相比，财政拨款收、支总计各增加</w:t>
      </w:r>
      <w:r>
        <w:rPr>
          <w:rFonts w:hint="eastAsia" w:ascii="仿宋_GB2312" w:eastAsia="仿宋_GB2312" w:cs="仿宋_GB2312"/>
          <w:bCs/>
          <w:kern w:val="0"/>
          <w:sz w:val="32"/>
          <w:szCs w:val="32"/>
          <w:lang w:val="en-US" w:eastAsia="zh-CN"/>
        </w:rPr>
        <w:t>233.24</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233.24万元</w:t>
      </w:r>
      <w:r>
        <w:rPr>
          <w:rFonts w:hint="eastAsia" w:ascii="仿宋_GB2312" w:eastAsia="仿宋_GB2312" w:cs="仿宋_GB2312"/>
          <w:bCs/>
          <w:kern w:val="0"/>
          <w:sz w:val="32"/>
          <w:szCs w:val="32"/>
        </w:rPr>
        <w:t>，增长</w:t>
      </w:r>
      <w:r>
        <w:rPr>
          <w:rFonts w:hint="eastAsia" w:ascii="仿宋_GB2312" w:eastAsia="仿宋_GB2312" w:cs="仿宋_GB2312"/>
          <w:bCs/>
          <w:kern w:val="0"/>
          <w:sz w:val="32"/>
          <w:szCs w:val="32"/>
          <w:lang w:val="en-US" w:eastAsia="zh-CN"/>
        </w:rPr>
        <w:t>14.67</w:t>
      </w:r>
      <w:r>
        <w:rPr>
          <w:rFonts w:hint="eastAsia" w:ascii="仿宋_GB2312" w:eastAsia="仿宋_GB2312" w:cs="仿宋_GB2312"/>
          <w:bCs/>
          <w:kern w:val="0"/>
          <w:sz w:val="32"/>
          <w:szCs w:val="32"/>
        </w:rPr>
        <w:t>%。</w:t>
      </w:r>
    </w:p>
    <w:p>
      <w:pPr>
        <w:autoSpaceDE w:val="0"/>
        <w:autoSpaceDN w:val="0"/>
        <w:adjustRightInd w:val="0"/>
        <w:spacing w:line="580" w:lineRule="exact"/>
        <w:ind w:firstLine="643" w:firstLineChars="200"/>
        <w:jc w:val="left"/>
        <w:rPr>
          <w:rFonts w:eastAsia="仿宋_GB2312"/>
          <w:b/>
          <w:kern w:val="0"/>
          <w:sz w:val="32"/>
          <w:szCs w:val="32"/>
        </w:rPr>
      </w:pPr>
      <w:r>
        <w:rPr>
          <w:rFonts w:hint="eastAsia" w:ascii="仿宋_GB2312" w:eastAsia="仿宋_GB2312" w:cs="仿宋_GB2312"/>
          <w:b/>
          <w:kern w:val="0"/>
          <w:sz w:val="32"/>
          <w:szCs w:val="32"/>
        </w:rPr>
        <w:t>五、</w:t>
      </w:r>
      <w:r>
        <w:rPr>
          <w:rFonts w:hint="eastAsia" w:eastAsia="仿宋_GB2312"/>
          <w:b/>
          <w:kern w:val="0"/>
          <w:sz w:val="32"/>
          <w:szCs w:val="32"/>
        </w:rPr>
        <w:t>2020年度一般公共预算财政拨款支出决算情况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部门2020年度财政拨款支出</w:t>
      </w:r>
      <w:r>
        <w:rPr>
          <w:rFonts w:hint="eastAsia" w:ascii="仿宋_GB2312" w:eastAsia="仿宋_GB2312" w:cs="仿宋_GB2312"/>
          <w:bCs/>
          <w:kern w:val="0"/>
          <w:sz w:val="32"/>
          <w:szCs w:val="32"/>
          <w:lang w:val="en-US" w:eastAsia="zh-CN"/>
        </w:rPr>
        <w:t>1733.58</w:t>
      </w:r>
      <w:r>
        <w:rPr>
          <w:rFonts w:hint="eastAsia" w:ascii="仿宋_GB2312" w:eastAsia="仿宋_GB2312" w:cs="仿宋_GB2312"/>
          <w:bCs/>
          <w:kern w:val="0"/>
          <w:sz w:val="32"/>
          <w:szCs w:val="32"/>
        </w:rPr>
        <w:t>万元，占本年支出合计的</w:t>
      </w:r>
      <w:r>
        <w:rPr>
          <w:rFonts w:hint="eastAsia" w:ascii="仿宋_GB2312" w:eastAsia="仿宋_GB2312" w:cs="仿宋_GB2312"/>
          <w:bCs/>
          <w:kern w:val="0"/>
          <w:sz w:val="32"/>
          <w:szCs w:val="32"/>
          <w:lang w:val="en-US" w:eastAsia="zh-CN"/>
        </w:rPr>
        <w:t>100</w:t>
      </w:r>
      <w:r>
        <w:rPr>
          <w:rFonts w:hint="eastAsia" w:ascii="仿宋_GB2312" w:eastAsia="仿宋_GB2312" w:cs="仿宋_GB2312"/>
          <w:bCs/>
          <w:kern w:val="0"/>
          <w:sz w:val="32"/>
          <w:szCs w:val="32"/>
        </w:rPr>
        <w:t>%。与2019年相比，财政拨款支出增</w:t>
      </w:r>
      <w:r>
        <w:rPr>
          <w:rFonts w:hint="eastAsia" w:ascii="仿宋_GB2312" w:eastAsia="仿宋_GB2312" w:cs="仿宋_GB2312"/>
          <w:bCs/>
          <w:kern w:val="0"/>
          <w:sz w:val="32"/>
          <w:szCs w:val="32"/>
          <w:lang w:val="en-US" w:eastAsia="zh-CN"/>
        </w:rPr>
        <w:t>加457.68</w:t>
      </w:r>
      <w:r>
        <w:rPr>
          <w:rFonts w:hint="eastAsia" w:ascii="仿宋_GB2312" w:eastAsia="仿宋_GB2312" w:cs="仿宋_GB2312"/>
          <w:bCs/>
          <w:kern w:val="0"/>
          <w:sz w:val="32"/>
          <w:szCs w:val="32"/>
        </w:rPr>
        <w:t>万元，增加</w:t>
      </w:r>
      <w:r>
        <w:rPr>
          <w:rFonts w:hint="eastAsia" w:ascii="仿宋_GB2312" w:eastAsia="仿宋_GB2312" w:cs="仿宋_GB2312"/>
          <w:bCs/>
          <w:kern w:val="0"/>
          <w:sz w:val="32"/>
          <w:szCs w:val="32"/>
          <w:lang w:val="en-US" w:eastAsia="zh-CN"/>
        </w:rPr>
        <w:t>35.87</w:t>
      </w:r>
      <w:r>
        <w:rPr>
          <w:rFonts w:hint="eastAsia" w:ascii="仿宋_GB2312" w:eastAsia="仿宋_GB2312" w:cs="仿宋_GB2312"/>
          <w:bCs/>
          <w:kern w:val="0"/>
          <w:sz w:val="32"/>
          <w:szCs w:val="32"/>
        </w:rPr>
        <w:t>%。</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580" w:lineRule="exact"/>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rPr>
        <w:t xml:space="preserve">     2020 年度财政拨款支出</w:t>
      </w:r>
      <w:r>
        <w:rPr>
          <w:rFonts w:hint="eastAsia" w:ascii="仿宋_GB2312" w:eastAsia="仿宋_GB2312" w:cs="仿宋_GB2312"/>
          <w:bCs/>
          <w:kern w:val="0"/>
          <w:sz w:val="32"/>
          <w:szCs w:val="32"/>
          <w:lang w:val="en-US" w:eastAsia="zh-CN"/>
        </w:rPr>
        <w:t>1733.58</w:t>
      </w:r>
      <w:r>
        <w:rPr>
          <w:rFonts w:hint="eastAsia" w:ascii="仿宋_GB2312" w:eastAsia="仿宋_GB2312" w:cs="仿宋_GB2312"/>
          <w:bCs/>
          <w:kern w:val="0"/>
          <w:sz w:val="32"/>
          <w:szCs w:val="32"/>
        </w:rPr>
        <w:t>万元，主要用于以下方面：一般公共服务支出</w:t>
      </w:r>
      <w:r>
        <w:rPr>
          <w:rFonts w:hint="eastAsia" w:ascii="仿宋_GB2312" w:eastAsia="仿宋_GB2312" w:cs="仿宋_GB2312"/>
          <w:bCs/>
          <w:kern w:val="0"/>
          <w:sz w:val="32"/>
          <w:szCs w:val="32"/>
          <w:lang w:val="en-US" w:eastAsia="zh-CN"/>
        </w:rPr>
        <w:t>1441.49</w:t>
      </w:r>
      <w:r>
        <w:rPr>
          <w:rFonts w:hint="eastAsia" w:ascii="仿宋_GB2312" w:eastAsia="仿宋_GB2312" w:cs="仿宋_GB2312"/>
          <w:bCs/>
          <w:kern w:val="0"/>
          <w:sz w:val="32"/>
          <w:szCs w:val="32"/>
        </w:rPr>
        <w:t>万元，占</w:t>
      </w:r>
      <w:r>
        <w:rPr>
          <w:rFonts w:hint="eastAsia" w:ascii="仿宋_GB2312" w:eastAsia="仿宋_GB2312" w:cs="仿宋_GB2312"/>
          <w:bCs/>
          <w:kern w:val="0"/>
          <w:sz w:val="32"/>
          <w:szCs w:val="32"/>
          <w:lang w:val="en-US" w:eastAsia="zh-CN"/>
        </w:rPr>
        <w:t>83.15</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lang w:val="en-US" w:eastAsia="zh-CN"/>
        </w:rPr>
        <w:t>141.55</w:t>
      </w:r>
      <w:r>
        <w:rPr>
          <w:rFonts w:hint="eastAsia" w:ascii="仿宋_GB2312" w:eastAsia="仿宋_GB2312" w:cs="仿宋_GB2312"/>
          <w:bCs/>
          <w:kern w:val="0"/>
          <w:sz w:val="32"/>
          <w:szCs w:val="32"/>
        </w:rPr>
        <w:t>万元，占</w:t>
      </w:r>
      <w:r>
        <w:rPr>
          <w:rFonts w:hint="eastAsia" w:ascii="仿宋_GB2312" w:eastAsia="仿宋_GB2312" w:cs="仿宋_GB2312"/>
          <w:bCs/>
          <w:kern w:val="0"/>
          <w:sz w:val="32"/>
          <w:szCs w:val="32"/>
          <w:lang w:val="en-US" w:eastAsia="zh-CN"/>
        </w:rPr>
        <w:t>8.17</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卫生健康</w:t>
      </w:r>
      <w:r>
        <w:rPr>
          <w:rFonts w:hint="eastAsia" w:ascii="仿宋_GB2312" w:eastAsia="仿宋_GB2312" w:cs="仿宋_GB2312"/>
          <w:bCs/>
          <w:kern w:val="0"/>
          <w:sz w:val="32"/>
          <w:szCs w:val="32"/>
        </w:rPr>
        <w:t>支出</w:t>
      </w:r>
      <w:r>
        <w:rPr>
          <w:rFonts w:hint="eastAsia" w:ascii="仿宋_GB2312" w:eastAsia="仿宋_GB2312" w:cs="仿宋_GB2312"/>
          <w:bCs/>
          <w:kern w:val="0"/>
          <w:sz w:val="32"/>
          <w:szCs w:val="32"/>
          <w:lang w:val="en-US" w:eastAsia="zh-CN"/>
        </w:rPr>
        <w:t>42.63</w:t>
      </w:r>
      <w:r>
        <w:rPr>
          <w:rFonts w:hint="eastAsia" w:ascii="仿宋_GB2312" w:eastAsia="仿宋_GB2312" w:cs="仿宋_GB2312"/>
          <w:bCs/>
          <w:kern w:val="0"/>
          <w:sz w:val="32"/>
          <w:szCs w:val="32"/>
        </w:rPr>
        <w:t>万元，占</w:t>
      </w:r>
      <w:r>
        <w:rPr>
          <w:rFonts w:hint="eastAsia" w:ascii="仿宋_GB2312" w:eastAsia="仿宋_GB2312" w:cs="仿宋_GB2312"/>
          <w:bCs/>
          <w:kern w:val="0"/>
          <w:sz w:val="32"/>
          <w:szCs w:val="32"/>
          <w:lang w:val="en-US" w:eastAsia="zh-CN"/>
        </w:rPr>
        <w:t>2.46</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住房保障</w:t>
      </w:r>
      <w:r>
        <w:rPr>
          <w:rFonts w:hint="eastAsia" w:ascii="仿宋_GB2312" w:eastAsia="仿宋_GB2312" w:cs="仿宋_GB2312"/>
          <w:bCs/>
          <w:kern w:val="0"/>
          <w:sz w:val="32"/>
          <w:szCs w:val="32"/>
        </w:rPr>
        <w:t>支出</w:t>
      </w:r>
      <w:r>
        <w:rPr>
          <w:rFonts w:hint="eastAsia" w:ascii="仿宋_GB2312" w:eastAsia="仿宋_GB2312" w:cs="仿宋_GB2312"/>
          <w:bCs/>
          <w:kern w:val="0"/>
          <w:sz w:val="32"/>
          <w:szCs w:val="32"/>
          <w:lang w:val="en-US" w:eastAsia="zh-CN"/>
        </w:rPr>
        <w:t>107.90</w:t>
      </w:r>
      <w:r>
        <w:rPr>
          <w:rFonts w:hint="eastAsia" w:ascii="仿宋_GB2312" w:eastAsia="仿宋_GB2312" w:cs="仿宋_GB2312"/>
          <w:bCs/>
          <w:kern w:val="0"/>
          <w:sz w:val="32"/>
          <w:szCs w:val="32"/>
        </w:rPr>
        <w:t>万元，占</w:t>
      </w:r>
      <w:r>
        <w:rPr>
          <w:rFonts w:hint="eastAsia" w:ascii="仿宋_GB2312" w:eastAsia="仿宋_GB2312" w:cs="仿宋_GB2312"/>
          <w:bCs/>
          <w:kern w:val="0"/>
          <w:sz w:val="32"/>
          <w:szCs w:val="32"/>
          <w:lang w:val="en-US" w:eastAsia="zh-CN"/>
        </w:rPr>
        <w:t>6.22</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2020 年度财政拨款支出年初预算为</w:t>
      </w:r>
      <w:r>
        <w:rPr>
          <w:rFonts w:hint="eastAsia" w:ascii="仿宋_GB2312" w:eastAsia="仿宋_GB2312" w:cs="仿宋_GB2312"/>
          <w:bCs/>
          <w:kern w:val="0"/>
          <w:sz w:val="32"/>
          <w:szCs w:val="32"/>
          <w:lang w:val="en-US" w:eastAsia="zh-CN"/>
        </w:rPr>
        <w:t>1493.07</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1733.58</w:t>
      </w:r>
      <w:r>
        <w:rPr>
          <w:rFonts w:hint="eastAsia" w:ascii="仿宋_GB2312" w:eastAsia="仿宋_GB2312" w:cs="仿宋_GB2312"/>
          <w:bCs/>
          <w:kern w:val="0"/>
          <w:sz w:val="32"/>
          <w:szCs w:val="32"/>
        </w:rPr>
        <w:t>万元，完成年初预算的</w:t>
      </w:r>
      <w:r>
        <w:rPr>
          <w:rFonts w:hint="eastAsia" w:ascii="仿宋_GB2312" w:eastAsia="仿宋_GB2312" w:cs="仿宋_GB2312"/>
          <w:bCs/>
          <w:kern w:val="0"/>
          <w:sz w:val="32"/>
          <w:szCs w:val="32"/>
          <w:lang w:val="en-US" w:eastAsia="zh-CN"/>
        </w:rPr>
        <w:t>116.11</w:t>
      </w:r>
      <w:r>
        <w:rPr>
          <w:rFonts w:hint="eastAsia" w:ascii="仿宋_GB2312" w:eastAsia="仿宋_GB2312" w:cs="仿宋_GB2312"/>
          <w:bCs/>
          <w:kern w:val="0"/>
          <w:sz w:val="32"/>
          <w:szCs w:val="32"/>
        </w:rPr>
        <w:t>%。决算数大于预算数的主要原因：</w:t>
      </w:r>
      <w:r>
        <w:rPr>
          <w:rFonts w:hint="eastAsia" w:ascii="仿宋_GB2312" w:hAnsi="Times New Roman" w:eastAsia="仿宋_GB2312" w:cs="仿宋_GB2312"/>
          <w:bCs/>
          <w:kern w:val="0"/>
          <w:sz w:val="32"/>
          <w:szCs w:val="32"/>
          <w:lang w:val="en-US" w:eastAsia="zh-CN"/>
        </w:rPr>
        <w:t>一是</w:t>
      </w:r>
      <w:r>
        <w:rPr>
          <w:rFonts w:hint="eastAsia" w:ascii="仿宋_GB2312" w:eastAsia="仿宋_GB2312" w:cs="仿宋_GB2312"/>
          <w:bCs/>
          <w:kern w:val="0"/>
          <w:sz w:val="32"/>
          <w:szCs w:val="32"/>
          <w:lang w:val="en-US" w:eastAsia="zh-CN"/>
        </w:rPr>
        <w:t>年末下达了</w:t>
      </w:r>
      <w:r>
        <w:rPr>
          <w:rFonts w:hint="eastAsia" w:ascii="仿宋_GB2312" w:hAnsi="Times New Roman" w:eastAsia="仿宋_GB2312" w:cs="仿宋_GB2312"/>
          <w:bCs/>
          <w:kern w:val="0"/>
          <w:sz w:val="32"/>
          <w:szCs w:val="32"/>
          <w:lang w:val="en-US" w:eastAsia="zh-CN"/>
        </w:rPr>
        <w:t>增人增资</w:t>
      </w:r>
      <w:r>
        <w:rPr>
          <w:rFonts w:hint="eastAsia" w:ascii="仿宋_GB2312" w:eastAsia="仿宋_GB2312" w:cs="仿宋_GB2312"/>
          <w:bCs/>
          <w:kern w:val="0"/>
          <w:sz w:val="32"/>
          <w:szCs w:val="32"/>
          <w:lang w:val="en-US" w:eastAsia="zh-CN"/>
        </w:rPr>
        <w:t>经费</w:t>
      </w:r>
      <w:r>
        <w:rPr>
          <w:rFonts w:hint="eastAsia" w:ascii="仿宋_GB2312" w:hAnsi="Times New Roman" w:eastAsia="仿宋_GB2312" w:cs="仿宋_GB2312"/>
          <w:bCs/>
          <w:kern w:val="0"/>
          <w:sz w:val="32"/>
          <w:szCs w:val="32"/>
          <w:lang w:val="en-US" w:eastAsia="zh-CN"/>
        </w:rPr>
        <w:t>；二是下达了绩效考评奖励；三是使用上年结转指标</w:t>
      </w:r>
      <w:r>
        <w:rPr>
          <w:rFonts w:hint="eastAsia" w:ascii="仿宋_GB2312" w:eastAsia="仿宋_GB2312" w:cs="仿宋_GB2312"/>
          <w:bCs/>
          <w:kern w:val="0"/>
          <w:sz w:val="32"/>
          <w:szCs w:val="32"/>
        </w:rPr>
        <w:t>。其中：</w:t>
      </w:r>
    </w:p>
    <w:p>
      <w:pPr>
        <w:autoSpaceDE w:val="0"/>
        <w:autoSpaceDN w:val="0"/>
        <w:adjustRightInd w:val="0"/>
        <w:spacing w:line="580" w:lineRule="exact"/>
        <w:ind w:firstLine="640" w:firstLineChars="200"/>
        <w:jc w:val="left"/>
        <w:rPr>
          <w:rFonts w:hint="eastAsia" w:ascii="仿宋_GB2312" w:hAnsi="Times New Roman" w:eastAsia="仿宋_GB2312" w:cs="仿宋_GB2312"/>
          <w:bCs/>
          <w:kern w:val="0"/>
          <w:sz w:val="32"/>
          <w:szCs w:val="32"/>
          <w:lang w:val="en-US" w:eastAsia="zh-CN"/>
        </w:rPr>
      </w:pPr>
      <w:r>
        <w:rPr>
          <w:rFonts w:hint="eastAsia" w:ascii="仿宋_GB2312" w:hAnsi="Times New Roman" w:eastAsia="仿宋_GB2312" w:cs="仿宋_GB2312"/>
          <w:bCs/>
          <w:kern w:val="0"/>
          <w:sz w:val="32"/>
          <w:szCs w:val="32"/>
          <w:lang w:val="en-US" w:eastAsia="zh-CN"/>
        </w:rPr>
        <w:t>1.一般公共服务支出（201）政府办公厅（室）及相关机构事务（03）行政运行（01）。年初预算为</w:t>
      </w:r>
      <w:r>
        <w:rPr>
          <w:rFonts w:hint="eastAsia" w:ascii="仿宋_GB2312" w:eastAsia="仿宋_GB2312" w:cs="仿宋_GB2312"/>
          <w:bCs/>
          <w:kern w:val="0"/>
          <w:sz w:val="32"/>
          <w:szCs w:val="32"/>
          <w:lang w:val="en-US" w:eastAsia="zh-CN"/>
        </w:rPr>
        <w:t>0</w:t>
      </w:r>
      <w:r>
        <w:rPr>
          <w:rFonts w:hint="eastAsia" w:ascii="仿宋_GB2312" w:hAnsi="Times New Roman" w:eastAsia="仿宋_GB2312" w:cs="仿宋_GB2312"/>
          <w:bCs/>
          <w:kern w:val="0"/>
          <w:sz w:val="32"/>
          <w:szCs w:val="32"/>
          <w:lang w:val="en-US" w:eastAsia="zh-CN"/>
        </w:rPr>
        <w:t>万元，支出决算为</w:t>
      </w:r>
      <w:r>
        <w:rPr>
          <w:rFonts w:hint="eastAsia" w:ascii="仿宋_GB2312" w:eastAsia="仿宋_GB2312" w:cs="仿宋_GB2312"/>
          <w:bCs/>
          <w:kern w:val="0"/>
          <w:sz w:val="32"/>
          <w:szCs w:val="32"/>
          <w:lang w:val="en-US" w:eastAsia="zh-CN"/>
        </w:rPr>
        <w:t>26.99</w:t>
      </w:r>
      <w:r>
        <w:rPr>
          <w:rFonts w:hint="eastAsia" w:ascii="仿宋_GB2312" w:hAnsi="Times New Roman" w:eastAsia="仿宋_GB2312" w:cs="仿宋_GB2312"/>
          <w:bCs/>
          <w:kern w:val="0"/>
          <w:sz w:val="32"/>
          <w:szCs w:val="32"/>
          <w:lang w:val="en-US" w:eastAsia="zh-CN"/>
        </w:rPr>
        <w:t>万元。决算数大于预算数的主要原因是下达了</w:t>
      </w:r>
      <w:r>
        <w:rPr>
          <w:rFonts w:hint="eastAsia" w:ascii="仿宋_GB2312" w:eastAsia="仿宋_GB2312" w:cs="仿宋_GB2312"/>
          <w:bCs/>
          <w:kern w:val="0"/>
          <w:sz w:val="32"/>
          <w:szCs w:val="32"/>
          <w:lang w:val="en-US" w:eastAsia="zh-CN"/>
        </w:rPr>
        <w:t>参公工勤编人员2019年</w:t>
      </w:r>
      <w:r>
        <w:rPr>
          <w:rFonts w:hint="eastAsia" w:ascii="仿宋_GB2312" w:hAnsi="Times New Roman" w:eastAsia="仿宋_GB2312" w:cs="仿宋_GB2312"/>
          <w:bCs/>
          <w:kern w:val="0"/>
          <w:sz w:val="32"/>
          <w:szCs w:val="32"/>
          <w:lang w:val="en-US" w:eastAsia="zh-CN"/>
        </w:rPr>
        <w:t>绩效考评奖励。</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w:t>
      </w:r>
      <w:r>
        <w:rPr>
          <w:rFonts w:hint="eastAsia" w:ascii="仿宋_GB2312" w:hAnsi="Times New Roman" w:eastAsia="仿宋_GB2312" w:cs="仿宋_GB2312"/>
          <w:bCs/>
          <w:kern w:val="0"/>
          <w:sz w:val="32"/>
          <w:szCs w:val="32"/>
          <w:lang w:val="en-US" w:eastAsia="zh-CN"/>
        </w:rPr>
        <w:t>一般公共服务支出（201）政府办公厅（室）及相关机构事务（03）</w:t>
      </w:r>
      <w:r>
        <w:rPr>
          <w:rFonts w:hint="eastAsia" w:ascii="仿宋_GB2312" w:eastAsia="仿宋_GB2312" w:cs="仿宋_GB2312"/>
          <w:bCs/>
          <w:kern w:val="0"/>
          <w:sz w:val="32"/>
          <w:szCs w:val="32"/>
          <w:lang w:eastAsia="zh-CN"/>
        </w:rPr>
        <w:t>政务公开审批</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06</w:t>
      </w:r>
      <w:r>
        <w:rPr>
          <w:rFonts w:hint="eastAsia" w:ascii="仿宋_GB2312" w:eastAsia="仿宋_GB2312" w:cs="仿宋_GB2312"/>
          <w:bCs/>
          <w:kern w:val="0"/>
          <w:sz w:val="32"/>
          <w:szCs w:val="32"/>
        </w:rPr>
        <w:t>）。年初预算为</w:t>
      </w:r>
      <w:r>
        <w:rPr>
          <w:rFonts w:hint="eastAsia" w:ascii="仿宋_GB2312" w:eastAsia="仿宋_GB2312" w:cs="仿宋_GB2312"/>
          <w:bCs/>
          <w:kern w:val="0"/>
          <w:sz w:val="32"/>
          <w:szCs w:val="32"/>
          <w:lang w:val="en-US" w:eastAsia="zh-CN"/>
        </w:rPr>
        <w:t>431.36</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464.65</w:t>
      </w:r>
      <w:r>
        <w:rPr>
          <w:rFonts w:hint="eastAsia" w:ascii="仿宋_GB2312" w:eastAsia="仿宋_GB2312" w:cs="仿宋_GB2312"/>
          <w:bCs/>
          <w:kern w:val="0"/>
          <w:sz w:val="32"/>
          <w:szCs w:val="32"/>
        </w:rPr>
        <w:t>万元，完成年初预算的</w:t>
      </w:r>
      <w:r>
        <w:rPr>
          <w:rFonts w:hint="eastAsia" w:ascii="仿宋_GB2312" w:eastAsia="仿宋_GB2312" w:cs="仿宋_GB2312"/>
          <w:bCs/>
          <w:kern w:val="0"/>
          <w:sz w:val="32"/>
          <w:szCs w:val="32"/>
          <w:lang w:val="en-US" w:eastAsia="zh-CN"/>
        </w:rPr>
        <w:t>107.72</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eastAsia="zh-CN"/>
        </w:rPr>
        <w:t>大于</w:t>
      </w:r>
      <w:r>
        <w:rPr>
          <w:rFonts w:hint="eastAsia" w:ascii="仿宋_GB2312" w:eastAsia="仿宋_GB2312" w:cs="仿宋_GB2312"/>
          <w:bCs/>
          <w:kern w:val="0"/>
          <w:sz w:val="32"/>
          <w:szCs w:val="32"/>
        </w:rPr>
        <w:t>预算数的主要原因是</w:t>
      </w:r>
      <w:r>
        <w:rPr>
          <w:rFonts w:hint="eastAsia" w:ascii="仿宋_GB2312" w:eastAsia="仿宋_GB2312" w:cs="仿宋_GB2312"/>
          <w:bCs/>
          <w:kern w:val="0"/>
          <w:sz w:val="32"/>
          <w:szCs w:val="32"/>
          <w:lang w:eastAsia="zh-CN"/>
        </w:rPr>
        <w:t>使用上年结转指标</w:t>
      </w:r>
      <w:r>
        <w:rPr>
          <w:rFonts w:hint="eastAsia" w:ascii="仿宋_GB2312" w:eastAsia="仿宋_GB2312" w:cs="仿宋_GB2312"/>
          <w:bCs/>
          <w:kern w:val="0"/>
          <w:sz w:val="32"/>
          <w:szCs w:val="32"/>
        </w:rPr>
        <w:t>。</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lang w:val="en-US" w:eastAsia="zh-CN"/>
        </w:rPr>
        <w:t>3.</w:t>
      </w:r>
      <w:r>
        <w:rPr>
          <w:rFonts w:hint="eastAsia" w:ascii="仿宋_GB2312" w:eastAsia="仿宋_GB2312" w:cs="仿宋_GB2312"/>
          <w:bCs/>
          <w:kern w:val="0"/>
          <w:sz w:val="32"/>
          <w:szCs w:val="32"/>
        </w:rPr>
        <w:t xml:space="preserve"> </w:t>
      </w:r>
      <w:r>
        <w:rPr>
          <w:rFonts w:hint="eastAsia" w:ascii="仿宋_GB2312" w:hAnsi="Times New Roman" w:eastAsia="仿宋_GB2312" w:cs="仿宋_GB2312"/>
          <w:bCs/>
          <w:kern w:val="0"/>
          <w:sz w:val="32"/>
          <w:szCs w:val="32"/>
          <w:lang w:val="en-US" w:eastAsia="zh-CN"/>
        </w:rPr>
        <w:t>一般公共服务支出（201）政府办公厅（室）及相关机构事务（03）</w:t>
      </w:r>
      <w:r>
        <w:rPr>
          <w:rFonts w:hint="eastAsia" w:ascii="仿宋_GB2312" w:eastAsia="仿宋_GB2312" w:cs="仿宋_GB2312"/>
          <w:bCs/>
          <w:kern w:val="0"/>
          <w:sz w:val="32"/>
          <w:szCs w:val="32"/>
          <w:lang w:eastAsia="zh-CN"/>
        </w:rPr>
        <w:t>事业运行</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50</w:t>
      </w:r>
      <w:r>
        <w:rPr>
          <w:rFonts w:hint="eastAsia" w:ascii="仿宋_GB2312" w:eastAsia="仿宋_GB2312" w:cs="仿宋_GB2312"/>
          <w:bCs/>
          <w:kern w:val="0"/>
          <w:sz w:val="32"/>
          <w:szCs w:val="32"/>
        </w:rPr>
        <w:t>）。年初预算为</w:t>
      </w:r>
      <w:r>
        <w:rPr>
          <w:rFonts w:hint="eastAsia" w:ascii="仿宋_GB2312" w:eastAsia="仿宋_GB2312" w:cs="仿宋_GB2312"/>
          <w:bCs/>
          <w:kern w:val="0"/>
          <w:sz w:val="32"/>
          <w:szCs w:val="32"/>
          <w:lang w:val="en-US" w:eastAsia="zh-CN"/>
        </w:rPr>
        <w:t>771.57</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949.85</w:t>
      </w:r>
      <w:r>
        <w:rPr>
          <w:rFonts w:hint="eastAsia" w:ascii="仿宋_GB2312" w:eastAsia="仿宋_GB2312" w:cs="仿宋_GB2312"/>
          <w:bCs/>
          <w:kern w:val="0"/>
          <w:sz w:val="32"/>
          <w:szCs w:val="32"/>
        </w:rPr>
        <w:t>万元，完成年初预算的</w:t>
      </w:r>
      <w:r>
        <w:rPr>
          <w:rFonts w:hint="eastAsia" w:ascii="仿宋_GB2312" w:eastAsia="仿宋_GB2312" w:cs="仿宋_GB2312"/>
          <w:bCs/>
          <w:kern w:val="0"/>
          <w:sz w:val="32"/>
          <w:szCs w:val="32"/>
          <w:lang w:val="en-US" w:eastAsia="zh-CN"/>
        </w:rPr>
        <w:t>123.11</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eastAsia="zh-CN"/>
        </w:rPr>
        <w:t>大于</w:t>
      </w:r>
      <w:r>
        <w:rPr>
          <w:rFonts w:hint="eastAsia" w:ascii="仿宋_GB2312" w:eastAsia="仿宋_GB2312" w:cs="仿宋_GB2312"/>
          <w:bCs/>
          <w:kern w:val="0"/>
          <w:sz w:val="32"/>
          <w:szCs w:val="32"/>
        </w:rPr>
        <w:t>预算数的主要原因</w:t>
      </w:r>
      <w:r>
        <w:rPr>
          <w:rFonts w:hint="eastAsia" w:ascii="仿宋_GB2312" w:eastAsia="仿宋_GB2312" w:cs="仿宋_GB2312"/>
          <w:bCs/>
          <w:kern w:val="0"/>
          <w:sz w:val="32"/>
          <w:szCs w:val="32"/>
          <w:lang w:eastAsia="zh-CN"/>
        </w:rPr>
        <w:t>：一是使用上年结转指标；二是下达了增人增资经费。</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val="en-US" w:eastAsia="zh-CN"/>
        </w:rPr>
        <w:t>4</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208</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05</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事业</w:t>
      </w:r>
      <w:r>
        <w:rPr>
          <w:rFonts w:hint="eastAsia" w:ascii="仿宋_GB2312" w:hAnsi="Times New Roman" w:eastAsia="仿宋_GB2312" w:cs="仿宋_GB2312"/>
          <w:bCs/>
          <w:kern w:val="0"/>
          <w:sz w:val="32"/>
          <w:szCs w:val="32"/>
          <w:lang w:val="en-US" w:eastAsia="zh-CN"/>
        </w:rPr>
        <w:t>单位离退休</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02</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。年初预算为</w:t>
      </w:r>
      <w:r>
        <w:rPr>
          <w:rFonts w:hint="eastAsia" w:ascii="仿宋_GB2312" w:eastAsia="仿宋_GB2312" w:cs="仿宋_GB2312"/>
          <w:bCs/>
          <w:kern w:val="0"/>
          <w:sz w:val="32"/>
          <w:szCs w:val="32"/>
          <w:lang w:val="en-US" w:eastAsia="zh-CN"/>
        </w:rPr>
        <w:t>3.48</w:t>
      </w:r>
      <w:r>
        <w:rPr>
          <w:rFonts w:hint="eastAsia" w:ascii="仿宋_GB2312" w:hAnsi="Times New Roman" w:eastAsia="仿宋_GB2312" w:cs="仿宋_GB2312"/>
          <w:bCs/>
          <w:kern w:val="0"/>
          <w:sz w:val="32"/>
          <w:szCs w:val="32"/>
          <w:lang w:val="en-US" w:eastAsia="zh-CN"/>
        </w:rPr>
        <w:t>万元，支出决算为</w:t>
      </w:r>
      <w:r>
        <w:rPr>
          <w:rFonts w:hint="eastAsia" w:ascii="仿宋_GB2312" w:eastAsia="仿宋_GB2312" w:cs="仿宋_GB2312"/>
          <w:bCs/>
          <w:kern w:val="0"/>
          <w:sz w:val="32"/>
          <w:szCs w:val="32"/>
          <w:lang w:val="en-US" w:eastAsia="zh-CN"/>
        </w:rPr>
        <w:t>3.35</w:t>
      </w:r>
      <w:r>
        <w:rPr>
          <w:rFonts w:hint="eastAsia" w:ascii="仿宋_GB2312" w:hAnsi="Times New Roman" w:eastAsia="仿宋_GB2312" w:cs="仿宋_GB2312"/>
          <w:bCs/>
          <w:kern w:val="0"/>
          <w:sz w:val="32"/>
          <w:szCs w:val="32"/>
          <w:lang w:val="en-US" w:eastAsia="zh-CN"/>
        </w:rPr>
        <w:t>万元，完成年初预算的</w:t>
      </w:r>
      <w:r>
        <w:rPr>
          <w:rFonts w:hint="eastAsia" w:ascii="仿宋_GB2312" w:eastAsia="仿宋_GB2312" w:cs="仿宋_GB2312"/>
          <w:bCs/>
          <w:kern w:val="0"/>
          <w:sz w:val="32"/>
          <w:szCs w:val="32"/>
          <w:lang w:val="en-US" w:eastAsia="zh-CN"/>
        </w:rPr>
        <w:t>96.26</w:t>
      </w:r>
      <w:r>
        <w:rPr>
          <w:rFonts w:hint="default" w:ascii="仿宋_GB2312" w:hAnsi="Times New Roman" w:eastAsia="仿宋_GB2312" w:cs="仿宋_GB2312"/>
          <w:bCs/>
          <w:kern w:val="0"/>
          <w:sz w:val="32"/>
          <w:szCs w:val="32"/>
          <w:lang w:val="en-US" w:eastAsia="zh-CN"/>
        </w:rPr>
        <w:t>%</w:t>
      </w:r>
      <w:r>
        <w:rPr>
          <w:rFonts w:hint="eastAsia" w:ascii="仿宋_GB2312" w:hAnsi="Times New Roman" w:eastAsia="仿宋_GB2312" w:cs="仿宋_GB2312"/>
          <w:bCs/>
          <w:kern w:val="0"/>
          <w:sz w:val="32"/>
          <w:szCs w:val="32"/>
          <w:lang w:val="en-US" w:eastAsia="zh-CN"/>
        </w:rPr>
        <w:t>。决算数大于预算数的主要原因</w:t>
      </w:r>
      <w:r>
        <w:rPr>
          <w:rFonts w:hint="eastAsia" w:ascii="仿宋_GB2312" w:eastAsia="仿宋_GB2312" w:cs="仿宋_GB2312"/>
          <w:bCs/>
          <w:kern w:val="0"/>
          <w:sz w:val="32"/>
          <w:szCs w:val="32"/>
          <w:lang w:val="en-US" w:eastAsia="zh-CN"/>
        </w:rPr>
        <w:t>：一是</w:t>
      </w:r>
      <w:r>
        <w:rPr>
          <w:rFonts w:hint="eastAsia" w:ascii="仿宋_GB2312" w:hAnsi="Times New Roman" w:eastAsia="仿宋_GB2312" w:cs="仿宋_GB2312"/>
          <w:bCs/>
          <w:kern w:val="0"/>
          <w:sz w:val="32"/>
          <w:szCs w:val="32"/>
          <w:lang w:val="en-US" w:eastAsia="zh-CN"/>
        </w:rPr>
        <w:t>退休人员公用经费</w:t>
      </w:r>
      <w:r>
        <w:rPr>
          <w:rFonts w:hint="eastAsia" w:ascii="仿宋_GB2312" w:eastAsia="仿宋_GB2312" w:cs="仿宋_GB2312"/>
          <w:bCs/>
          <w:kern w:val="0"/>
          <w:sz w:val="32"/>
          <w:szCs w:val="32"/>
          <w:lang w:val="en-US" w:eastAsia="zh-CN"/>
        </w:rPr>
        <w:t>结余；二是</w:t>
      </w:r>
      <w:r>
        <w:rPr>
          <w:rFonts w:hint="eastAsia" w:ascii="仿宋_GB2312" w:hAnsi="Times New Roman" w:eastAsia="仿宋_GB2312" w:cs="仿宋_GB2312"/>
          <w:bCs/>
          <w:kern w:val="0"/>
          <w:sz w:val="32"/>
          <w:szCs w:val="32"/>
          <w:lang w:val="en-US" w:eastAsia="zh-CN"/>
        </w:rPr>
        <w:t>12月退休物业补贴未支付。</w:t>
      </w:r>
    </w:p>
    <w:p>
      <w:pPr>
        <w:autoSpaceDE w:val="0"/>
        <w:autoSpaceDN w:val="0"/>
        <w:adjustRightInd w:val="0"/>
        <w:spacing w:line="580" w:lineRule="exact"/>
        <w:ind w:firstLine="640" w:firstLineChars="200"/>
        <w:jc w:val="left"/>
        <w:rPr>
          <w:rFonts w:hint="eastAsia" w:ascii="仿宋_GB2312" w:hAnsi="Times New Roman"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5</w:t>
      </w:r>
      <w:r>
        <w:rPr>
          <w:rFonts w:hint="eastAsia" w:ascii="仿宋_GB2312" w:hAnsi="Times New Roman" w:eastAsia="仿宋_GB2312" w:cs="仿宋_GB2312"/>
          <w:bCs/>
          <w:kern w:val="0"/>
          <w:sz w:val="32"/>
          <w:szCs w:val="32"/>
          <w:lang w:val="en-US" w:eastAsia="zh-CN"/>
        </w:rPr>
        <w:t>.</w:t>
      </w:r>
      <w:r>
        <w:rPr>
          <w:rFonts w:hint="default" w:ascii="仿宋_GB2312" w:hAnsi="Times New Roman" w:eastAsia="仿宋_GB2312" w:cs="仿宋_GB2312"/>
          <w:bCs/>
          <w:kern w:val="0"/>
          <w:sz w:val="32"/>
          <w:szCs w:val="32"/>
          <w:lang w:val="en-US" w:eastAsia="zh-CN"/>
        </w:rPr>
        <w:t xml:space="preserve"> </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208</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05</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机关事业基本养老保险缴费支出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05</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。年初预算为</w:t>
      </w:r>
      <w:r>
        <w:rPr>
          <w:rFonts w:hint="eastAsia" w:ascii="仿宋_GB2312" w:eastAsia="仿宋_GB2312" w:cs="仿宋_GB2312"/>
          <w:bCs/>
          <w:kern w:val="0"/>
          <w:sz w:val="32"/>
          <w:szCs w:val="32"/>
          <w:lang w:val="en-US" w:eastAsia="zh-CN"/>
        </w:rPr>
        <w:t>103.77</w:t>
      </w:r>
      <w:r>
        <w:rPr>
          <w:rFonts w:hint="eastAsia" w:ascii="仿宋_GB2312" w:hAnsi="Times New Roman" w:eastAsia="仿宋_GB2312" w:cs="仿宋_GB2312"/>
          <w:bCs/>
          <w:kern w:val="0"/>
          <w:sz w:val="32"/>
          <w:szCs w:val="32"/>
          <w:lang w:val="en-US" w:eastAsia="zh-CN"/>
        </w:rPr>
        <w:t>万元，支出决算为</w:t>
      </w:r>
      <w:r>
        <w:rPr>
          <w:rFonts w:hint="eastAsia" w:ascii="仿宋_GB2312" w:eastAsia="仿宋_GB2312" w:cs="仿宋_GB2312"/>
          <w:bCs/>
          <w:kern w:val="0"/>
          <w:sz w:val="32"/>
          <w:szCs w:val="32"/>
          <w:lang w:val="en-US" w:eastAsia="zh-CN"/>
        </w:rPr>
        <w:t>92.04</w:t>
      </w:r>
      <w:r>
        <w:rPr>
          <w:rFonts w:hint="eastAsia" w:ascii="仿宋_GB2312" w:hAnsi="Times New Roman" w:eastAsia="仿宋_GB2312" w:cs="仿宋_GB2312"/>
          <w:bCs/>
          <w:kern w:val="0"/>
          <w:sz w:val="32"/>
          <w:szCs w:val="32"/>
          <w:lang w:val="en-US" w:eastAsia="zh-CN"/>
        </w:rPr>
        <w:t>万元，完成年初预算的</w:t>
      </w:r>
      <w:r>
        <w:rPr>
          <w:rFonts w:hint="eastAsia" w:ascii="仿宋_GB2312" w:eastAsia="仿宋_GB2312" w:cs="仿宋_GB2312"/>
          <w:bCs/>
          <w:kern w:val="0"/>
          <w:sz w:val="32"/>
          <w:szCs w:val="32"/>
          <w:lang w:val="en-US" w:eastAsia="zh-CN"/>
        </w:rPr>
        <w:t>88.69</w:t>
      </w:r>
      <w:r>
        <w:rPr>
          <w:rFonts w:hint="default" w:ascii="仿宋_GB2312" w:hAnsi="Times New Roman" w:eastAsia="仿宋_GB2312" w:cs="仿宋_GB2312"/>
          <w:bCs/>
          <w:kern w:val="0"/>
          <w:sz w:val="32"/>
          <w:szCs w:val="32"/>
          <w:lang w:val="en-US" w:eastAsia="zh-CN"/>
        </w:rPr>
        <w:t>%</w:t>
      </w:r>
      <w:r>
        <w:rPr>
          <w:rFonts w:hint="eastAsia" w:ascii="仿宋_GB2312" w:hAnsi="Times New Roman" w:eastAsia="仿宋_GB2312" w:cs="仿宋_GB2312"/>
          <w:bCs/>
          <w:kern w:val="0"/>
          <w:sz w:val="32"/>
          <w:szCs w:val="32"/>
          <w:lang w:val="en-US" w:eastAsia="zh-CN"/>
        </w:rPr>
        <w:t>。决算数小于预算数的主要原因是年度内人员变动较大，导致资金结余</w:t>
      </w:r>
      <w:r>
        <w:rPr>
          <w:rFonts w:hint="eastAsia" w:ascii="仿宋_GB2312" w:eastAsia="仿宋_GB2312" w:cs="仿宋_GB2312"/>
          <w:bCs/>
          <w:kern w:val="0"/>
          <w:sz w:val="32"/>
          <w:szCs w:val="32"/>
          <w:lang w:val="en-US" w:eastAsia="zh-CN"/>
        </w:rPr>
        <w:t>。</w:t>
      </w:r>
    </w:p>
    <w:p>
      <w:pPr>
        <w:autoSpaceDE w:val="0"/>
        <w:autoSpaceDN w:val="0"/>
        <w:adjustRightInd w:val="0"/>
        <w:spacing w:line="580" w:lineRule="exact"/>
        <w:ind w:firstLine="640" w:firstLineChars="200"/>
        <w:jc w:val="left"/>
        <w:rPr>
          <w:rFonts w:hint="eastAsia" w:ascii="仿宋_GB2312" w:hAnsi="Times New Roman"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6</w:t>
      </w:r>
      <w:r>
        <w:rPr>
          <w:rFonts w:hint="eastAsia" w:ascii="仿宋_GB2312" w:hAnsi="Times New Roman" w:eastAsia="仿宋_GB2312" w:cs="仿宋_GB2312"/>
          <w:bCs/>
          <w:kern w:val="0"/>
          <w:sz w:val="32"/>
          <w:szCs w:val="32"/>
          <w:lang w:val="en-US" w:eastAsia="zh-CN"/>
        </w:rPr>
        <w:t>.</w:t>
      </w:r>
      <w:r>
        <w:rPr>
          <w:rFonts w:hint="default" w:ascii="仿宋_GB2312" w:hAnsi="Times New Roman" w:eastAsia="仿宋_GB2312" w:cs="仿宋_GB2312"/>
          <w:bCs/>
          <w:kern w:val="0"/>
          <w:sz w:val="32"/>
          <w:szCs w:val="32"/>
          <w:lang w:val="en-US" w:eastAsia="zh-CN"/>
        </w:rPr>
        <w:t xml:space="preserve"> </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208</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05</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机关事业单位职业年金缴费支出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05</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。年初预算为</w:t>
      </w:r>
      <w:r>
        <w:rPr>
          <w:rFonts w:hint="eastAsia" w:ascii="仿宋_GB2312" w:eastAsia="仿宋_GB2312" w:cs="仿宋_GB2312"/>
          <w:bCs/>
          <w:kern w:val="0"/>
          <w:sz w:val="32"/>
          <w:szCs w:val="32"/>
          <w:lang w:val="en-US" w:eastAsia="zh-CN"/>
        </w:rPr>
        <w:t>51.89</w:t>
      </w:r>
      <w:r>
        <w:rPr>
          <w:rFonts w:hint="eastAsia" w:ascii="仿宋_GB2312" w:hAnsi="Times New Roman" w:eastAsia="仿宋_GB2312" w:cs="仿宋_GB2312"/>
          <w:bCs/>
          <w:kern w:val="0"/>
          <w:sz w:val="32"/>
          <w:szCs w:val="32"/>
          <w:lang w:val="en-US" w:eastAsia="zh-CN"/>
        </w:rPr>
        <w:t>万元，支出决算为</w:t>
      </w:r>
      <w:r>
        <w:rPr>
          <w:rFonts w:hint="eastAsia" w:ascii="仿宋_GB2312" w:eastAsia="仿宋_GB2312" w:cs="仿宋_GB2312"/>
          <w:bCs/>
          <w:kern w:val="0"/>
          <w:sz w:val="32"/>
          <w:szCs w:val="32"/>
          <w:lang w:val="en-US" w:eastAsia="zh-CN"/>
        </w:rPr>
        <w:t>46.17</w:t>
      </w:r>
      <w:r>
        <w:rPr>
          <w:rFonts w:hint="eastAsia" w:ascii="仿宋_GB2312" w:hAnsi="Times New Roman" w:eastAsia="仿宋_GB2312" w:cs="仿宋_GB2312"/>
          <w:bCs/>
          <w:kern w:val="0"/>
          <w:sz w:val="32"/>
          <w:szCs w:val="32"/>
          <w:lang w:val="en-US" w:eastAsia="zh-CN"/>
        </w:rPr>
        <w:t>万元，完成年初预算的</w:t>
      </w:r>
      <w:r>
        <w:rPr>
          <w:rFonts w:hint="eastAsia" w:ascii="仿宋_GB2312" w:eastAsia="仿宋_GB2312" w:cs="仿宋_GB2312"/>
          <w:bCs/>
          <w:kern w:val="0"/>
          <w:sz w:val="32"/>
          <w:szCs w:val="32"/>
          <w:lang w:val="en-US" w:eastAsia="zh-CN"/>
        </w:rPr>
        <w:t>88.98</w:t>
      </w:r>
      <w:r>
        <w:rPr>
          <w:rFonts w:hint="default" w:ascii="仿宋_GB2312" w:hAnsi="Times New Roman" w:eastAsia="仿宋_GB2312" w:cs="仿宋_GB2312"/>
          <w:bCs/>
          <w:kern w:val="0"/>
          <w:sz w:val="32"/>
          <w:szCs w:val="32"/>
          <w:lang w:val="en-US" w:eastAsia="zh-CN"/>
        </w:rPr>
        <w:t>%</w:t>
      </w:r>
      <w:r>
        <w:rPr>
          <w:rFonts w:hint="eastAsia" w:ascii="仿宋_GB2312" w:hAnsi="Times New Roman" w:eastAsia="仿宋_GB2312" w:cs="仿宋_GB2312"/>
          <w:bCs/>
          <w:kern w:val="0"/>
          <w:sz w:val="32"/>
          <w:szCs w:val="32"/>
          <w:lang w:val="en-US" w:eastAsia="zh-CN"/>
        </w:rPr>
        <w:t>。决算数小于预算数的主要原因是年度内人员变动较大，导致资金结余。</w:t>
      </w:r>
    </w:p>
    <w:p>
      <w:pPr>
        <w:autoSpaceDE w:val="0"/>
        <w:autoSpaceDN w:val="0"/>
        <w:adjustRightInd w:val="0"/>
        <w:spacing w:line="580" w:lineRule="exact"/>
        <w:ind w:firstLine="640" w:firstLineChars="200"/>
        <w:jc w:val="left"/>
        <w:rPr>
          <w:rFonts w:hint="default" w:ascii="仿宋_GB2312" w:hAnsi="Times New Roman"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7</w:t>
      </w:r>
      <w:r>
        <w:rPr>
          <w:rFonts w:hint="eastAsia" w:ascii="仿宋_GB2312" w:hAnsi="Times New Roman" w:eastAsia="仿宋_GB2312" w:cs="仿宋_GB2312"/>
          <w:bCs/>
          <w:kern w:val="0"/>
          <w:sz w:val="32"/>
          <w:szCs w:val="32"/>
          <w:lang w:val="en-US" w:eastAsia="zh-CN"/>
        </w:rPr>
        <w:t>.</w:t>
      </w:r>
      <w:r>
        <w:rPr>
          <w:rFonts w:hint="eastAsia" w:ascii="仿宋_GB2312" w:eastAsia="仿宋_GB2312" w:cs="仿宋_GB2312"/>
          <w:bCs/>
          <w:kern w:val="0"/>
          <w:sz w:val="32"/>
          <w:szCs w:val="32"/>
          <w:lang w:eastAsia="zh-CN"/>
        </w:rPr>
        <w:t>卫生健康支出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210</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11</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事业单位医疗</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02</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。年初预算为</w:t>
      </w:r>
      <w:r>
        <w:rPr>
          <w:rFonts w:hint="eastAsia" w:ascii="仿宋_GB2312" w:eastAsia="仿宋_GB2312" w:cs="仿宋_GB2312"/>
          <w:bCs/>
          <w:kern w:val="0"/>
          <w:sz w:val="32"/>
          <w:szCs w:val="32"/>
          <w:lang w:val="en-US" w:eastAsia="zh-CN"/>
        </w:rPr>
        <w:t>49.14</w:t>
      </w:r>
      <w:r>
        <w:rPr>
          <w:rFonts w:hint="eastAsia" w:ascii="仿宋_GB2312" w:hAnsi="Times New Roman" w:eastAsia="仿宋_GB2312" w:cs="仿宋_GB2312"/>
          <w:bCs/>
          <w:kern w:val="0"/>
          <w:sz w:val="32"/>
          <w:szCs w:val="32"/>
          <w:lang w:val="en-US" w:eastAsia="zh-CN"/>
        </w:rPr>
        <w:t>万元，支出决算为</w:t>
      </w:r>
      <w:r>
        <w:rPr>
          <w:rFonts w:hint="eastAsia" w:ascii="仿宋_GB2312" w:eastAsia="仿宋_GB2312" w:cs="仿宋_GB2312"/>
          <w:bCs/>
          <w:kern w:val="0"/>
          <w:sz w:val="32"/>
          <w:szCs w:val="32"/>
          <w:lang w:val="en-US" w:eastAsia="zh-CN"/>
        </w:rPr>
        <w:t>53.86</w:t>
      </w:r>
      <w:r>
        <w:rPr>
          <w:rFonts w:hint="eastAsia" w:ascii="仿宋_GB2312" w:hAnsi="Times New Roman" w:eastAsia="仿宋_GB2312" w:cs="仿宋_GB2312"/>
          <w:bCs/>
          <w:kern w:val="0"/>
          <w:sz w:val="32"/>
          <w:szCs w:val="32"/>
          <w:lang w:val="en-US" w:eastAsia="zh-CN"/>
        </w:rPr>
        <w:t>万元，完成年初预算的</w:t>
      </w:r>
      <w:r>
        <w:rPr>
          <w:rFonts w:hint="eastAsia" w:ascii="仿宋_GB2312" w:eastAsia="仿宋_GB2312" w:cs="仿宋_GB2312"/>
          <w:bCs/>
          <w:kern w:val="0"/>
          <w:sz w:val="32"/>
          <w:szCs w:val="32"/>
          <w:lang w:val="en-US" w:eastAsia="zh-CN"/>
        </w:rPr>
        <w:t>75.07</w:t>
      </w:r>
      <w:r>
        <w:rPr>
          <w:rFonts w:hint="default" w:ascii="仿宋_GB2312" w:hAnsi="Times New Roman" w:eastAsia="仿宋_GB2312" w:cs="仿宋_GB2312"/>
          <w:bCs/>
          <w:kern w:val="0"/>
          <w:sz w:val="32"/>
          <w:szCs w:val="32"/>
          <w:lang w:val="en-US" w:eastAsia="zh-CN"/>
        </w:rPr>
        <w:t>%</w:t>
      </w:r>
      <w:r>
        <w:rPr>
          <w:rFonts w:hint="eastAsia" w:ascii="仿宋_GB2312" w:hAnsi="Times New Roman" w:eastAsia="仿宋_GB2312" w:cs="仿宋_GB2312"/>
          <w:bCs/>
          <w:kern w:val="0"/>
          <w:sz w:val="32"/>
          <w:szCs w:val="32"/>
          <w:lang w:val="en-US" w:eastAsia="zh-CN"/>
        </w:rPr>
        <w:t>。决算数小于预算数的主要原因是年度内人员变动较大，导致资金结余。</w:t>
      </w:r>
    </w:p>
    <w:p>
      <w:pPr>
        <w:autoSpaceDE w:val="0"/>
        <w:autoSpaceDN w:val="0"/>
        <w:adjustRightInd w:val="0"/>
        <w:spacing w:line="580" w:lineRule="exact"/>
        <w:ind w:firstLine="640" w:firstLineChars="200"/>
        <w:jc w:val="left"/>
        <w:rPr>
          <w:rFonts w:hint="eastAsia" w:ascii="仿宋_GB2312" w:hAnsi="Times New Roman"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8</w:t>
      </w:r>
      <w:r>
        <w:rPr>
          <w:rFonts w:hint="eastAsia" w:ascii="仿宋_GB2312" w:hAnsi="Times New Roman" w:eastAsia="仿宋_GB2312" w:cs="仿宋_GB2312"/>
          <w:bCs/>
          <w:kern w:val="0"/>
          <w:sz w:val="32"/>
          <w:szCs w:val="32"/>
          <w:lang w:val="en-US" w:eastAsia="zh-CN"/>
        </w:rPr>
        <w:t>.</w:t>
      </w:r>
      <w:r>
        <w:rPr>
          <w:rFonts w:hint="eastAsia" w:ascii="仿宋_GB2312" w:eastAsia="仿宋_GB2312" w:cs="仿宋_GB2312"/>
          <w:bCs/>
          <w:kern w:val="0"/>
          <w:sz w:val="32"/>
          <w:szCs w:val="32"/>
          <w:lang w:eastAsia="zh-CN"/>
        </w:rPr>
        <w:t>卫生健康支出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210</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11</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公务员医疗补助</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03</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。年初预算为</w:t>
      </w:r>
      <w:r>
        <w:rPr>
          <w:rFonts w:hint="eastAsia" w:ascii="仿宋_GB2312" w:eastAsia="仿宋_GB2312" w:cs="仿宋_GB2312"/>
          <w:bCs/>
          <w:kern w:val="0"/>
          <w:sz w:val="32"/>
          <w:szCs w:val="32"/>
          <w:lang w:val="en-US" w:eastAsia="zh-CN"/>
        </w:rPr>
        <w:t>4.03</w:t>
      </w:r>
      <w:r>
        <w:rPr>
          <w:rFonts w:hint="eastAsia" w:ascii="仿宋_GB2312" w:hAnsi="Times New Roman" w:eastAsia="仿宋_GB2312" w:cs="仿宋_GB2312"/>
          <w:bCs/>
          <w:kern w:val="0"/>
          <w:sz w:val="32"/>
          <w:szCs w:val="32"/>
          <w:lang w:val="en-US" w:eastAsia="zh-CN"/>
        </w:rPr>
        <w:t>万元，支出决算为</w:t>
      </w:r>
      <w:r>
        <w:rPr>
          <w:rFonts w:hint="eastAsia" w:ascii="仿宋_GB2312" w:eastAsia="仿宋_GB2312" w:cs="仿宋_GB2312"/>
          <w:bCs/>
          <w:kern w:val="0"/>
          <w:sz w:val="32"/>
          <w:szCs w:val="32"/>
          <w:lang w:val="en-US" w:eastAsia="zh-CN"/>
        </w:rPr>
        <w:t>5.75</w:t>
      </w:r>
      <w:r>
        <w:rPr>
          <w:rFonts w:hint="eastAsia" w:ascii="仿宋_GB2312" w:hAnsi="Times New Roman" w:eastAsia="仿宋_GB2312" w:cs="仿宋_GB2312"/>
          <w:bCs/>
          <w:kern w:val="0"/>
          <w:sz w:val="32"/>
          <w:szCs w:val="32"/>
          <w:lang w:val="en-US" w:eastAsia="zh-CN"/>
        </w:rPr>
        <w:t>万元，完成年初预算的</w:t>
      </w:r>
      <w:r>
        <w:rPr>
          <w:rFonts w:hint="eastAsia" w:ascii="仿宋_GB2312" w:eastAsia="仿宋_GB2312" w:cs="仿宋_GB2312"/>
          <w:bCs/>
          <w:kern w:val="0"/>
          <w:sz w:val="32"/>
          <w:szCs w:val="32"/>
          <w:lang w:val="en-US" w:eastAsia="zh-CN"/>
        </w:rPr>
        <w:t>142.68</w:t>
      </w:r>
      <w:r>
        <w:rPr>
          <w:rFonts w:hint="default" w:ascii="仿宋_GB2312" w:hAnsi="Times New Roman" w:eastAsia="仿宋_GB2312" w:cs="仿宋_GB2312"/>
          <w:bCs/>
          <w:kern w:val="0"/>
          <w:sz w:val="32"/>
          <w:szCs w:val="32"/>
          <w:lang w:val="en-US" w:eastAsia="zh-CN"/>
        </w:rPr>
        <w:t>%</w:t>
      </w:r>
      <w:r>
        <w:rPr>
          <w:rFonts w:hint="eastAsia" w:ascii="仿宋_GB2312" w:hAnsi="Times New Roman" w:eastAsia="仿宋_GB2312" w:cs="仿宋_GB2312"/>
          <w:bCs/>
          <w:kern w:val="0"/>
          <w:sz w:val="32"/>
          <w:szCs w:val="32"/>
          <w:lang w:val="en-US" w:eastAsia="zh-CN"/>
        </w:rPr>
        <w:t>。决算数大于预算数的主要原因是年末财政下达了增人增资经费。</w:t>
      </w:r>
    </w:p>
    <w:p>
      <w:pPr>
        <w:autoSpaceDE w:val="0"/>
        <w:autoSpaceDN w:val="0"/>
        <w:adjustRightInd w:val="0"/>
        <w:spacing w:line="580" w:lineRule="exact"/>
        <w:ind w:firstLine="640" w:firstLineChars="200"/>
        <w:jc w:val="left"/>
        <w:rPr>
          <w:rFonts w:hint="eastAsia" w:ascii="仿宋_GB2312" w:hAnsi="Times New Roman" w:eastAsia="仿宋_GB2312" w:cs="仿宋_GB2312"/>
          <w:bCs/>
          <w:kern w:val="0"/>
          <w:sz w:val="32"/>
          <w:szCs w:val="32"/>
          <w:lang w:val="en-US" w:eastAsia="zh-CN"/>
        </w:rPr>
      </w:pPr>
      <w:r>
        <w:rPr>
          <w:rFonts w:hint="eastAsia" w:ascii="仿宋_GB2312" w:hAnsi="Times New Roman" w:eastAsia="仿宋_GB2312" w:cs="仿宋_GB2312"/>
          <w:bCs/>
          <w:kern w:val="0"/>
          <w:sz w:val="32"/>
          <w:szCs w:val="32"/>
          <w:lang w:val="en-US" w:eastAsia="zh-CN"/>
        </w:rPr>
        <w:t>9.</w:t>
      </w:r>
      <w:r>
        <w:rPr>
          <w:rFonts w:hint="eastAsia" w:ascii="仿宋_GB2312" w:eastAsia="仿宋_GB2312" w:cs="仿宋_GB2312"/>
          <w:bCs/>
          <w:kern w:val="0"/>
          <w:sz w:val="32"/>
          <w:szCs w:val="32"/>
          <w:lang w:eastAsia="zh-CN"/>
        </w:rPr>
        <w:t>住房保障支出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221</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住房改革支出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02</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住房公积金</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01</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。年初预算为</w:t>
      </w:r>
      <w:r>
        <w:rPr>
          <w:rFonts w:hint="eastAsia" w:ascii="仿宋_GB2312" w:eastAsia="仿宋_GB2312" w:cs="仿宋_GB2312"/>
          <w:bCs/>
          <w:kern w:val="0"/>
          <w:sz w:val="32"/>
          <w:szCs w:val="32"/>
          <w:lang w:val="en-US" w:eastAsia="zh-CN"/>
        </w:rPr>
        <w:t>77.83</w:t>
      </w:r>
      <w:r>
        <w:rPr>
          <w:rFonts w:hint="eastAsia" w:ascii="仿宋_GB2312" w:hAnsi="Times New Roman" w:eastAsia="仿宋_GB2312" w:cs="仿宋_GB2312"/>
          <w:bCs/>
          <w:kern w:val="0"/>
          <w:sz w:val="32"/>
          <w:szCs w:val="32"/>
          <w:lang w:val="en-US" w:eastAsia="zh-CN"/>
        </w:rPr>
        <w:t>万元，支出决算为</w:t>
      </w:r>
      <w:r>
        <w:rPr>
          <w:rFonts w:hint="eastAsia" w:ascii="仿宋_GB2312" w:eastAsia="仿宋_GB2312" w:cs="仿宋_GB2312"/>
          <w:bCs/>
          <w:kern w:val="0"/>
          <w:sz w:val="32"/>
          <w:szCs w:val="32"/>
          <w:lang w:val="en-US" w:eastAsia="zh-CN"/>
        </w:rPr>
        <w:t>104.64</w:t>
      </w:r>
      <w:r>
        <w:rPr>
          <w:rFonts w:hint="eastAsia" w:ascii="仿宋_GB2312" w:hAnsi="Times New Roman" w:eastAsia="仿宋_GB2312" w:cs="仿宋_GB2312"/>
          <w:bCs/>
          <w:kern w:val="0"/>
          <w:sz w:val="32"/>
          <w:szCs w:val="32"/>
          <w:lang w:val="en-US" w:eastAsia="zh-CN"/>
        </w:rPr>
        <w:t>万元，完成年初预算的</w:t>
      </w:r>
      <w:r>
        <w:rPr>
          <w:rFonts w:hint="eastAsia" w:ascii="仿宋_GB2312" w:eastAsia="仿宋_GB2312" w:cs="仿宋_GB2312"/>
          <w:bCs/>
          <w:kern w:val="0"/>
          <w:sz w:val="32"/>
          <w:szCs w:val="32"/>
          <w:lang w:val="en-US" w:eastAsia="zh-CN"/>
        </w:rPr>
        <w:t>134.45</w:t>
      </w:r>
      <w:r>
        <w:rPr>
          <w:rFonts w:hint="default" w:ascii="仿宋_GB2312" w:hAnsi="Times New Roman" w:eastAsia="仿宋_GB2312" w:cs="仿宋_GB2312"/>
          <w:bCs/>
          <w:kern w:val="0"/>
          <w:sz w:val="32"/>
          <w:szCs w:val="32"/>
          <w:lang w:val="en-US" w:eastAsia="zh-CN"/>
        </w:rPr>
        <w:t>%</w:t>
      </w:r>
      <w:r>
        <w:rPr>
          <w:rFonts w:hint="eastAsia" w:ascii="仿宋_GB2312" w:hAnsi="Times New Roman" w:eastAsia="仿宋_GB2312" w:cs="仿宋_GB2312"/>
          <w:bCs/>
          <w:kern w:val="0"/>
          <w:sz w:val="32"/>
          <w:szCs w:val="32"/>
          <w:lang w:val="en-US" w:eastAsia="zh-CN"/>
        </w:rPr>
        <w:t>。决算数大于预算数的主要原因是年末财政下达了增人增资经费。</w:t>
      </w:r>
    </w:p>
    <w:p>
      <w:pPr>
        <w:autoSpaceDE w:val="0"/>
        <w:autoSpaceDN w:val="0"/>
        <w:adjustRightInd w:val="0"/>
        <w:spacing w:line="580" w:lineRule="exact"/>
        <w:ind w:firstLine="640" w:firstLineChars="200"/>
        <w:jc w:val="left"/>
        <w:rPr>
          <w:rFonts w:hint="eastAsia" w:ascii="仿宋_GB2312" w:hAnsi="Times New Roman" w:eastAsia="仿宋_GB2312" w:cs="仿宋_GB2312"/>
          <w:bCs/>
          <w:kern w:val="0"/>
          <w:sz w:val="32"/>
          <w:szCs w:val="32"/>
          <w:lang w:val="en-US" w:eastAsia="zh-CN"/>
        </w:rPr>
      </w:pPr>
      <w:r>
        <w:rPr>
          <w:rFonts w:hint="eastAsia" w:ascii="仿宋_GB2312" w:hAnsi="Times New Roman" w:eastAsia="仿宋_GB2312" w:cs="仿宋_GB2312"/>
          <w:bCs/>
          <w:kern w:val="0"/>
          <w:sz w:val="32"/>
          <w:szCs w:val="32"/>
          <w:lang w:val="en-US" w:eastAsia="zh-CN"/>
        </w:rPr>
        <w:t>10.</w:t>
      </w:r>
      <w:r>
        <w:rPr>
          <w:rFonts w:hint="eastAsia" w:ascii="仿宋_GB2312" w:eastAsia="仿宋_GB2312" w:cs="仿宋_GB2312"/>
          <w:bCs/>
          <w:kern w:val="0"/>
          <w:sz w:val="32"/>
          <w:szCs w:val="32"/>
          <w:lang w:eastAsia="zh-CN"/>
        </w:rPr>
        <w:t>住房保障支出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221</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住房改革支出</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02</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购房补贴</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val="en-US" w:eastAsia="zh-CN"/>
        </w:rPr>
        <w:t>03</w:t>
      </w:r>
      <w:r>
        <w:rPr>
          <w:rFonts w:hint="eastAsia" w:ascii="仿宋_GB2312" w:eastAsia="仿宋_GB2312" w:cs="仿宋_GB2312"/>
          <w:bCs/>
          <w:kern w:val="0"/>
          <w:sz w:val="32"/>
          <w:szCs w:val="32"/>
        </w:rPr>
        <w:t>）</w:t>
      </w:r>
      <w:r>
        <w:rPr>
          <w:rFonts w:hint="eastAsia" w:ascii="仿宋_GB2312" w:hAnsi="Times New Roman" w:eastAsia="仿宋_GB2312" w:cs="仿宋_GB2312"/>
          <w:bCs/>
          <w:kern w:val="0"/>
          <w:sz w:val="32"/>
          <w:szCs w:val="32"/>
          <w:lang w:val="en-US" w:eastAsia="zh-CN"/>
        </w:rPr>
        <w:t>。年初预算为0万元，支出决算为</w:t>
      </w:r>
      <w:r>
        <w:rPr>
          <w:rFonts w:hint="eastAsia" w:ascii="仿宋_GB2312" w:eastAsia="仿宋_GB2312" w:cs="仿宋_GB2312"/>
          <w:bCs/>
          <w:kern w:val="0"/>
          <w:sz w:val="32"/>
          <w:szCs w:val="32"/>
          <w:lang w:val="en-US" w:eastAsia="zh-CN"/>
        </w:rPr>
        <w:t>3.27</w:t>
      </w:r>
      <w:r>
        <w:rPr>
          <w:rFonts w:hint="eastAsia" w:ascii="仿宋_GB2312" w:hAnsi="Times New Roman" w:eastAsia="仿宋_GB2312" w:cs="仿宋_GB2312"/>
          <w:bCs/>
          <w:kern w:val="0"/>
          <w:sz w:val="32"/>
          <w:szCs w:val="32"/>
          <w:lang w:val="en-US" w:eastAsia="zh-CN"/>
        </w:rPr>
        <w:t>万元。决算数大于预算数的主要原因是</w:t>
      </w:r>
      <w:r>
        <w:rPr>
          <w:rFonts w:hint="default" w:ascii="仿宋_GB2312" w:hAnsi="Times New Roman" w:eastAsia="仿宋_GB2312" w:cs="仿宋_GB2312"/>
          <w:bCs/>
          <w:kern w:val="0"/>
          <w:sz w:val="32"/>
          <w:szCs w:val="32"/>
          <w:lang w:val="en-US" w:eastAsia="zh-CN"/>
        </w:rPr>
        <w:t>20</w:t>
      </w:r>
      <w:r>
        <w:rPr>
          <w:rFonts w:hint="eastAsia" w:ascii="仿宋_GB2312" w:hAnsi="Times New Roman" w:eastAsia="仿宋_GB2312" w:cs="仿宋_GB2312"/>
          <w:bCs/>
          <w:kern w:val="0"/>
          <w:sz w:val="32"/>
          <w:szCs w:val="32"/>
          <w:lang w:val="en-US" w:eastAsia="zh-CN"/>
        </w:rPr>
        <w:t>20年7月财政下达了在编人员住房补贴款。</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hAnsi="Times New Roman" w:eastAsia="仿宋_GB2312" w:cs="仿宋_GB2312"/>
          <w:b/>
          <w:kern w:val="0"/>
          <w:sz w:val="32"/>
          <w:szCs w:val="32"/>
        </w:rPr>
        <w:t>六、</w:t>
      </w:r>
      <w:r>
        <w:rPr>
          <w:rFonts w:hint="eastAsia" w:ascii="仿宋_GB2312" w:eastAsia="仿宋_GB2312" w:cs="仿宋_GB2312"/>
          <w:b/>
          <w:kern w:val="0"/>
          <w:sz w:val="32"/>
          <w:szCs w:val="32"/>
        </w:rPr>
        <w:t>2020年度一般公共预算财政拨款基本支出决算情况</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ascii="仿宋_GB2312" w:eastAsia="仿宋_GB2312" w:cs="仿宋_GB2312"/>
          <w:bCs/>
          <w:kern w:val="0"/>
          <w:sz w:val="32"/>
          <w:szCs w:val="32"/>
        </w:rPr>
      </w:pPr>
      <w:r>
        <w:rPr>
          <w:rFonts w:hint="eastAsia" w:ascii="仿宋_GB2312" w:eastAsia="仿宋_GB2312" w:cs="仿宋_GB2312"/>
          <w:bCs/>
          <w:kern w:val="0"/>
          <w:sz w:val="32"/>
          <w:szCs w:val="32"/>
        </w:rPr>
        <w:t>2020年度财政拨款基本支出</w:t>
      </w:r>
      <w:r>
        <w:rPr>
          <w:rFonts w:hint="eastAsia" w:ascii="仿宋_GB2312" w:eastAsia="仿宋_GB2312" w:cs="仿宋_GB2312"/>
          <w:bCs/>
          <w:kern w:val="0"/>
          <w:sz w:val="32"/>
          <w:szCs w:val="32"/>
          <w:lang w:val="en-US" w:eastAsia="zh-CN"/>
        </w:rPr>
        <w:t>1268.93</w:t>
      </w:r>
      <w:r>
        <w:rPr>
          <w:rFonts w:hint="eastAsia" w:ascii="仿宋_GB2312" w:eastAsia="仿宋_GB2312" w:cs="仿宋_GB2312"/>
          <w:bCs/>
          <w:kern w:val="0"/>
          <w:sz w:val="32"/>
          <w:szCs w:val="32"/>
        </w:rPr>
        <w:t>万元，其中：</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ascii="仿宋_GB2312" w:eastAsia="仿宋_GB2312" w:cs="仿宋_GB2312"/>
          <w:bCs/>
          <w:kern w:val="0"/>
          <w:sz w:val="32"/>
          <w:szCs w:val="32"/>
        </w:rPr>
      </w:pPr>
      <w:r>
        <w:rPr>
          <w:rFonts w:hint="eastAsia" w:ascii="仿宋_GB2312" w:eastAsia="仿宋_GB2312" w:cs="仿宋_GB2312"/>
          <w:bCs/>
          <w:kern w:val="0"/>
          <w:sz w:val="32"/>
          <w:szCs w:val="32"/>
        </w:rPr>
        <w:t>人员经费</w:t>
      </w:r>
      <w:r>
        <w:rPr>
          <w:rFonts w:hint="eastAsia" w:ascii="仿宋_GB2312" w:eastAsia="仿宋_GB2312" w:cs="仿宋_GB2312"/>
          <w:bCs/>
          <w:kern w:val="0"/>
          <w:sz w:val="32"/>
          <w:szCs w:val="32"/>
          <w:lang w:val="en-US" w:eastAsia="zh-CN"/>
        </w:rPr>
        <w:t>1189.23</w:t>
      </w:r>
      <w:r>
        <w:rPr>
          <w:rFonts w:hint="eastAsia" w:ascii="仿宋_GB2312" w:eastAsia="仿宋_GB2312" w:cs="仿宋_GB2312"/>
          <w:bCs/>
          <w:kern w:val="0"/>
          <w:sz w:val="32"/>
          <w:szCs w:val="32"/>
        </w:rPr>
        <w:t>万元，主要包括：基本工资、津贴补贴、 奖金、伙食补助费、机关事业单位基本养老保险缴费、职业年金缴费、其他社会保障缴费、其他工资福利支出、退休费、抚恤金、生活补助、奖励金、住房公积金；</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rPr>
        <w:t>公用经费</w:t>
      </w:r>
      <w:r>
        <w:rPr>
          <w:rFonts w:hint="eastAsia" w:ascii="仿宋_GB2312" w:eastAsia="仿宋_GB2312" w:cs="仿宋_GB2312"/>
          <w:bCs/>
          <w:kern w:val="0"/>
          <w:sz w:val="32"/>
          <w:szCs w:val="32"/>
          <w:lang w:val="en-US" w:eastAsia="zh-CN"/>
        </w:rPr>
        <w:t>79.70</w:t>
      </w:r>
      <w:r>
        <w:rPr>
          <w:rFonts w:hint="eastAsia" w:ascii="仿宋_GB2312" w:eastAsia="仿宋_GB2312" w:cs="仿宋_GB2312"/>
          <w:bCs/>
          <w:kern w:val="0"/>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w:t>
      </w:r>
      <w:r>
        <w:rPr>
          <w:rFonts w:hint="eastAsia" w:ascii="仿宋_GB2312" w:eastAsia="仿宋_GB2312" w:cs="仿宋_GB2312"/>
          <w:bCs/>
          <w:kern w:val="0"/>
          <w:sz w:val="32"/>
          <w:szCs w:val="32"/>
          <w:lang w:eastAsia="zh-CN"/>
        </w:rPr>
        <w:t>。</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七、</w:t>
      </w:r>
      <w:r>
        <w:rPr>
          <w:rFonts w:hint="eastAsia" w:ascii="仿宋_GB2312" w:eastAsia="仿宋_GB2312" w:cs="仿宋_GB2312"/>
          <w:b/>
          <w:kern w:val="0"/>
          <w:sz w:val="32"/>
          <w:szCs w:val="32"/>
        </w:rPr>
        <w:t>2020 年度一般公共预算财政拨款“三公” 经费支出决算情况</w:t>
      </w:r>
      <w:r>
        <w:rPr>
          <w:rFonts w:hint="eastAsia" w:ascii="仿宋_GB2312" w:eastAsia="仿宋_GB2312" w:cs="仿宋_GB2312"/>
          <w:bCs/>
          <w:kern w:val="0"/>
          <w:sz w:val="32"/>
          <w:szCs w:val="32"/>
        </w:rPr>
        <w:t xml:space="preserve">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rPr>
        <w:t>2020 年度“三公”经费财政拨款支出预算为</w:t>
      </w:r>
      <w:r>
        <w:rPr>
          <w:rFonts w:hint="eastAsia" w:ascii="仿宋_GB2312" w:eastAsia="仿宋_GB2312" w:cs="仿宋_GB2312"/>
          <w:bCs/>
          <w:kern w:val="0"/>
          <w:sz w:val="32"/>
          <w:szCs w:val="32"/>
          <w:lang w:val="en-US" w:eastAsia="zh-CN"/>
        </w:rPr>
        <w:t>2.42</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万元。2020年度“三公”经费支出决算数小于预算数的主要原因</w:t>
      </w:r>
      <w:r>
        <w:rPr>
          <w:rFonts w:hint="eastAsia" w:ascii="仿宋_GB2312" w:eastAsia="仿宋_GB2312" w:cs="仿宋_GB2312"/>
          <w:bCs/>
          <w:kern w:val="0"/>
          <w:sz w:val="32"/>
          <w:szCs w:val="32"/>
          <w:lang w:eastAsia="zh-CN"/>
        </w:rPr>
        <w:t>一</w:t>
      </w:r>
      <w:r>
        <w:rPr>
          <w:rFonts w:hint="eastAsia" w:ascii="仿宋_GB2312" w:eastAsia="仿宋_GB2312" w:cs="仿宋_GB2312"/>
          <w:bCs/>
          <w:kern w:val="0"/>
          <w:sz w:val="32"/>
          <w:szCs w:val="32"/>
        </w:rPr>
        <w:t>是认真贯彻落实中央“八项规定”精神和厉行节约要求，进一步从严控制“三公”经费开支</w:t>
      </w:r>
      <w:r>
        <w:rPr>
          <w:rFonts w:hint="eastAsia" w:ascii="仿宋_GB2312" w:eastAsia="仿宋_GB2312" w:cs="仿宋_GB2312"/>
          <w:bCs/>
          <w:kern w:val="0"/>
          <w:sz w:val="32"/>
          <w:szCs w:val="32"/>
          <w:lang w:eastAsia="zh-CN"/>
        </w:rPr>
        <w:t>。</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2020年度“三公”经费财政拨款支出决算数</w:t>
      </w:r>
      <w:r>
        <w:rPr>
          <w:rFonts w:hint="eastAsia" w:ascii="仿宋_GB2312" w:eastAsia="仿宋_GB2312" w:cs="仿宋_GB2312"/>
          <w:bCs/>
          <w:kern w:val="0"/>
          <w:sz w:val="32"/>
          <w:szCs w:val="32"/>
          <w:lang w:eastAsia="zh-CN"/>
        </w:rPr>
        <w:t>与</w:t>
      </w:r>
      <w:r>
        <w:rPr>
          <w:rFonts w:hint="eastAsia" w:ascii="仿宋_GB2312" w:eastAsia="仿宋_GB2312" w:cs="仿宋_GB2312"/>
          <w:bCs/>
          <w:kern w:val="0"/>
          <w:sz w:val="32"/>
          <w:szCs w:val="32"/>
        </w:rPr>
        <w:t>2019年</w:t>
      </w:r>
      <w:r>
        <w:rPr>
          <w:rFonts w:hint="eastAsia" w:ascii="仿宋_GB2312" w:eastAsia="仿宋_GB2312" w:cs="仿宋_GB2312"/>
          <w:bCs/>
          <w:kern w:val="0"/>
          <w:sz w:val="32"/>
          <w:szCs w:val="32"/>
          <w:lang w:eastAsia="zh-CN"/>
        </w:rPr>
        <w:t>持平</w:t>
      </w:r>
      <w:r>
        <w:rPr>
          <w:rFonts w:hint="eastAsia" w:ascii="仿宋_GB2312" w:eastAsia="仿宋_GB2312" w:cs="仿宋_GB2312"/>
          <w:bCs/>
          <w:kern w:val="0"/>
          <w:sz w:val="32"/>
          <w:szCs w:val="32"/>
        </w:rPr>
        <w:t>。</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（二）“三公”经费财政拨款支出决算具体情况</w:t>
      </w:r>
    </w:p>
    <w:p>
      <w:pPr>
        <w:autoSpaceDE w:val="0"/>
        <w:autoSpaceDN w:val="0"/>
        <w:adjustRightInd w:val="0"/>
        <w:spacing w:line="580" w:lineRule="exact"/>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rPr>
        <w:t xml:space="preserve">     2020年度“三公”经费财政拨款支出决算中，因公出国（境）费支出决算</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万元；公务用车购置及运行费 支出决算</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万元；公务接待费支出决算</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八、</w:t>
      </w:r>
      <w:r>
        <w:rPr>
          <w:rFonts w:hint="eastAsia" w:ascii="仿宋_GB2312" w:eastAsia="仿宋_GB2312" w:cs="仿宋_GB2312"/>
          <w:b/>
          <w:kern w:val="0"/>
          <w:sz w:val="32"/>
          <w:szCs w:val="32"/>
        </w:rPr>
        <w:t xml:space="preserve">2020 年度政府性基金预算财政拨款收入支出决算情况说明 </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本部门2020年度政府基金预算财政拨款收、支总决算 </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万元。与2019年</w:t>
      </w:r>
      <w:r>
        <w:rPr>
          <w:rFonts w:hint="eastAsia" w:ascii="仿宋_GB2312" w:eastAsia="仿宋_GB2312" w:cs="仿宋_GB2312"/>
          <w:bCs/>
          <w:kern w:val="0"/>
          <w:sz w:val="32"/>
          <w:szCs w:val="32"/>
          <w:lang w:eastAsia="zh-CN"/>
        </w:rPr>
        <w:t>持平</w:t>
      </w:r>
      <w:r>
        <w:rPr>
          <w:rFonts w:hint="eastAsia" w:ascii="仿宋_GB2312" w:eastAsia="仿宋_GB2312" w:cs="仿宋_GB2312"/>
          <w:bCs/>
          <w:kern w:val="0"/>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仿宋_GB2312" w:eastAsia="仿宋_GB2312" w:cs="仿宋_GB2312"/>
          <w:b/>
          <w:kern w:val="0"/>
          <w:sz w:val="32"/>
          <w:szCs w:val="32"/>
          <w:highlight w:val="yellow"/>
          <w:lang w:eastAsia="zh-CN"/>
        </w:rPr>
      </w:pPr>
      <w:r>
        <w:rPr>
          <w:rFonts w:hint="eastAsia" w:eastAsia="仿宋_GB2312"/>
          <w:b/>
          <w:kern w:val="0"/>
          <w:sz w:val="32"/>
          <w:szCs w:val="32"/>
          <w:lang w:eastAsia="zh-CN"/>
        </w:rPr>
        <w:t>九、</w:t>
      </w:r>
      <w:r>
        <w:rPr>
          <w:rFonts w:hint="eastAsia" w:ascii="仿宋_GB2312" w:eastAsia="仿宋_GB2312" w:cs="仿宋_GB2312"/>
          <w:b/>
          <w:kern w:val="0"/>
          <w:sz w:val="32"/>
          <w:szCs w:val="32"/>
          <w:highlight w:val="none"/>
          <w:lang w:eastAsia="zh-CN"/>
        </w:rPr>
        <w:t>国有资本经营预算财政拨款支出情况说明</w:t>
      </w:r>
    </w:p>
    <w:p>
      <w:pPr>
        <w:numPr>
          <w:ilvl w:val="0"/>
          <w:numId w:val="0"/>
        </w:numPr>
        <w:autoSpaceDE w:val="0"/>
        <w:autoSpaceDN w:val="0"/>
        <w:adjustRightInd w:val="0"/>
        <w:spacing w:line="580" w:lineRule="exact"/>
        <w:jc w:val="left"/>
        <w:rPr>
          <w:rFonts w:hint="eastAsia" w:ascii="仿宋_GB2312" w:hAnsi="Times New Roman" w:eastAsia="仿宋_GB2312" w:cs="仿宋_GB2312"/>
          <w:bCs/>
          <w:kern w:val="0"/>
          <w:sz w:val="32"/>
          <w:szCs w:val="32"/>
          <w:lang w:val="en-US" w:eastAsia="zh-CN"/>
        </w:rPr>
      </w:pPr>
      <w:r>
        <w:rPr>
          <w:rFonts w:hint="eastAsia" w:ascii="仿宋_GB2312" w:eastAsia="仿宋_GB2312" w:cs="仿宋_GB2312"/>
          <w:b/>
          <w:kern w:val="0"/>
          <w:sz w:val="32"/>
          <w:szCs w:val="32"/>
          <w:highlight w:val="none"/>
          <w:lang w:val="en-US" w:eastAsia="zh-CN"/>
        </w:rPr>
        <w:t xml:space="preserve">    </w:t>
      </w:r>
      <w:r>
        <w:rPr>
          <w:rFonts w:hint="eastAsia" w:ascii="仿宋_GB2312" w:hAnsi="Times New Roman" w:eastAsia="仿宋_GB2312" w:cs="仿宋_GB2312"/>
          <w:bCs/>
          <w:kern w:val="0"/>
          <w:sz w:val="32"/>
          <w:szCs w:val="32"/>
          <w:highlight w:val="none"/>
          <w:lang w:val="en-US" w:eastAsia="zh-CN"/>
        </w:rPr>
        <w:t>柳</w:t>
      </w:r>
      <w:r>
        <w:rPr>
          <w:rFonts w:hint="eastAsia" w:ascii="仿宋_GB2312" w:hAnsi="Times New Roman" w:eastAsia="仿宋_GB2312" w:cs="仿宋_GB2312"/>
          <w:bCs/>
          <w:kern w:val="0"/>
          <w:sz w:val="32"/>
          <w:szCs w:val="32"/>
          <w:lang w:val="en-US" w:eastAsia="zh-CN"/>
        </w:rPr>
        <w:t>州市行政审批</w:t>
      </w:r>
      <w:r>
        <w:rPr>
          <w:rFonts w:hint="eastAsia" w:ascii="仿宋_GB2312" w:eastAsia="仿宋_GB2312" w:cs="仿宋_GB2312"/>
          <w:bCs/>
          <w:kern w:val="0"/>
          <w:sz w:val="32"/>
          <w:szCs w:val="32"/>
          <w:lang w:val="en-US" w:eastAsia="zh-CN"/>
        </w:rPr>
        <w:t>服务中心</w:t>
      </w:r>
      <w:r>
        <w:rPr>
          <w:rFonts w:hint="eastAsia" w:ascii="仿宋_GB2312" w:hAnsi="Times New Roman" w:eastAsia="仿宋_GB2312" w:cs="仿宋_GB2312"/>
          <w:bCs/>
          <w:kern w:val="0"/>
          <w:sz w:val="32"/>
          <w:szCs w:val="32"/>
          <w:lang w:val="en-US" w:eastAsia="zh-CN"/>
        </w:rPr>
        <w:t>没有国有资本经营预算财政拨款收入，也没有国有资本经营预算财政拨款安排的支出。</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eastAsia="仿宋_GB2312"/>
          <w:b/>
          <w:kern w:val="0"/>
          <w:sz w:val="32"/>
          <w:szCs w:val="32"/>
          <w:lang w:eastAsia="zh-CN"/>
        </w:rPr>
        <w:t>十、</w:t>
      </w:r>
      <w:r>
        <w:rPr>
          <w:rFonts w:hint="eastAsia" w:eastAsia="仿宋_GB2312"/>
          <w:b/>
          <w:kern w:val="0"/>
          <w:sz w:val="32"/>
          <w:szCs w:val="32"/>
        </w:rPr>
        <w:t>2020</w:t>
      </w:r>
      <w:r>
        <w:rPr>
          <w:rFonts w:hint="eastAsia" w:ascii="仿宋_GB2312" w:eastAsia="仿宋_GB2312" w:cs="仿宋_GB2312"/>
          <w:b/>
          <w:kern w:val="0"/>
          <w:sz w:val="32"/>
          <w:szCs w:val="32"/>
        </w:rPr>
        <w:t xml:space="preserve"> 年度预算绩效情况说明</w:t>
      </w:r>
    </w:p>
    <w:p>
      <w:pPr>
        <w:numPr>
          <w:ilvl w:val="0"/>
          <w:numId w:val="1"/>
        </w:num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绩效管理工作开展情况</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根据财政预算管理要求，我</w:t>
      </w:r>
      <w:r>
        <w:rPr>
          <w:rFonts w:hint="eastAsia" w:ascii="仿宋_GB2312" w:eastAsia="仿宋_GB2312" w:cs="仿宋_GB2312"/>
          <w:bCs/>
          <w:kern w:val="0"/>
          <w:sz w:val="32"/>
          <w:szCs w:val="32"/>
          <w:lang w:eastAsia="zh-CN"/>
        </w:rPr>
        <w:t>单位</w:t>
      </w:r>
      <w:r>
        <w:rPr>
          <w:rFonts w:hint="eastAsia" w:ascii="仿宋_GB2312" w:eastAsia="仿宋_GB2312" w:cs="仿宋_GB2312"/>
          <w:bCs/>
          <w:kern w:val="0"/>
          <w:sz w:val="32"/>
          <w:szCs w:val="32"/>
        </w:rPr>
        <w:t>组织对2020年度一般公共预算项目支出全面开展绩效自评。其中，一级项目</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个，二级项目</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个</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 xml:space="preserve"> </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十</w:t>
      </w:r>
      <w:r>
        <w:rPr>
          <w:rFonts w:hint="eastAsia" w:ascii="仿宋_GB2312" w:eastAsia="仿宋_GB2312" w:cs="仿宋_GB2312"/>
          <w:b/>
          <w:kern w:val="0"/>
          <w:sz w:val="32"/>
          <w:szCs w:val="32"/>
          <w:lang w:eastAsia="zh-CN"/>
        </w:rPr>
        <w:t>一</w:t>
      </w:r>
      <w:r>
        <w:rPr>
          <w:rFonts w:hint="eastAsia" w:ascii="仿宋_GB2312" w:eastAsia="仿宋_GB2312" w:cs="仿宋_GB2312"/>
          <w:b/>
          <w:kern w:val="0"/>
          <w:sz w:val="32"/>
          <w:szCs w:val="32"/>
        </w:rPr>
        <w:t>、其他重要事项的情况</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（一）机关运行经费支出情况。2020年度部门机关运行经费支出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2019年</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（二）政府采购支出情况。2020年度部门政府采购支出总额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（三）国有资产占用情况。截至年末部门共有车辆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事业收入：指事业单位开展专业活动用辅助活动所取得的收入。如：......</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经营收入：指事业单位在专业业务活动及辅助活动之外开展非独立核算经营活动取得的收入。</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其他收入：指除上述“财政拨款收入”、“事业收入”、“经营收入”等以外的收入。主要是：......</w:t>
      </w:r>
    </w:p>
    <w:p>
      <w:pPr>
        <w:numPr>
          <w:ilvl w:val="0"/>
          <w:numId w:val="2"/>
        </w:numPr>
        <w:spacing w:line="580" w:lineRule="exact"/>
        <w:ind w:firstLine="645"/>
        <w:rPr>
          <w:rFonts w:ascii="仿宋_GB2312" w:eastAsia="仿宋_GB2312"/>
          <w:bCs/>
          <w:sz w:val="32"/>
          <w:szCs w:val="32"/>
        </w:rPr>
      </w:pPr>
      <w:r>
        <w:rPr>
          <w:rFonts w:hint="eastAsia" w:ascii="仿宋_GB2312" w:eastAsia="仿宋_GB2312"/>
          <w:sz w:val="32"/>
          <w:szCs w:val="32"/>
        </w:rPr>
        <w:t>使用非财政拨款结余</w:t>
      </w:r>
      <w:r>
        <w:rPr>
          <w:rFonts w:hint="eastAsia" w:ascii="仿宋_GB2312" w:eastAsia="仿宋_GB2312"/>
          <w:bCs/>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p>
    <w:p/>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MingLiU">
    <w:panose1 w:val="02020509000000000000"/>
    <w:charset w:val="88"/>
    <w:family w:val="modern"/>
    <w:pitch w:val="default"/>
    <w:sig w:usb0="A00002FF" w:usb1="28CFFCFA" w:usb2="00000016" w:usb3="00000000" w:csb0="001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80"/>
      <w:jc w:val="center"/>
      <w:rPr>
        <w:rFonts w:ascii="宋体" w:hAnsi="宋体"/>
        <w:sz w:val="24"/>
        <w:szCs w:val="24"/>
      </w:rPr>
    </w:pPr>
    <w:r>
      <w:rPr>
        <w:rFonts w:hint="eastAsia"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5</w:t>
    </w:r>
    <w:r>
      <w:rPr>
        <w:rFonts w:ascii="宋体" w:hAnsi="宋体"/>
        <w:sz w:val="24"/>
        <w:szCs w:val="24"/>
      </w:rPr>
      <w:fldChar w:fldCharType="end"/>
    </w:r>
    <w:r>
      <w:rPr>
        <w:rFonts w:hint="eastAsia" w:ascii="宋体" w:hAnsi="宋体"/>
        <w:sz w:val="24"/>
        <w:szCs w:val="24"/>
      </w:rPr>
      <w:t xml:space="preserve"> -</w:t>
    </w:r>
  </w:p>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sz w:val="30"/>
        <w:szCs w:val="30"/>
      </w:rPr>
    </w:pPr>
    <w:r>
      <w:rPr>
        <w:sz w:val="30"/>
        <w:szCs w:val="30"/>
      </w:rPr>
      <w:fldChar w:fldCharType="begin"/>
    </w:r>
    <w:r>
      <w:rPr>
        <w:rStyle w:val="9"/>
        <w:sz w:val="30"/>
        <w:szCs w:val="30"/>
      </w:rPr>
      <w:instrText xml:space="preserve">PAGE  </w:instrText>
    </w:r>
    <w:r>
      <w:rPr>
        <w:sz w:val="30"/>
        <w:szCs w:val="30"/>
      </w:rPr>
      <w:fldChar w:fldCharType="separate"/>
    </w:r>
    <w:r>
      <w:rPr>
        <w:rStyle w:val="9"/>
        <w:sz w:val="30"/>
        <w:szCs w:val="30"/>
      </w:rPr>
      <w:t>- 13 -</w:t>
    </w:r>
    <w:r>
      <w:rPr>
        <w:sz w:val="30"/>
        <w:szCs w:val="30"/>
      </w:rPr>
      <w:fldChar w:fldCharType="end"/>
    </w: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94F"/>
    <w:multiLevelType w:val="singleLevel"/>
    <w:tmpl w:val="5B3C894F"/>
    <w:lvl w:ilvl="0" w:tentative="0">
      <w:start w:val="1"/>
      <w:numFmt w:val="chineseCounting"/>
      <w:suff w:val="nothing"/>
      <w:lvlText w:val="（%1）"/>
      <w:lvlJc w:val="left"/>
    </w:lvl>
  </w:abstractNum>
  <w:abstractNum w:abstractNumId="1">
    <w:nsid w:val="5B3C8BA7"/>
    <w:multiLevelType w:val="singleLevel"/>
    <w:tmpl w:val="5B3C8BA7"/>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256E3D"/>
    <w:rsid w:val="00066CA3"/>
    <w:rsid w:val="006C1367"/>
    <w:rsid w:val="00715385"/>
    <w:rsid w:val="00F66C5B"/>
    <w:rsid w:val="053C0CAA"/>
    <w:rsid w:val="08260A73"/>
    <w:rsid w:val="0E074DDF"/>
    <w:rsid w:val="124204B5"/>
    <w:rsid w:val="135D0AF5"/>
    <w:rsid w:val="182962AB"/>
    <w:rsid w:val="193B16F4"/>
    <w:rsid w:val="19960AD6"/>
    <w:rsid w:val="19D073EB"/>
    <w:rsid w:val="1CC31F67"/>
    <w:rsid w:val="1F7E1035"/>
    <w:rsid w:val="23760E66"/>
    <w:rsid w:val="23B26890"/>
    <w:rsid w:val="24D337DC"/>
    <w:rsid w:val="26460DBA"/>
    <w:rsid w:val="2B6F74EB"/>
    <w:rsid w:val="2C4219FE"/>
    <w:rsid w:val="332E0D5D"/>
    <w:rsid w:val="34020F86"/>
    <w:rsid w:val="340A1990"/>
    <w:rsid w:val="341714E6"/>
    <w:rsid w:val="39A63F06"/>
    <w:rsid w:val="39BA3174"/>
    <w:rsid w:val="3ED1439F"/>
    <w:rsid w:val="40293C86"/>
    <w:rsid w:val="427B634F"/>
    <w:rsid w:val="46F73D22"/>
    <w:rsid w:val="482D3698"/>
    <w:rsid w:val="48374EDC"/>
    <w:rsid w:val="49BB2131"/>
    <w:rsid w:val="4A9B5119"/>
    <w:rsid w:val="4C256E3D"/>
    <w:rsid w:val="4CB52F0F"/>
    <w:rsid w:val="532F1F9A"/>
    <w:rsid w:val="5E995A3E"/>
    <w:rsid w:val="619B03EA"/>
    <w:rsid w:val="62163194"/>
    <w:rsid w:val="624D024D"/>
    <w:rsid w:val="63F40B74"/>
    <w:rsid w:val="650E086A"/>
    <w:rsid w:val="6B5F6B9E"/>
    <w:rsid w:val="6BAA0708"/>
    <w:rsid w:val="6C3B6918"/>
    <w:rsid w:val="70A71C90"/>
    <w:rsid w:val="70D016D0"/>
    <w:rsid w:val="75533083"/>
    <w:rsid w:val="7B7A7DA1"/>
    <w:rsid w:val="7C305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qFormat/>
    <w:uiPriority w:val="0"/>
  </w:style>
  <w:style w:type="character" w:customStyle="1" w:styleId="10">
    <w:name w:val="批注框文本 Char"/>
    <w:basedOn w:val="7"/>
    <w:link w:val="2"/>
    <w:qFormat/>
    <w:uiPriority w:val="0"/>
    <w:rPr>
      <w:kern w:val="2"/>
      <w:sz w:val="18"/>
      <w:szCs w:val="18"/>
    </w:rPr>
  </w:style>
  <w:style w:type="character" w:customStyle="1" w:styleId="11">
    <w:name w:val="font11"/>
    <w:basedOn w:val="7"/>
    <w:qFormat/>
    <w:uiPriority w:val="0"/>
    <w:rPr>
      <w:rFonts w:hint="eastAsia" w:ascii="宋体" w:hAnsi="宋体" w:eastAsia="宋体" w:cs="宋体"/>
      <w:color w:val="000000"/>
      <w:sz w:val="22"/>
      <w:szCs w:val="22"/>
      <w:u w:val="none"/>
    </w:rPr>
  </w:style>
  <w:style w:type="character" w:customStyle="1" w:styleId="12">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1277</Words>
  <Characters>7280</Characters>
  <Lines>60</Lines>
  <Paragraphs>17</Paragraphs>
  <TotalTime>0</TotalTime>
  <ScaleCrop>false</ScaleCrop>
  <LinksUpToDate>false</LinksUpToDate>
  <CharactersWithSpaces>8540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tantan</cp:lastModifiedBy>
  <cp:lastPrinted>2021-07-07T01:10:00Z</cp:lastPrinted>
  <dcterms:modified xsi:type="dcterms:W3CDTF">2021-08-13T01:10:59Z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708A9AF4C3844439A4708BB08B109983</vt:lpwstr>
  </property>
</Properties>
</file>