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hAnsi="黑体" w:eastAsia="黑体"/>
          <w:bCs/>
          <w:color w:val="auto"/>
          <w:sz w:val="52"/>
          <w:szCs w:val="52"/>
          <w:u w:val="none"/>
          <w:lang w:eastAsia="zh-CN"/>
        </w:rPr>
      </w:pPr>
      <w:r>
        <w:rPr>
          <w:rFonts w:hint="eastAsia" w:ascii="黑体" w:eastAsia="黑体" w:cs="ArialUnicodeMS"/>
          <w:color w:val="auto"/>
          <w:kern w:val="0"/>
          <w:sz w:val="52"/>
          <w:szCs w:val="52"/>
          <w:u w:val="none"/>
        </w:rPr>
        <w:t>柳州市</w:t>
      </w:r>
      <w:r>
        <w:rPr>
          <w:rFonts w:hint="eastAsia" w:ascii="黑体" w:hAnsi="黑体" w:eastAsia="黑体"/>
          <w:bCs/>
          <w:color w:val="auto"/>
          <w:sz w:val="52"/>
          <w:szCs w:val="52"/>
          <w:u w:val="none"/>
          <w:lang w:eastAsia="zh-CN"/>
        </w:rPr>
        <w:t>国土空间整治中心</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概况</w:t>
      </w:r>
    </w:p>
    <w:p>
      <w:pPr>
        <w:numPr>
          <w:ilvl w:val="0"/>
          <w:numId w:val="1"/>
        </w:numPr>
        <w:ind w:firstLine="645"/>
        <w:rPr>
          <w:rFonts w:hint="eastAsia" w:ascii="仿宋_GB2312" w:eastAsia="仿宋_GB2312"/>
          <w:color w:val="auto"/>
          <w:sz w:val="32"/>
          <w:szCs w:val="32"/>
        </w:rPr>
      </w:pPr>
      <w:r>
        <w:rPr>
          <w:rFonts w:hint="eastAsia" w:ascii="仿宋_GB2312" w:eastAsia="仿宋_GB2312"/>
          <w:color w:val="auto"/>
          <w:sz w:val="32"/>
          <w:szCs w:val="32"/>
        </w:rPr>
        <w:t>主要职能</w:t>
      </w:r>
    </w:p>
    <w:p>
      <w:pPr>
        <w:numPr>
          <w:ilvl w:val="0"/>
          <w:numId w:val="1"/>
        </w:numPr>
        <w:ind w:firstLine="645"/>
        <w:rPr>
          <w:rFonts w:hint="eastAsia" w:ascii="仿宋_GB2312" w:eastAsia="仿宋_GB2312"/>
          <w:color w:val="auto"/>
          <w:sz w:val="32"/>
          <w:szCs w:val="32"/>
        </w:rPr>
      </w:pPr>
      <w:r>
        <w:rPr>
          <w:rFonts w:hint="eastAsia" w:ascii="仿宋_GB2312" w:eastAsia="仿宋_GB2312"/>
          <w:color w:val="auto"/>
          <w:sz w:val="32"/>
          <w:szCs w:val="32"/>
        </w:rPr>
        <w:t>单位决算构成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2020年部门决算报表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sz w:val="32"/>
          <w:szCs w:val="32"/>
        </w:rPr>
      </w:pPr>
      <w:r>
        <w:rPr>
          <w:rFonts w:hint="eastAsia" w:ascii="仿宋_GB2312" w:eastAsia="仿宋_GB2312"/>
          <w:color w:val="auto"/>
          <w:sz w:val="32"/>
          <w:szCs w:val="32"/>
        </w:rPr>
        <w:t>表七：一般公共预算财政拨款安排的“</w:t>
      </w:r>
      <w:r>
        <w:rPr>
          <w:rFonts w:ascii="仿宋_GB2312" w:eastAsia="仿宋_GB2312"/>
          <w:color w:val="auto"/>
          <w:sz w:val="32"/>
          <w:szCs w:val="32"/>
        </w:rPr>
        <w:t>三公</w:t>
      </w:r>
      <w:r>
        <w:rPr>
          <w:rFonts w:hint="eastAsia" w:ascii="仿宋_GB2312" w:eastAsia="仿宋_GB2312"/>
          <w:color w:val="auto"/>
          <w:sz w:val="32"/>
          <w:szCs w:val="32"/>
        </w:rPr>
        <w:t>”</w:t>
      </w:r>
      <w:r>
        <w:rPr>
          <w:rFonts w:ascii="仿宋_GB2312" w:eastAsia="仿宋_GB2312"/>
          <w:color w:val="auto"/>
          <w:sz w:val="32"/>
          <w:szCs w:val="32"/>
        </w:rPr>
        <w:t>经费</w:t>
      </w:r>
      <w:r>
        <w:rPr>
          <w:rFonts w:hint="eastAsia" w:ascii="仿宋_GB2312" w:eastAsia="仿宋_GB2312"/>
          <w:color w:val="auto"/>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表九：国有资本经营预算财政拨款支出决算表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2020年度部门决算情况说明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年度政府性基金预算财政拨款收入支出决算情况</w:t>
      </w:r>
    </w:p>
    <w:p>
      <w:pPr>
        <w:ind w:left="645"/>
        <w:rPr>
          <w:rFonts w:hint="eastAsia" w:eastAsia="仿宋_GB2312"/>
          <w:color w:val="auto"/>
          <w:kern w:val="0"/>
          <w:sz w:val="32"/>
          <w:szCs w:val="32"/>
        </w:rPr>
      </w:pPr>
      <w:r>
        <w:rPr>
          <w:rFonts w:hint="eastAsia" w:ascii="仿宋_GB2312" w:eastAsia="仿宋_GB2312" w:cs="仿宋_GB2312"/>
          <w:bCs/>
          <w:color w:val="auto"/>
          <w:kern w:val="0"/>
          <w:sz w:val="32"/>
          <w:szCs w:val="32"/>
        </w:rPr>
        <w:t>九、</w:t>
      </w:r>
      <w:r>
        <w:rPr>
          <w:rFonts w:hint="eastAsia" w:eastAsia="仿宋_GB2312"/>
          <w:color w:val="auto"/>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十、</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w:t>
      </w:r>
      <w:r>
        <w:rPr>
          <w:rFonts w:hint="eastAsia" w:ascii="仿宋_GB2312" w:eastAsia="仿宋_GB2312" w:cs="仿宋_GB2312"/>
          <w:bCs/>
          <w:color w:val="auto"/>
          <w:kern w:val="0"/>
          <w:sz w:val="32"/>
          <w:szCs w:val="32"/>
          <w:lang w:eastAsia="zh-CN"/>
        </w:rPr>
        <w:t>一</w:t>
      </w:r>
      <w:r>
        <w:rPr>
          <w:rFonts w:hint="eastAsia" w:ascii="仿宋_GB2312" w:eastAsia="仿宋_GB2312" w:cs="仿宋_GB2312"/>
          <w:bCs/>
          <w:color w:val="auto"/>
          <w:kern w:val="0"/>
          <w:sz w:val="32"/>
          <w:szCs w:val="32"/>
        </w:rPr>
        <w:t>、其他重要事项的情况说明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ind w:firstLine="646"/>
        <w:rPr>
          <w:rFonts w:hint="eastAsia" w:ascii="仿宋_GB2312" w:eastAsia="仿宋_GB2312"/>
          <w:color w:val="auto"/>
          <w:sz w:val="32"/>
          <w:szCs w:val="32"/>
        </w:rPr>
      </w:pPr>
      <w:r>
        <w:rPr>
          <w:rFonts w:hint="eastAsia" w:ascii="仿宋_GB2312" w:eastAsia="仿宋_GB2312"/>
          <w:color w:val="auto"/>
          <w:sz w:val="32"/>
          <w:szCs w:val="32"/>
        </w:rPr>
        <w:t>（一）根据柳州市土地利用总体规划和土地开发整理规划，开展土地开发整理复垦调研和后备资源调查，参与编制全市土地开发整理专项规划，建立土地开发整理项目库存和耕地储备库存；在全市范围内选择和运作土地开发整理复垦项目，负责对项目的规划设计及项目的论证、申报、实施、监督、检查、管护等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（二）协助市自然资源和规划局依照有关规定对全市土地开发整理复垦项目进行立项审批、验收；依法筹集、使用土地开发整理复垦项目的专项资金，建立资金使用的良性循环机制，保障资金的保值、增值。</w:t>
      </w:r>
    </w:p>
    <w:p>
      <w:pPr>
        <w:ind w:firstLine="646"/>
        <w:rPr>
          <w:rFonts w:hint="eastAsia" w:ascii="仿宋_GB2312" w:eastAsia="仿宋_GB2312"/>
          <w:color w:val="auto"/>
          <w:sz w:val="32"/>
          <w:szCs w:val="32"/>
        </w:rPr>
      </w:pPr>
      <w:r>
        <w:rPr>
          <w:rFonts w:hint="eastAsia" w:ascii="仿宋_GB2312" w:eastAsia="仿宋_GB2312"/>
          <w:color w:val="auto"/>
          <w:sz w:val="32"/>
          <w:szCs w:val="32"/>
        </w:rPr>
        <w:t>（三）参与拟订有关政策法规、技术规程、管理办法，以及对全市建设项目用地报批的会审；指导各县、城区的土地开发整理复垦工作。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二、单位决算构成</w:t>
      </w:r>
    </w:p>
    <w:p>
      <w:pPr>
        <w:ind w:firstLine="646"/>
        <w:rPr>
          <w:rFonts w:hint="eastAsia" w:ascii="仿宋_GB2312" w:eastAsia="仿宋_GB2312"/>
          <w:color w:val="auto"/>
          <w:sz w:val="32"/>
          <w:szCs w:val="32"/>
        </w:rPr>
      </w:pPr>
      <w:r>
        <w:rPr>
          <w:rFonts w:hint="eastAsia" w:ascii="仿宋_GB2312" w:eastAsia="仿宋_GB2312"/>
          <w:color w:val="auto"/>
          <w:sz w:val="32"/>
          <w:szCs w:val="32"/>
        </w:rPr>
        <w:t>    本单位决算为柳州市</w:t>
      </w:r>
      <w:r>
        <w:rPr>
          <w:rFonts w:hint="eastAsia" w:ascii="仿宋_GB2312" w:eastAsia="仿宋_GB2312"/>
          <w:color w:val="auto"/>
          <w:sz w:val="32"/>
          <w:szCs w:val="32"/>
          <w:lang w:eastAsia="zh-CN"/>
        </w:rPr>
        <w:t>国土空间整治中心</w:t>
      </w:r>
      <w:r>
        <w:rPr>
          <w:rFonts w:hint="eastAsia" w:ascii="仿宋_GB2312" w:eastAsia="仿宋_GB2312"/>
          <w:color w:val="auto"/>
          <w:sz w:val="32"/>
          <w:szCs w:val="32"/>
        </w:rPr>
        <w:t>。</w:t>
      </w:r>
    </w:p>
    <w:p>
      <w:pPr>
        <w:ind w:firstLine="646"/>
        <w:rPr>
          <w:rFonts w:hint="eastAsia" w:ascii="仿宋_GB2312" w:eastAsia="仿宋_GB2312"/>
          <w:color w:val="auto"/>
          <w:sz w:val="32"/>
          <w:szCs w:val="32"/>
        </w:rPr>
      </w:pPr>
    </w:p>
    <w:p>
      <w:pPr>
        <w:jc w:val="center"/>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 xml:space="preserve"> 2020年部门决算报表</w:t>
      </w:r>
    </w:p>
    <w:p>
      <w:pPr>
        <w:ind w:firstLine="640" w:firstLineChars="200"/>
        <w:rPr>
          <w:rFonts w:ascii="仿宋_GB2312" w:hAnsi="宋体" w:eastAsia="仿宋_GB2312" w:cs="仿宋_GB2312"/>
          <w:color w:val="auto"/>
          <w:sz w:val="32"/>
          <w:szCs w:val="32"/>
          <w:shd w:val="clear" w:color="auto" w:fill="FFFFFF"/>
        </w:rPr>
      </w:pPr>
      <w:r>
        <w:rPr>
          <w:rFonts w:ascii="仿宋_GB2312" w:hAnsi="宋体" w:eastAsia="仿宋_GB2312" w:cs="仿宋_GB2312"/>
          <w:color w:val="auto"/>
          <w:sz w:val="32"/>
          <w:szCs w:val="32"/>
          <w:shd w:val="clear" w:color="auto" w:fill="FFFFFF"/>
        </w:rPr>
        <w:t>详见附件</w:t>
      </w:r>
      <w:r>
        <w:rPr>
          <w:rFonts w:hint="eastAsia" w:ascii="仿宋_GB2312" w:hAnsi="宋体" w:eastAsia="仿宋_GB2312" w:cs="仿宋_GB2312"/>
          <w:color w:val="auto"/>
          <w:sz w:val="32"/>
          <w:szCs w:val="32"/>
          <w:shd w:val="clear" w:color="auto" w:fill="FFFFFF"/>
        </w:rPr>
        <w:t>1</w:t>
      </w:r>
      <w:r>
        <w:rPr>
          <w:rFonts w:ascii="仿宋_GB2312" w:hAnsi="宋体" w:eastAsia="仿宋_GB2312" w:cs="仿宋_GB2312"/>
          <w:color w:val="auto"/>
          <w:sz w:val="32"/>
          <w:szCs w:val="32"/>
          <w:shd w:val="clear" w:color="auto" w:fill="FFFFFF"/>
        </w:rPr>
        <w:t>：</w:t>
      </w:r>
      <w:r>
        <w:rPr>
          <w:rFonts w:hint="eastAsia" w:ascii="仿宋_GB2312" w:hAnsi="宋体" w:eastAsia="仿宋_GB2312" w:cs="仿宋_GB2312"/>
          <w:color w:val="auto"/>
          <w:sz w:val="32"/>
          <w:szCs w:val="32"/>
          <w:shd w:val="clear" w:color="auto" w:fill="FFFFFF"/>
        </w:rPr>
        <w:t>柳州市国土空间整治中心</w:t>
      </w:r>
      <w:r>
        <w:rPr>
          <w:rFonts w:ascii="仿宋_GB2312" w:hAnsi="宋体" w:eastAsia="仿宋_GB2312" w:cs="仿宋_GB2312"/>
          <w:color w:val="auto"/>
          <w:sz w:val="32"/>
          <w:szCs w:val="32"/>
        </w:rPr>
        <w:t>20</w:t>
      </w:r>
      <w:r>
        <w:rPr>
          <w:rFonts w:hint="eastAsia" w:ascii="仿宋_GB2312" w:hAnsi="宋体" w:eastAsia="仿宋_GB2312" w:cs="仿宋_GB2312"/>
          <w:color w:val="auto"/>
          <w:sz w:val="32"/>
          <w:szCs w:val="32"/>
        </w:rPr>
        <w:t>20</w:t>
      </w:r>
      <w:r>
        <w:rPr>
          <w:rFonts w:ascii="仿宋_GB2312" w:hAnsi="宋体" w:eastAsia="仿宋_GB2312" w:cs="仿宋_GB2312"/>
          <w:color w:val="auto"/>
          <w:sz w:val="32"/>
          <w:szCs w:val="32"/>
        </w:rPr>
        <w:t>年</w:t>
      </w:r>
      <w:r>
        <w:rPr>
          <w:rFonts w:ascii="仿宋_GB2312" w:hAnsi="宋体" w:eastAsia="仿宋_GB2312" w:cs="仿宋_GB2312"/>
          <w:color w:val="auto"/>
          <w:sz w:val="32"/>
          <w:szCs w:val="32"/>
          <w:shd w:val="clear" w:color="auto" w:fill="FFFFFF"/>
        </w:rPr>
        <w:t>部门决算公开表</w:t>
      </w:r>
    </w:p>
    <w:p>
      <w:pPr>
        <w:rPr>
          <w:rFonts w:ascii="仿宋_GB2312" w:hAnsi="宋体" w:eastAsia="仿宋_GB2312" w:cs="仿宋_GB2312"/>
          <w:color w:val="auto"/>
          <w:sz w:val="32"/>
          <w:szCs w:val="32"/>
          <w:shd w:val="clear" w:color="auto" w:fill="FFFFFF"/>
        </w:rPr>
      </w:pP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 xml:space="preserve"> 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keepNext w:val="0"/>
        <w:keepLines w:val="0"/>
        <w:pageBreakBefore w:val="0"/>
        <w:kinsoku/>
        <w:wordWrap/>
        <w:overflowPunct/>
        <w:topLinePunct w:val="0"/>
        <w:bidi w:val="0"/>
        <w:snapToGrid w:val="0"/>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683.47</w:t>
      </w:r>
      <w:r>
        <w:rPr>
          <w:rFonts w:hint="eastAsia" w:ascii="仿宋_GB2312" w:eastAsia="仿宋_GB2312" w:cs="仿宋_GB2312"/>
          <w:bCs/>
          <w:color w:val="auto"/>
          <w:kern w:val="0"/>
          <w:sz w:val="32"/>
          <w:szCs w:val="32"/>
        </w:rPr>
        <w:t>万元，与2019年相比，收入</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392.27</w:t>
      </w:r>
      <w:r>
        <w:rPr>
          <w:rFonts w:hint="eastAsia" w:ascii="仿宋_GB2312" w:hAnsi="仿宋_GB2312" w:eastAsia="仿宋_GB2312" w:cs="仿宋_GB2312"/>
          <w:color w:val="auto"/>
          <w:sz w:val="32"/>
          <w:szCs w:val="32"/>
        </w:rPr>
        <w:t>万元，</w:t>
      </w:r>
      <w:r>
        <w:rPr>
          <w:rFonts w:hint="eastAsia" w:ascii="仿宋_GB2312" w:eastAsia="仿宋_GB2312" w:cs="仿宋_GB2312"/>
          <w:bCs/>
          <w:color w:val="auto"/>
          <w:kern w:val="0"/>
          <w:sz w:val="32"/>
          <w:szCs w:val="32"/>
        </w:rPr>
        <w:t>增长</w:t>
      </w:r>
      <w:r>
        <w:rPr>
          <w:rFonts w:hint="eastAsia" w:ascii="仿宋_GB2312" w:hAnsi="仿宋_GB2312" w:eastAsia="仿宋_GB2312" w:cs="仿宋_GB2312"/>
          <w:color w:val="auto"/>
          <w:sz w:val="32"/>
          <w:szCs w:val="32"/>
          <w:lang w:val="en-US" w:eastAsia="zh-CN"/>
        </w:rPr>
        <w:t>134.81</w:t>
      </w:r>
      <w:r>
        <w:rPr>
          <w:rFonts w:hint="eastAsia" w:ascii="仿宋_GB2312" w:hAnsi="仿宋_GB2312" w:eastAsia="仿宋_GB2312" w:cs="仿宋_GB2312"/>
          <w:color w:val="auto"/>
          <w:sz w:val="32"/>
          <w:szCs w:val="32"/>
        </w:rPr>
        <w:t>%</w:t>
      </w:r>
      <w:r>
        <w:rPr>
          <w:rFonts w:hint="eastAsia" w:ascii="仿宋_GB2312" w:eastAsia="仿宋_GB2312" w:cs="仿宋_GB2312"/>
          <w:bCs/>
          <w:color w:val="auto"/>
          <w:kern w:val="0"/>
          <w:sz w:val="32"/>
          <w:szCs w:val="32"/>
        </w:rPr>
        <w:t>；支出</w:t>
      </w:r>
      <w:r>
        <w:rPr>
          <w:rFonts w:hint="eastAsia" w:ascii="仿宋_GB2312" w:hAnsi="仿宋_GB2312" w:eastAsia="仿宋_GB2312" w:cs="仿宋_GB2312"/>
          <w:color w:val="auto"/>
          <w:sz w:val="32"/>
          <w:szCs w:val="32"/>
          <w:lang w:eastAsia="zh-CN"/>
        </w:rPr>
        <w:t>增加了</w:t>
      </w:r>
      <w:r>
        <w:rPr>
          <w:rFonts w:hint="eastAsia" w:ascii="仿宋_GB2312" w:hAnsi="仿宋_GB2312" w:eastAsia="仿宋_GB2312" w:cs="仿宋_GB2312"/>
          <w:color w:val="auto"/>
          <w:sz w:val="32"/>
          <w:szCs w:val="32"/>
          <w:lang w:val="en-US" w:eastAsia="zh-CN"/>
        </w:rPr>
        <w:t>366.88</w:t>
      </w:r>
      <w:r>
        <w:rPr>
          <w:rFonts w:hint="eastAsia" w:ascii="仿宋_GB2312" w:hAnsi="仿宋_GB2312" w:eastAsia="仿宋_GB2312" w:cs="仿宋_GB2312"/>
          <w:color w:val="auto"/>
          <w:sz w:val="32"/>
          <w:szCs w:val="32"/>
        </w:rPr>
        <w:t>万元，增</w:t>
      </w:r>
      <w:r>
        <w:rPr>
          <w:rFonts w:hint="eastAsia" w:ascii="仿宋_GB2312" w:hAnsi="仿宋_GB2312" w:eastAsia="仿宋_GB2312" w:cs="仿宋_GB2312"/>
          <w:color w:val="auto"/>
          <w:sz w:val="32"/>
          <w:szCs w:val="32"/>
          <w:lang w:eastAsia="zh-CN"/>
        </w:rPr>
        <w:t>长</w:t>
      </w:r>
      <w:r>
        <w:rPr>
          <w:rFonts w:hint="eastAsia" w:ascii="仿宋_GB2312" w:hAnsi="仿宋_GB2312" w:eastAsia="仿宋_GB2312" w:cs="仿宋_GB2312"/>
          <w:color w:val="auto"/>
          <w:sz w:val="32"/>
          <w:szCs w:val="32"/>
          <w:lang w:val="en-US" w:eastAsia="zh-CN"/>
        </w:rPr>
        <w:t>115.88</w:t>
      </w:r>
      <w:r>
        <w:rPr>
          <w:rFonts w:hint="eastAsia" w:ascii="仿宋_GB2312" w:hAnsi="仿宋_GB2312" w:eastAsia="仿宋_GB2312" w:cs="仿宋_GB2312"/>
          <w:color w:val="auto"/>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 ，其中：一般公共预算财政拨款收入</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万元；占比</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本年支出合计 </w:t>
      </w:r>
      <w:r>
        <w:rPr>
          <w:rFonts w:hint="eastAsia" w:ascii="仿宋_GB2312" w:eastAsia="仿宋_GB2312" w:cs="仿宋_GB2312"/>
          <w:bCs/>
          <w:color w:val="auto"/>
          <w:kern w:val="0"/>
          <w:sz w:val="32"/>
          <w:szCs w:val="32"/>
          <w:lang w:val="en-US" w:eastAsia="zh-CN"/>
        </w:rPr>
        <w:t>683.47</w:t>
      </w:r>
      <w:r>
        <w:rPr>
          <w:rFonts w:hint="eastAsia" w:ascii="仿宋_GB2312" w:eastAsia="仿宋_GB2312" w:cs="仿宋_GB2312"/>
          <w:bCs/>
          <w:color w:val="auto"/>
          <w:kern w:val="0"/>
          <w:sz w:val="32"/>
          <w:szCs w:val="32"/>
        </w:rPr>
        <w:t xml:space="preserve"> 万元，其中：基本支出 </w:t>
      </w:r>
      <w:r>
        <w:rPr>
          <w:rFonts w:hint="eastAsia" w:ascii="仿宋_GB2312" w:eastAsia="仿宋_GB2312" w:cs="仿宋_GB2312"/>
          <w:bCs/>
          <w:color w:val="auto"/>
          <w:kern w:val="0"/>
          <w:sz w:val="32"/>
          <w:szCs w:val="32"/>
          <w:lang w:val="en-US" w:eastAsia="zh-CN"/>
        </w:rPr>
        <w:t>381.67</w:t>
      </w:r>
      <w:r>
        <w:rPr>
          <w:rFonts w:hint="eastAsia" w:ascii="仿宋_GB2312" w:eastAsia="仿宋_GB2312" w:cs="仿宋_GB2312"/>
          <w:bCs/>
          <w:color w:val="auto"/>
          <w:kern w:val="0"/>
          <w:sz w:val="32"/>
          <w:szCs w:val="32"/>
        </w:rPr>
        <w:t xml:space="preserve">万元，占 </w:t>
      </w:r>
      <w:r>
        <w:rPr>
          <w:rFonts w:hint="eastAsia" w:ascii="仿宋_GB2312" w:eastAsia="仿宋_GB2312" w:cs="仿宋_GB2312"/>
          <w:bCs/>
          <w:color w:val="auto"/>
          <w:kern w:val="0"/>
          <w:sz w:val="32"/>
          <w:szCs w:val="32"/>
          <w:lang w:val="en-US" w:eastAsia="zh-CN"/>
        </w:rPr>
        <w:t>55.83</w:t>
      </w:r>
      <w:r>
        <w:rPr>
          <w:rFonts w:hint="eastAsia" w:ascii="仿宋_GB2312" w:eastAsia="仿宋_GB2312" w:cs="仿宋_GB2312"/>
          <w:bCs/>
          <w:color w:val="auto"/>
          <w:kern w:val="0"/>
          <w:sz w:val="32"/>
          <w:szCs w:val="32"/>
        </w:rPr>
        <w:t>%；项目支出</w:t>
      </w:r>
      <w:r>
        <w:rPr>
          <w:rFonts w:hint="eastAsia" w:ascii="仿宋_GB2312" w:eastAsia="仿宋_GB2312" w:cs="仿宋_GB2312"/>
          <w:bCs/>
          <w:color w:val="auto"/>
          <w:kern w:val="0"/>
          <w:sz w:val="32"/>
          <w:szCs w:val="32"/>
          <w:lang w:val="en-US" w:eastAsia="zh-CN"/>
        </w:rPr>
        <w:t>301.80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44.17</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本部门 2020年度财政拨款收、支总决算 </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万元。与2019年相比，收入</w:t>
      </w:r>
      <w:r>
        <w:rPr>
          <w:rFonts w:hint="eastAsia" w:ascii="仿宋_GB2312" w:hAnsi="仿宋_GB2312" w:eastAsia="仿宋_GB2312" w:cs="仿宋_GB2312"/>
          <w:color w:val="auto"/>
          <w:sz w:val="32"/>
          <w:szCs w:val="32"/>
          <w:lang w:eastAsia="zh-CN"/>
        </w:rPr>
        <w:t>增加了</w:t>
      </w:r>
      <w:r>
        <w:rPr>
          <w:rFonts w:hint="eastAsia" w:ascii="仿宋_GB2312" w:hAnsi="仿宋_GB2312" w:eastAsia="仿宋_GB2312" w:cs="仿宋_GB2312"/>
          <w:color w:val="auto"/>
          <w:sz w:val="32"/>
          <w:szCs w:val="32"/>
          <w:lang w:val="en-US" w:eastAsia="zh-CN"/>
        </w:rPr>
        <w:t>411.54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151.47</w:t>
      </w:r>
      <w:r>
        <w:rPr>
          <w:rFonts w:hint="eastAsia" w:ascii="仿宋_GB2312" w:hAnsi="仿宋_GB2312" w:eastAsia="仿宋_GB2312" w:cs="仿宋_GB2312"/>
          <w:color w:val="auto"/>
          <w:sz w:val="32"/>
          <w:szCs w:val="32"/>
        </w:rPr>
        <w:t>%</w:t>
      </w:r>
      <w:r>
        <w:rPr>
          <w:rFonts w:hint="eastAsia" w:ascii="仿宋_GB2312" w:eastAsia="仿宋_GB2312" w:cs="仿宋_GB2312"/>
          <w:bCs/>
          <w:color w:val="auto"/>
          <w:kern w:val="0"/>
          <w:sz w:val="32"/>
          <w:szCs w:val="32"/>
        </w:rPr>
        <w:t>；支出增加</w:t>
      </w:r>
      <w:r>
        <w:rPr>
          <w:rFonts w:hint="eastAsia" w:ascii="仿宋_GB2312" w:eastAsia="仿宋_GB2312" w:cs="仿宋_GB2312"/>
          <w:bCs/>
          <w:color w:val="auto"/>
          <w:kern w:val="0"/>
          <w:sz w:val="32"/>
          <w:szCs w:val="32"/>
          <w:lang w:val="en-US" w:eastAsia="zh-CN"/>
        </w:rPr>
        <w:t>371.03</w:t>
      </w:r>
      <w:r>
        <w:rPr>
          <w:rFonts w:hint="eastAsia" w:ascii="仿宋_GB2312" w:eastAsia="仿宋_GB2312" w:cs="仿宋_GB2312"/>
          <w:bCs/>
          <w:color w:val="auto"/>
          <w:kern w:val="0"/>
          <w:sz w:val="32"/>
          <w:szCs w:val="32"/>
        </w:rPr>
        <w:t>万元、增长</w:t>
      </w:r>
      <w:r>
        <w:rPr>
          <w:rFonts w:hint="eastAsia" w:ascii="仿宋_GB2312" w:eastAsia="仿宋_GB2312" w:cs="仿宋_GB2312"/>
          <w:bCs/>
          <w:color w:val="auto"/>
          <w:kern w:val="0"/>
          <w:sz w:val="32"/>
          <w:szCs w:val="32"/>
          <w:lang w:val="en-US" w:eastAsia="zh-CN"/>
        </w:rPr>
        <w:t>118.84</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eastAsia="仿宋_GB2312"/>
          <w:b/>
          <w:color w:val="auto"/>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部门 2020年度财政拨款支出 </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 xml:space="preserve"> 万元，占本年支出合计的 </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%。与 2019 年相比，财政拨款支出增加</w:t>
      </w:r>
      <w:r>
        <w:rPr>
          <w:rFonts w:hint="eastAsia" w:ascii="仿宋_GB2312" w:eastAsia="仿宋_GB2312" w:cs="仿宋_GB2312"/>
          <w:bCs/>
          <w:color w:val="auto"/>
          <w:kern w:val="0"/>
          <w:sz w:val="32"/>
          <w:szCs w:val="32"/>
          <w:lang w:val="en-US" w:eastAsia="zh-CN"/>
        </w:rPr>
        <w:t>371.03</w:t>
      </w:r>
      <w:r>
        <w:rPr>
          <w:rFonts w:hint="eastAsia" w:ascii="仿宋_GB2312" w:eastAsia="仿宋_GB2312" w:cs="仿宋_GB2312"/>
          <w:bCs/>
          <w:color w:val="auto"/>
          <w:kern w:val="0"/>
          <w:sz w:val="32"/>
          <w:szCs w:val="32"/>
        </w:rPr>
        <w:t>万元、增长</w:t>
      </w:r>
      <w:r>
        <w:rPr>
          <w:rFonts w:hint="eastAsia" w:ascii="仿宋_GB2312" w:eastAsia="仿宋_GB2312" w:cs="仿宋_GB2312"/>
          <w:bCs/>
          <w:color w:val="auto"/>
          <w:kern w:val="0"/>
          <w:sz w:val="32"/>
          <w:szCs w:val="32"/>
          <w:lang w:val="en-US" w:eastAsia="zh-CN"/>
        </w:rPr>
        <w:t>118.84</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2020 年度财政拨款支出</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 xml:space="preserve">万元，主要用于以下方面：自然资源海洋气象等支出 </w:t>
      </w:r>
      <w:r>
        <w:rPr>
          <w:rFonts w:hint="eastAsia" w:ascii="仿宋_GB2312" w:eastAsia="仿宋_GB2312" w:cs="仿宋_GB2312"/>
          <w:bCs/>
          <w:color w:val="auto"/>
          <w:kern w:val="0"/>
          <w:sz w:val="32"/>
          <w:szCs w:val="32"/>
          <w:lang w:val="en-US" w:eastAsia="zh-CN"/>
        </w:rPr>
        <w:t>580.62</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84.98</w:t>
      </w:r>
      <w:r>
        <w:rPr>
          <w:rFonts w:hint="eastAsia" w:ascii="仿宋_GB2312" w:eastAsia="仿宋_GB2312" w:cs="仿宋_GB2312"/>
          <w:bCs/>
          <w:color w:val="auto"/>
          <w:kern w:val="0"/>
          <w:sz w:val="32"/>
          <w:szCs w:val="32"/>
        </w:rPr>
        <w:t>%；社会保障和就业（类）支出</w:t>
      </w:r>
      <w:r>
        <w:rPr>
          <w:rFonts w:hint="eastAsia" w:ascii="仿宋_GB2312" w:eastAsia="仿宋_GB2312" w:cs="仿宋_GB2312"/>
          <w:bCs/>
          <w:color w:val="auto"/>
          <w:kern w:val="0"/>
          <w:sz w:val="32"/>
          <w:szCs w:val="32"/>
          <w:lang w:val="en-US" w:eastAsia="zh-CN"/>
        </w:rPr>
        <w:t>59.34</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8.69</w:t>
      </w:r>
      <w:r>
        <w:rPr>
          <w:rFonts w:hint="eastAsia" w:ascii="仿宋_GB2312" w:eastAsia="仿宋_GB2312" w:cs="仿宋_GB2312"/>
          <w:bCs/>
          <w:color w:val="auto"/>
          <w:kern w:val="0"/>
          <w:sz w:val="32"/>
          <w:szCs w:val="32"/>
        </w:rPr>
        <w:t>%；卫生健康支出</w:t>
      </w:r>
      <w:r>
        <w:rPr>
          <w:rFonts w:hint="eastAsia" w:ascii="仿宋_GB2312" w:eastAsia="仿宋_GB2312" w:cs="仿宋_GB2312"/>
          <w:bCs/>
          <w:color w:val="auto"/>
          <w:kern w:val="0"/>
          <w:sz w:val="32"/>
          <w:szCs w:val="32"/>
          <w:lang w:val="en-US" w:eastAsia="zh-CN"/>
        </w:rPr>
        <w:t>16.47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2.41</w:t>
      </w:r>
      <w:r>
        <w:rPr>
          <w:rFonts w:hint="eastAsia" w:ascii="仿宋_GB2312" w:eastAsia="仿宋_GB2312" w:cs="仿宋_GB2312"/>
          <w:bCs/>
          <w:color w:val="auto"/>
          <w:kern w:val="0"/>
          <w:sz w:val="32"/>
          <w:szCs w:val="32"/>
        </w:rPr>
        <w:t>%；住房保障（类）支出</w:t>
      </w:r>
      <w:r>
        <w:rPr>
          <w:rFonts w:hint="eastAsia" w:ascii="仿宋_GB2312" w:eastAsia="仿宋_GB2312" w:cs="仿宋_GB2312"/>
          <w:bCs/>
          <w:color w:val="auto"/>
          <w:kern w:val="0"/>
          <w:sz w:val="32"/>
          <w:szCs w:val="32"/>
          <w:lang w:val="en-US" w:eastAsia="zh-CN"/>
        </w:rPr>
        <w:t>26.81</w:t>
      </w:r>
      <w:r>
        <w:rPr>
          <w:rFonts w:hint="eastAsia" w:ascii="仿宋_GB2312" w:eastAsia="仿宋_GB2312" w:cs="仿宋_GB2312"/>
          <w:bCs/>
          <w:color w:val="auto"/>
          <w:kern w:val="0"/>
          <w:sz w:val="32"/>
          <w:szCs w:val="32"/>
        </w:rPr>
        <w:t xml:space="preserve">万元，占 </w:t>
      </w:r>
      <w:r>
        <w:rPr>
          <w:rFonts w:hint="eastAsia" w:ascii="仿宋_GB2312" w:eastAsia="仿宋_GB2312" w:cs="仿宋_GB2312"/>
          <w:bCs/>
          <w:color w:val="auto"/>
          <w:kern w:val="0"/>
          <w:sz w:val="32"/>
          <w:szCs w:val="32"/>
          <w:lang w:val="en-US" w:eastAsia="zh-CN"/>
        </w:rPr>
        <w:t>3.92</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 </w:t>
      </w:r>
      <w:r>
        <w:rPr>
          <w:rFonts w:hint="eastAsia" w:ascii="仿宋_GB2312" w:eastAsia="仿宋_GB2312" w:cs="仿宋_GB2312"/>
          <w:bCs/>
          <w:color w:val="auto"/>
          <w:kern w:val="0"/>
          <w:sz w:val="32"/>
          <w:szCs w:val="32"/>
          <w:lang w:val="en-US" w:eastAsia="zh-CN"/>
        </w:rPr>
        <w:t>321.31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 xml:space="preserve">万元，完成年初预算的 </w:t>
      </w:r>
      <w:r>
        <w:rPr>
          <w:rFonts w:hint="eastAsia" w:ascii="仿宋_GB2312" w:eastAsia="仿宋_GB2312" w:cs="仿宋_GB2312"/>
          <w:bCs/>
          <w:color w:val="auto"/>
          <w:kern w:val="0"/>
          <w:sz w:val="32"/>
          <w:szCs w:val="32"/>
          <w:lang w:val="en-US" w:eastAsia="zh-CN"/>
        </w:rPr>
        <w:t>212.64</w:t>
      </w:r>
      <w:r>
        <w:rPr>
          <w:rFonts w:hint="eastAsia" w:ascii="仿宋_GB2312" w:eastAsia="仿宋_GB2312" w:cs="仿宋_GB2312"/>
          <w:bCs/>
          <w:color w:val="auto"/>
          <w:kern w:val="0"/>
          <w:sz w:val="32"/>
          <w:szCs w:val="32"/>
        </w:rPr>
        <w:t>%。决算数大于预算数的主要原因：一是年中追加安排财政拨款支出预算，涉及项目有</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区自然资源厅返回柳州市征地报批用地耕地开垦费</w:t>
      </w:r>
      <w:r>
        <w:rPr>
          <w:rFonts w:hint="eastAsia" w:ascii="仿宋_GB2312" w:eastAsia="仿宋_GB2312" w:cs="仿宋_GB2312"/>
          <w:bCs/>
          <w:color w:val="auto"/>
          <w:kern w:val="0"/>
          <w:sz w:val="32"/>
          <w:szCs w:val="32"/>
          <w:lang w:eastAsia="zh-CN"/>
        </w:rPr>
        <w:t>用于本单位项目支出</w:t>
      </w:r>
      <w:r>
        <w:rPr>
          <w:rFonts w:hint="eastAsia" w:ascii="仿宋_GB2312" w:eastAsia="仿宋_GB2312" w:cs="仿宋_GB2312"/>
          <w:bCs/>
          <w:color w:val="auto"/>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社会保障和就业支出（类）行政事业单位养老支出（款）机关事业单位基本养老保险缴费支出（项）。年初预算为</w:t>
      </w:r>
      <w:r>
        <w:rPr>
          <w:rFonts w:hint="eastAsia" w:ascii="仿宋_GB2312" w:eastAsia="仿宋_GB2312" w:cs="仿宋_GB2312"/>
          <w:bCs/>
          <w:color w:val="auto"/>
          <w:kern w:val="0"/>
          <w:sz w:val="32"/>
          <w:szCs w:val="32"/>
          <w:lang w:val="en-US" w:eastAsia="zh-CN"/>
        </w:rPr>
        <w:t>30.80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43.08</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139.87</w:t>
      </w:r>
      <w:r>
        <w:rPr>
          <w:rFonts w:hint="eastAsia" w:ascii="仿宋_GB2312" w:eastAsia="仿宋_GB2312" w:cs="仿宋_GB2312"/>
          <w:bCs/>
          <w:color w:val="auto"/>
          <w:kern w:val="0"/>
          <w:sz w:val="32"/>
          <w:szCs w:val="32"/>
        </w:rPr>
        <w:t>%。决算数大于预算数的主要原因是年中安排追加职工2018-2019年绩效工资总量</w:t>
      </w:r>
      <w:r>
        <w:rPr>
          <w:rFonts w:hint="eastAsia" w:ascii="仿宋_GB2312" w:eastAsia="仿宋_GB2312" w:cs="仿宋_GB2312"/>
          <w:bCs/>
          <w:color w:val="auto"/>
          <w:kern w:val="0"/>
          <w:sz w:val="32"/>
          <w:szCs w:val="32"/>
          <w:lang w:eastAsia="zh-CN"/>
        </w:rPr>
        <w:t>补差和</w:t>
      </w:r>
      <w:r>
        <w:rPr>
          <w:rFonts w:hint="eastAsia" w:ascii="仿宋_GB2312" w:eastAsia="仿宋_GB2312" w:cs="仿宋_GB2312"/>
          <w:bCs/>
          <w:color w:val="auto"/>
          <w:kern w:val="0"/>
          <w:sz w:val="32"/>
          <w:szCs w:val="32"/>
        </w:rPr>
        <w:t>2020年非统发单位人员增人增资预算经费</w:t>
      </w:r>
      <w:r>
        <w:rPr>
          <w:rFonts w:hint="eastAsia" w:ascii="仿宋_GB2312" w:eastAsia="仿宋_GB2312" w:cs="仿宋_GB2312"/>
          <w:bCs/>
          <w:color w:val="auto"/>
          <w:kern w:val="0"/>
          <w:sz w:val="32"/>
          <w:szCs w:val="32"/>
          <w:lang w:eastAsia="zh-CN"/>
        </w:rPr>
        <w:t>相应的</w:t>
      </w:r>
      <w:r>
        <w:rPr>
          <w:rFonts w:hint="eastAsia" w:ascii="仿宋_GB2312" w:eastAsia="仿宋_GB2312" w:cs="仿宋_GB2312"/>
          <w:bCs/>
          <w:color w:val="auto"/>
          <w:kern w:val="0"/>
          <w:sz w:val="32"/>
          <w:szCs w:val="32"/>
        </w:rPr>
        <w:t>机关事业单位基本养老保险缴费支出。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2.社会保障和就业支出（类）行政事业单位养老支出（款）机关事业单位职业年金缴费支出（项）。年初预算为 </w:t>
      </w:r>
      <w:r>
        <w:rPr>
          <w:rFonts w:hint="eastAsia" w:ascii="仿宋_GB2312" w:eastAsia="仿宋_GB2312" w:cs="仿宋_GB2312"/>
          <w:bCs/>
          <w:color w:val="auto"/>
          <w:kern w:val="0"/>
          <w:sz w:val="32"/>
          <w:szCs w:val="32"/>
          <w:lang w:val="en-US" w:eastAsia="zh-CN"/>
        </w:rPr>
        <w:t>15.40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16.26</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105.58</w:t>
      </w:r>
      <w:r>
        <w:rPr>
          <w:rFonts w:hint="eastAsia" w:ascii="仿宋_GB2312" w:eastAsia="仿宋_GB2312" w:cs="仿宋_GB2312"/>
          <w:bCs/>
          <w:color w:val="auto"/>
          <w:kern w:val="0"/>
          <w:sz w:val="32"/>
          <w:szCs w:val="32"/>
        </w:rPr>
        <w:t>%。决算数大于预算数的主要原因是年中安排追加职工2018-2019年绩效工资总量</w:t>
      </w:r>
      <w:r>
        <w:rPr>
          <w:rFonts w:hint="eastAsia" w:ascii="仿宋_GB2312" w:eastAsia="仿宋_GB2312" w:cs="仿宋_GB2312"/>
          <w:bCs/>
          <w:color w:val="auto"/>
          <w:kern w:val="0"/>
          <w:sz w:val="32"/>
          <w:szCs w:val="32"/>
          <w:lang w:eastAsia="zh-CN"/>
        </w:rPr>
        <w:t>补差和</w:t>
      </w:r>
      <w:r>
        <w:rPr>
          <w:rFonts w:hint="eastAsia" w:ascii="仿宋_GB2312" w:eastAsia="仿宋_GB2312" w:cs="仿宋_GB2312"/>
          <w:bCs/>
          <w:color w:val="auto"/>
          <w:kern w:val="0"/>
          <w:sz w:val="32"/>
          <w:szCs w:val="32"/>
        </w:rPr>
        <w:t>2020年非统发单位人员增人增资预算经费</w:t>
      </w:r>
      <w:r>
        <w:rPr>
          <w:rFonts w:hint="eastAsia" w:ascii="仿宋_GB2312" w:eastAsia="仿宋_GB2312" w:cs="仿宋_GB2312"/>
          <w:bCs/>
          <w:color w:val="auto"/>
          <w:kern w:val="0"/>
          <w:sz w:val="32"/>
          <w:szCs w:val="32"/>
          <w:lang w:eastAsia="zh-CN"/>
        </w:rPr>
        <w:t>相应的</w:t>
      </w:r>
      <w:r>
        <w:rPr>
          <w:rFonts w:hint="eastAsia" w:ascii="仿宋_GB2312" w:eastAsia="仿宋_GB2312" w:cs="仿宋_GB2312"/>
          <w:bCs/>
          <w:color w:val="auto"/>
          <w:kern w:val="0"/>
          <w:sz w:val="32"/>
          <w:szCs w:val="32"/>
        </w:rPr>
        <w:t>机关事业单位职业年金缴费支出。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3.卫生健康支出（类）行政事业单位医疗（款）事业单位医疗（项）。年初预算为</w:t>
      </w:r>
      <w:r>
        <w:rPr>
          <w:rFonts w:hint="eastAsia" w:ascii="仿宋_GB2312" w:eastAsia="仿宋_GB2312" w:cs="仿宋_GB2312"/>
          <w:bCs/>
          <w:color w:val="auto"/>
          <w:kern w:val="0"/>
          <w:sz w:val="32"/>
          <w:szCs w:val="32"/>
          <w:lang w:val="en-US" w:eastAsia="zh-CN"/>
        </w:rPr>
        <w:t>14.59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16.47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112.88</w:t>
      </w:r>
      <w:r>
        <w:rPr>
          <w:rFonts w:hint="eastAsia" w:ascii="仿宋_GB2312" w:eastAsia="仿宋_GB2312" w:cs="仿宋_GB2312"/>
          <w:bCs/>
          <w:color w:val="auto"/>
          <w:kern w:val="0"/>
          <w:sz w:val="32"/>
          <w:szCs w:val="32"/>
        </w:rPr>
        <w:t>%。决算数大于预算数的主要原因是年中安排追加职工2018-2019年绩效工资总量</w:t>
      </w:r>
      <w:r>
        <w:rPr>
          <w:rFonts w:hint="eastAsia" w:ascii="仿宋_GB2312" w:eastAsia="仿宋_GB2312" w:cs="仿宋_GB2312"/>
          <w:bCs/>
          <w:color w:val="auto"/>
          <w:kern w:val="0"/>
          <w:sz w:val="32"/>
          <w:szCs w:val="32"/>
          <w:lang w:eastAsia="zh-CN"/>
        </w:rPr>
        <w:t>补差和</w:t>
      </w:r>
      <w:r>
        <w:rPr>
          <w:rFonts w:hint="eastAsia" w:ascii="仿宋_GB2312" w:eastAsia="仿宋_GB2312" w:cs="仿宋_GB2312"/>
          <w:bCs/>
          <w:color w:val="auto"/>
          <w:kern w:val="0"/>
          <w:sz w:val="32"/>
          <w:szCs w:val="32"/>
        </w:rPr>
        <w:t>2020年非统发单位人员增人增资预算经费</w:t>
      </w:r>
      <w:r>
        <w:rPr>
          <w:rFonts w:hint="eastAsia" w:ascii="仿宋_GB2312" w:eastAsia="仿宋_GB2312" w:cs="仿宋_GB2312"/>
          <w:bCs/>
          <w:color w:val="auto"/>
          <w:kern w:val="0"/>
          <w:sz w:val="32"/>
          <w:szCs w:val="32"/>
          <w:lang w:eastAsia="zh-CN"/>
        </w:rPr>
        <w:t>相应的</w:t>
      </w:r>
      <w:r>
        <w:rPr>
          <w:rFonts w:hint="eastAsia" w:ascii="仿宋_GB2312" w:eastAsia="仿宋_GB2312" w:cs="仿宋_GB2312"/>
          <w:bCs/>
          <w:color w:val="auto"/>
          <w:kern w:val="0"/>
          <w:sz w:val="32"/>
          <w:szCs w:val="32"/>
        </w:rPr>
        <w:t>事业单位医疗支出。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.住房保障支出（类）住房改革支出（款）住房公积金（项）。年初预算为</w:t>
      </w:r>
      <w:r>
        <w:rPr>
          <w:rFonts w:hint="eastAsia" w:ascii="仿宋_GB2312" w:eastAsia="仿宋_GB2312" w:cs="仿宋_GB2312"/>
          <w:bCs/>
          <w:color w:val="auto"/>
          <w:kern w:val="0"/>
          <w:sz w:val="32"/>
          <w:szCs w:val="32"/>
          <w:lang w:val="en-US" w:eastAsia="zh-CN"/>
        </w:rPr>
        <w:t>23.10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26.81</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116.06</w:t>
      </w:r>
      <w:r>
        <w:rPr>
          <w:rFonts w:hint="eastAsia" w:ascii="仿宋_GB2312" w:eastAsia="仿宋_GB2312" w:cs="仿宋_GB2312"/>
          <w:bCs/>
          <w:color w:val="auto"/>
          <w:kern w:val="0"/>
          <w:sz w:val="32"/>
          <w:szCs w:val="32"/>
        </w:rPr>
        <w:t>%。决算数大于预算数的主要原因是年中安排追加职工2018-2019年绩效工资总量</w:t>
      </w:r>
      <w:r>
        <w:rPr>
          <w:rFonts w:hint="eastAsia" w:ascii="仿宋_GB2312" w:eastAsia="仿宋_GB2312" w:cs="仿宋_GB2312"/>
          <w:bCs/>
          <w:color w:val="auto"/>
          <w:kern w:val="0"/>
          <w:sz w:val="32"/>
          <w:szCs w:val="32"/>
          <w:lang w:eastAsia="zh-CN"/>
        </w:rPr>
        <w:t>补差和</w:t>
      </w:r>
      <w:r>
        <w:rPr>
          <w:rFonts w:hint="eastAsia" w:ascii="仿宋_GB2312" w:eastAsia="仿宋_GB2312" w:cs="仿宋_GB2312"/>
          <w:bCs/>
          <w:color w:val="auto"/>
          <w:kern w:val="0"/>
          <w:sz w:val="32"/>
          <w:szCs w:val="32"/>
        </w:rPr>
        <w:t>2020年非统发单位人员增人增资预算经费</w:t>
      </w:r>
      <w:r>
        <w:rPr>
          <w:rFonts w:hint="eastAsia" w:ascii="仿宋_GB2312" w:eastAsia="仿宋_GB2312" w:cs="仿宋_GB2312"/>
          <w:bCs/>
          <w:color w:val="auto"/>
          <w:kern w:val="0"/>
          <w:sz w:val="32"/>
          <w:szCs w:val="32"/>
          <w:lang w:eastAsia="zh-CN"/>
        </w:rPr>
        <w:t>相应的</w:t>
      </w:r>
      <w:r>
        <w:rPr>
          <w:rFonts w:hint="eastAsia" w:ascii="仿宋_GB2312" w:eastAsia="仿宋_GB2312" w:cs="仿宋_GB2312"/>
          <w:bCs/>
          <w:color w:val="auto"/>
          <w:kern w:val="0"/>
          <w:sz w:val="32"/>
          <w:szCs w:val="32"/>
        </w:rPr>
        <w:t>住房公积金支出。</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自然资源海洋气象等支出（类）自然资源事务（款）行政运行（项）。年初预算为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30.06</w:t>
      </w:r>
      <w:r>
        <w:rPr>
          <w:rFonts w:hint="eastAsia" w:ascii="仿宋_GB2312" w:eastAsia="仿宋_GB2312" w:cs="仿宋_GB2312"/>
          <w:bCs/>
          <w:color w:val="auto"/>
          <w:kern w:val="0"/>
          <w:sz w:val="32"/>
          <w:szCs w:val="32"/>
        </w:rPr>
        <w:t>万元，决算数大于预算数的主要原因是机构改革，</w:t>
      </w:r>
      <w:r>
        <w:rPr>
          <w:rFonts w:hint="eastAsia" w:ascii="仿宋_GB2312" w:eastAsia="仿宋_GB2312" w:cs="仿宋_GB2312"/>
          <w:bCs/>
          <w:color w:val="auto"/>
          <w:kern w:val="0"/>
          <w:sz w:val="32"/>
          <w:szCs w:val="32"/>
          <w:lang w:eastAsia="zh-CN"/>
        </w:rPr>
        <w:t>本单位新增聘用人员控制数，市自然资源和</w:t>
      </w:r>
      <w:r>
        <w:rPr>
          <w:rFonts w:hint="eastAsia" w:ascii="仿宋_GB2312" w:eastAsia="仿宋_GB2312" w:cs="仿宋_GB2312"/>
          <w:bCs/>
          <w:color w:val="auto"/>
          <w:kern w:val="0"/>
          <w:sz w:val="32"/>
          <w:szCs w:val="32"/>
        </w:rPr>
        <w:t>规划</w:t>
      </w:r>
      <w:r>
        <w:rPr>
          <w:rFonts w:hint="eastAsia" w:ascii="仿宋_GB2312" w:eastAsia="仿宋_GB2312" w:cs="仿宋_GB2312"/>
          <w:bCs/>
          <w:color w:val="auto"/>
          <w:kern w:val="0"/>
          <w:sz w:val="32"/>
          <w:szCs w:val="32"/>
          <w:lang w:eastAsia="zh-CN"/>
        </w:rPr>
        <w:t>局</w:t>
      </w:r>
      <w:r>
        <w:rPr>
          <w:rFonts w:hint="eastAsia" w:ascii="仿宋_GB2312" w:eastAsia="仿宋_GB2312" w:cs="仿宋_GB2312"/>
          <w:bCs/>
          <w:color w:val="auto"/>
          <w:kern w:val="0"/>
          <w:sz w:val="32"/>
          <w:szCs w:val="32"/>
        </w:rPr>
        <w:t>将</w:t>
      </w:r>
      <w:r>
        <w:rPr>
          <w:rFonts w:hint="eastAsia" w:ascii="仿宋_GB2312" w:eastAsia="仿宋_GB2312" w:cs="仿宋_GB2312"/>
          <w:bCs/>
          <w:color w:val="auto"/>
          <w:kern w:val="0"/>
          <w:sz w:val="32"/>
          <w:szCs w:val="32"/>
          <w:lang w:eastAsia="zh-CN"/>
        </w:rPr>
        <w:t>部分</w:t>
      </w:r>
      <w:r>
        <w:rPr>
          <w:rFonts w:hint="eastAsia" w:ascii="仿宋_GB2312" w:eastAsia="仿宋_GB2312" w:cs="仿宋_GB2312"/>
          <w:bCs/>
          <w:color w:val="auto"/>
          <w:kern w:val="0"/>
          <w:sz w:val="32"/>
          <w:szCs w:val="32"/>
        </w:rPr>
        <w:t>聘用人员经费</w:t>
      </w:r>
      <w:r>
        <w:rPr>
          <w:rFonts w:hint="eastAsia" w:ascii="仿宋_GB2312" w:eastAsia="仿宋_GB2312" w:cs="仿宋_GB2312"/>
          <w:bCs/>
          <w:color w:val="auto"/>
          <w:kern w:val="0"/>
          <w:sz w:val="32"/>
          <w:szCs w:val="32"/>
          <w:lang w:eastAsia="zh-CN"/>
        </w:rPr>
        <w:t>下拨至本</w:t>
      </w:r>
      <w:r>
        <w:rPr>
          <w:rFonts w:hint="eastAsia" w:ascii="仿宋_GB2312" w:eastAsia="仿宋_GB2312" w:cs="仿宋_GB2312"/>
          <w:bCs/>
          <w:color w:val="auto"/>
          <w:kern w:val="0"/>
          <w:sz w:val="32"/>
          <w:szCs w:val="32"/>
        </w:rPr>
        <w:t>单位使用。</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自然资源海洋气象等支出（类）自然资源事务（款）自然资源利用与保护（项）。年初预算为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301.80</w:t>
      </w:r>
      <w:r>
        <w:rPr>
          <w:rFonts w:hint="eastAsia" w:ascii="仿宋_GB2312" w:eastAsia="仿宋_GB2312" w:cs="仿宋_GB2312"/>
          <w:bCs/>
          <w:color w:val="auto"/>
          <w:kern w:val="0"/>
          <w:sz w:val="32"/>
          <w:szCs w:val="32"/>
        </w:rPr>
        <w:t>万元，决算数大于预算数的主要原因是自治区下拨2020年回拨市县耕地开垦费预算经费主要用于</w:t>
      </w:r>
      <w:r>
        <w:rPr>
          <w:rFonts w:hint="eastAsia" w:ascii="仿宋_GB2312" w:eastAsia="仿宋_GB2312" w:cs="仿宋_GB2312"/>
          <w:bCs/>
          <w:color w:val="auto"/>
          <w:kern w:val="0"/>
          <w:sz w:val="32"/>
          <w:szCs w:val="32"/>
          <w:lang w:eastAsia="zh-CN"/>
        </w:rPr>
        <w:t>本单位</w:t>
      </w:r>
      <w:r>
        <w:rPr>
          <w:rFonts w:hint="eastAsia" w:ascii="仿宋_GB2312" w:eastAsia="仿宋_GB2312" w:cs="仿宋_GB2312"/>
          <w:bCs/>
          <w:color w:val="auto"/>
          <w:kern w:val="0"/>
          <w:sz w:val="32"/>
          <w:szCs w:val="32"/>
        </w:rPr>
        <w:t>项目支出。</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7.</w:t>
      </w:r>
      <w:r>
        <w:rPr>
          <w:rFonts w:hint="eastAsia" w:ascii="仿宋_GB2312" w:eastAsia="仿宋_GB2312" w:cs="仿宋_GB2312"/>
          <w:bCs/>
          <w:color w:val="auto"/>
          <w:kern w:val="0"/>
          <w:sz w:val="32"/>
          <w:szCs w:val="32"/>
        </w:rPr>
        <w:t>自然资源海洋气象等支出（类）自然资源事务（款）事业运行（项）。年初预算为</w:t>
      </w:r>
      <w:r>
        <w:rPr>
          <w:rFonts w:hint="eastAsia" w:ascii="仿宋_GB2312" w:eastAsia="仿宋_GB2312" w:cs="仿宋_GB2312"/>
          <w:bCs/>
          <w:color w:val="auto"/>
          <w:kern w:val="0"/>
          <w:sz w:val="32"/>
          <w:szCs w:val="32"/>
          <w:lang w:val="en-US" w:eastAsia="zh-CN"/>
        </w:rPr>
        <w:t>235.42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246.98</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104.91</w:t>
      </w:r>
      <w:r>
        <w:rPr>
          <w:rFonts w:hint="eastAsia" w:ascii="仿宋_GB2312" w:eastAsia="仿宋_GB2312" w:cs="仿宋_GB2312"/>
          <w:bCs/>
          <w:color w:val="auto"/>
          <w:kern w:val="0"/>
          <w:sz w:val="32"/>
          <w:szCs w:val="32"/>
        </w:rPr>
        <w:t>%。决算数大于预算数的主要原因是年中安排追加职工2018-2019年绩效工资总量</w:t>
      </w:r>
      <w:r>
        <w:rPr>
          <w:rFonts w:hint="eastAsia" w:ascii="仿宋_GB2312" w:eastAsia="仿宋_GB2312" w:cs="仿宋_GB2312"/>
          <w:bCs/>
          <w:color w:val="auto"/>
          <w:kern w:val="0"/>
          <w:sz w:val="32"/>
          <w:szCs w:val="32"/>
          <w:lang w:eastAsia="zh-CN"/>
        </w:rPr>
        <w:t>补差和</w:t>
      </w:r>
      <w:r>
        <w:rPr>
          <w:rFonts w:hint="eastAsia" w:ascii="仿宋_GB2312" w:eastAsia="仿宋_GB2312" w:cs="仿宋_GB2312"/>
          <w:bCs/>
          <w:color w:val="auto"/>
          <w:kern w:val="0"/>
          <w:sz w:val="32"/>
          <w:szCs w:val="32"/>
        </w:rPr>
        <w:t>2020年非统发单位人员增人增资预算经费。</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8.</w:t>
      </w:r>
      <w:r>
        <w:rPr>
          <w:rFonts w:hint="eastAsia" w:ascii="仿宋_GB2312" w:eastAsia="仿宋_GB2312" w:cs="仿宋_GB2312"/>
          <w:bCs/>
          <w:color w:val="auto"/>
          <w:kern w:val="0"/>
          <w:sz w:val="32"/>
          <w:szCs w:val="32"/>
        </w:rPr>
        <w:t>自然资源海洋气象等支出（类）自然资源事务（款）其他自然资源事务支出（项）。年初预算为</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1.79</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89.50</w:t>
      </w:r>
      <w:r>
        <w:rPr>
          <w:rFonts w:hint="eastAsia" w:ascii="仿宋_GB2312" w:eastAsia="仿宋_GB2312" w:cs="仿宋_GB2312"/>
          <w:bCs/>
          <w:color w:val="auto"/>
          <w:kern w:val="0"/>
          <w:sz w:val="32"/>
          <w:szCs w:val="32"/>
        </w:rPr>
        <w:t>%。决算数小于预算数的主要原因：</w:t>
      </w:r>
      <w:r>
        <w:rPr>
          <w:rFonts w:hint="eastAsia" w:ascii="仿宋_GB2312" w:eastAsia="仿宋_GB2312" w:cs="仿宋_GB2312"/>
          <w:bCs/>
          <w:color w:val="auto"/>
          <w:kern w:val="0"/>
          <w:sz w:val="32"/>
          <w:szCs w:val="32"/>
          <w:lang w:eastAsia="zh-CN"/>
        </w:rPr>
        <w:t>因计划购置的计算机设备单价上涨，原计算购置</w:t>
      </w:r>
      <w:r>
        <w:rPr>
          <w:rFonts w:hint="eastAsia" w:ascii="仿宋_GB2312" w:eastAsia="仿宋_GB2312" w:cs="仿宋_GB2312"/>
          <w:bCs/>
          <w:color w:val="auto"/>
          <w:kern w:val="0"/>
          <w:sz w:val="32"/>
          <w:szCs w:val="32"/>
          <w:lang w:val="en-US" w:eastAsia="zh-CN"/>
        </w:rPr>
        <w:t>4台，</w:t>
      </w:r>
      <w:r>
        <w:rPr>
          <w:rFonts w:hint="eastAsia" w:ascii="仿宋_GB2312" w:eastAsia="仿宋_GB2312" w:cs="仿宋_GB2312"/>
          <w:bCs/>
          <w:color w:val="auto"/>
          <w:kern w:val="0"/>
          <w:sz w:val="32"/>
          <w:szCs w:val="32"/>
          <w:lang w:eastAsia="zh-CN"/>
        </w:rPr>
        <w:t>实际购置</w:t>
      </w:r>
      <w:r>
        <w:rPr>
          <w:rFonts w:hint="eastAsia" w:ascii="仿宋_GB2312" w:eastAsia="仿宋_GB2312" w:cs="仿宋_GB2312"/>
          <w:bCs/>
          <w:color w:val="auto"/>
          <w:kern w:val="0"/>
          <w:sz w:val="32"/>
          <w:szCs w:val="32"/>
          <w:lang w:val="en-US" w:eastAsia="zh-CN"/>
        </w:rPr>
        <w:t>3台，所以剩余部分款项</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bCs w:val="0"/>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381.44</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人员经费</w:t>
      </w:r>
      <w:r>
        <w:rPr>
          <w:rFonts w:hint="eastAsia" w:ascii="仿宋_GB2312" w:eastAsia="仿宋_GB2312" w:cs="仿宋_GB2312"/>
          <w:bCs/>
          <w:color w:val="auto"/>
          <w:kern w:val="0"/>
          <w:sz w:val="32"/>
          <w:szCs w:val="32"/>
          <w:lang w:val="en-US" w:eastAsia="zh-CN"/>
        </w:rPr>
        <w:t>356.25</w:t>
      </w:r>
      <w:r>
        <w:rPr>
          <w:rFonts w:hint="eastAsia" w:ascii="仿宋_GB2312" w:eastAsia="仿宋_GB2312" w:cs="仿宋_GB2312"/>
          <w:bCs/>
          <w:color w:val="auto"/>
          <w:kern w:val="0"/>
          <w:sz w:val="32"/>
          <w:szCs w:val="32"/>
        </w:rPr>
        <w:t>万元，主要包括：基本工资、津贴补贴、奖金、伙食补助费、绩效工资、机关事业单位基本养老保险缴费、职业年金缴费、职工基本医疗保险缴费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其他社会保障缴费、其他工资福利支出、住房公积金</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25.19</w:t>
      </w:r>
      <w:r>
        <w:rPr>
          <w:rFonts w:hint="eastAsia" w:ascii="仿宋_GB2312" w:eastAsia="仿宋_GB2312" w:cs="仿宋_GB2312"/>
          <w:bCs/>
          <w:color w:val="auto"/>
          <w:kern w:val="0"/>
          <w:sz w:val="32"/>
          <w:szCs w:val="32"/>
        </w:rPr>
        <w:t>万元，主要包括：办公费、邮电费、差旅费、培训费、公务接待费、工会经费、福利费、公务用车运行维护费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其他商品和服务支出、办公设备购置</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Cs/>
          <w:color w:val="auto"/>
          <w:kern w:val="0"/>
          <w:sz w:val="32"/>
          <w:szCs w:val="32"/>
        </w:rPr>
      </w:pPr>
      <w:r>
        <w:rPr>
          <w:rFonts w:hint="eastAsia" w:ascii="仿宋_GB2312" w:eastAsia="仿宋_GB2312" w:cs="仿宋_GB2312"/>
          <w:b/>
          <w:bCs w:val="0"/>
          <w:color w:val="auto"/>
          <w:kern w:val="0"/>
          <w:sz w:val="32"/>
          <w:szCs w:val="32"/>
        </w:rPr>
        <w:t>七、</w:t>
      </w:r>
      <w:r>
        <w:rPr>
          <w:rFonts w:hint="eastAsia" w:ascii="仿宋_GB2312" w:eastAsia="仿宋_GB2312" w:cs="仿宋_GB2312"/>
          <w:b/>
          <w:color w:val="auto"/>
          <w:kern w:val="0"/>
          <w:sz w:val="32"/>
          <w:szCs w:val="32"/>
        </w:rPr>
        <w:t>2020 年度一般公共预算财政拨款“三公” 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2020 年度“三公”经费财政拨款支出预算为 </w:t>
      </w:r>
      <w:r>
        <w:rPr>
          <w:rFonts w:hint="eastAsia" w:ascii="仿宋_GB2312" w:eastAsia="仿宋_GB2312" w:cs="仿宋_GB2312"/>
          <w:bCs/>
          <w:color w:val="auto"/>
          <w:kern w:val="0"/>
          <w:sz w:val="32"/>
          <w:szCs w:val="32"/>
          <w:lang w:val="en-US" w:eastAsia="zh-CN"/>
        </w:rPr>
        <w:t>2.74</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1.02</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37.23</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%；公务用车购置及运行费支出决算为</w:t>
      </w:r>
      <w:r>
        <w:rPr>
          <w:rFonts w:hint="eastAsia" w:ascii="仿宋_GB2312" w:eastAsia="仿宋_GB2312" w:cs="仿宋_GB2312"/>
          <w:bCs/>
          <w:color w:val="auto"/>
          <w:kern w:val="0"/>
          <w:sz w:val="32"/>
          <w:szCs w:val="32"/>
          <w:lang w:val="en-US" w:eastAsia="zh-CN"/>
        </w:rPr>
        <w:t>0.55</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27.50</w:t>
      </w:r>
      <w:r>
        <w:rPr>
          <w:rFonts w:hint="eastAsia" w:ascii="仿宋_GB2312" w:eastAsia="仿宋_GB2312" w:cs="仿宋_GB2312"/>
          <w:bCs/>
          <w:color w:val="auto"/>
          <w:kern w:val="0"/>
          <w:sz w:val="32"/>
          <w:szCs w:val="32"/>
        </w:rPr>
        <w:t>%；公务接待费支出决算为</w:t>
      </w:r>
      <w:r>
        <w:rPr>
          <w:rFonts w:hint="eastAsia" w:ascii="仿宋_GB2312" w:eastAsia="仿宋_GB2312" w:cs="仿宋_GB2312"/>
          <w:bCs/>
          <w:color w:val="auto"/>
          <w:kern w:val="0"/>
          <w:sz w:val="32"/>
          <w:szCs w:val="32"/>
          <w:lang w:val="en-US" w:eastAsia="zh-CN"/>
        </w:rPr>
        <w:t>0.47</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63.51</w:t>
      </w:r>
      <w:r>
        <w:rPr>
          <w:rFonts w:hint="eastAsia" w:ascii="仿宋_GB2312" w:eastAsia="仿宋_GB2312" w:cs="仿宋_GB2312"/>
          <w:bCs/>
          <w:color w:val="auto"/>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2020年度“三公”经费财政拨款支出决算数比2019年减少</w:t>
      </w:r>
      <w:r>
        <w:rPr>
          <w:rFonts w:hint="eastAsia" w:ascii="仿宋_GB2312" w:eastAsia="仿宋_GB2312" w:cs="仿宋_GB2312"/>
          <w:bCs/>
          <w:color w:val="auto"/>
          <w:kern w:val="0"/>
          <w:sz w:val="32"/>
          <w:szCs w:val="32"/>
          <w:lang w:val="en-US" w:eastAsia="zh-CN"/>
        </w:rPr>
        <w:t>1.67</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62.08</w:t>
      </w:r>
      <w:r>
        <w:rPr>
          <w:rFonts w:hint="eastAsia" w:ascii="仿宋_GB2312" w:eastAsia="仿宋_GB2312" w:cs="仿宋_GB2312"/>
          <w:bCs/>
          <w:color w:val="auto"/>
          <w:kern w:val="0"/>
          <w:sz w:val="32"/>
          <w:szCs w:val="32"/>
        </w:rPr>
        <w:t>%，其中</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公务用车购置及运行费支出决算减少</w:t>
      </w:r>
      <w:r>
        <w:rPr>
          <w:rFonts w:hint="eastAsia" w:ascii="仿宋_GB2312" w:eastAsia="仿宋_GB2312" w:cs="仿宋_GB2312"/>
          <w:bCs/>
          <w:color w:val="auto"/>
          <w:kern w:val="0"/>
          <w:sz w:val="32"/>
          <w:szCs w:val="32"/>
          <w:lang w:val="en-US" w:eastAsia="zh-CN"/>
        </w:rPr>
        <w:t>1.45</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72.38</w:t>
      </w:r>
      <w:r>
        <w:rPr>
          <w:rFonts w:hint="eastAsia" w:ascii="仿宋_GB2312" w:eastAsia="仿宋_GB2312" w:cs="仿宋_GB2312"/>
          <w:bCs/>
          <w:color w:val="auto"/>
          <w:kern w:val="0"/>
          <w:sz w:val="32"/>
          <w:szCs w:val="32"/>
        </w:rPr>
        <w:t>%；公务接待费支出决算减少</w:t>
      </w:r>
      <w:r>
        <w:rPr>
          <w:rFonts w:hint="eastAsia" w:ascii="仿宋_GB2312" w:eastAsia="仿宋_GB2312" w:cs="仿宋_GB2312"/>
          <w:bCs/>
          <w:color w:val="auto"/>
          <w:kern w:val="0"/>
          <w:sz w:val="32"/>
          <w:szCs w:val="32"/>
          <w:lang w:val="en-US" w:eastAsia="zh-CN"/>
        </w:rPr>
        <w:t>0.22</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32.16</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主要原因为单位保有公务用车无法使用已申请报废等待购置新车，本年公务用车运行维护支出下降；因疫情原因公务接待人次减少，本年公务接待费支出下降。</w:t>
      </w:r>
    </w:p>
    <w:p>
      <w:pPr>
        <w:autoSpaceDE w:val="0"/>
        <w:autoSpaceDN w:val="0"/>
        <w:adjustRightInd w:val="0"/>
        <w:spacing w:line="580" w:lineRule="exact"/>
        <w:ind w:firstLine="64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w:t>
      </w:r>
      <w:r>
        <w:rPr>
          <w:rFonts w:hint="eastAsia" w:ascii="仿宋_GB2312" w:eastAsia="仿宋_GB2312" w:cs="仿宋_GB2312"/>
          <w:bCs/>
          <w:color w:val="auto"/>
          <w:kern w:val="0"/>
          <w:sz w:val="32"/>
          <w:szCs w:val="32"/>
          <w:lang w:val="en-US" w:eastAsia="zh-CN"/>
        </w:rPr>
        <w:t>0.55</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53.92</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0.47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46.08</w:t>
      </w:r>
      <w:r>
        <w:rPr>
          <w:rFonts w:hint="eastAsia" w:ascii="仿宋_GB2312" w:eastAsia="仿宋_GB2312" w:cs="仿宋_GB2312"/>
          <w:bCs/>
          <w:color w:val="auto"/>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万元。全年安排机关和所属单位因公出国 （境）团组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人次。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2.公务用车购置及运行费支出</w:t>
      </w:r>
      <w:r>
        <w:rPr>
          <w:rFonts w:hint="eastAsia" w:ascii="仿宋_GB2312" w:eastAsia="仿宋_GB2312" w:cs="仿宋_GB2312"/>
          <w:bCs/>
          <w:color w:val="auto"/>
          <w:kern w:val="0"/>
          <w:sz w:val="32"/>
          <w:szCs w:val="32"/>
          <w:lang w:val="en-US" w:eastAsia="zh-CN"/>
        </w:rPr>
        <w:t>0.55</w:t>
      </w:r>
      <w:r>
        <w:rPr>
          <w:rFonts w:hint="eastAsia" w:ascii="仿宋_GB2312" w:eastAsia="仿宋_GB2312" w:cs="仿宋_GB2312"/>
          <w:bCs/>
          <w:color w:val="auto"/>
          <w:kern w:val="0"/>
          <w:sz w:val="32"/>
          <w:szCs w:val="32"/>
        </w:rPr>
        <w:t>万元。其中： 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0.55</w:t>
      </w:r>
      <w:r>
        <w:rPr>
          <w:rFonts w:hint="eastAsia" w:ascii="仿宋_GB2312" w:eastAsia="仿宋_GB2312" w:cs="仿宋_GB2312"/>
          <w:bCs/>
          <w:color w:val="auto"/>
          <w:kern w:val="0"/>
          <w:sz w:val="32"/>
          <w:szCs w:val="32"/>
        </w:rPr>
        <w:t>万元。主要用于公务车保险、用油、维护维修费用。2020年，机关所属单位开支财政拨款的公务用车保有量为</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辆。</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0.47</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 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国内公务接待支出</w:t>
      </w:r>
      <w:r>
        <w:rPr>
          <w:rFonts w:hint="eastAsia" w:ascii="仿宋_GB2312" w:eastAsia="仿宋_GB2312" w:cs="仿宋_GB2312"/>
          <w:bCs/>
          <w:color w:val="auto"/>
          <w:kern w:val="0"/>
          <w:sz w:val="32"/>
          <w:szCs w:val="32"/>
          <w:lang w:val="en-US" w:eastAsia="zh-CN"/>
        </w:rPr>
        <w:t>0.55</w:t>
      </w:r>
      <w:r>
        <w:rPr>
          <w:rFonts w:hint="eastAsia" w:ascii="仿宋_GB2312" w:eastAsia="仿宋_GB2312" w:cs="仿宋_GB2312"/>
          <w:bCs/>
          <w:color w:val="auto"/>
          <w:kern w:val="0"/>
          <w:sz w:val="32"/>
          <w:szCs w:val="32"/>
        </w:rPr>
        <w:t>万元。主要用于考察调研、督察检查及异地部门的调研、指导等公务活动。2020 年共接待国内来访团组</w:t>
      </w: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25</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 xml:space="preserve"> </w:t>
      </w:r>
      <w:r>
        <w:rPr>
          <w:rFonts w:hint="eastAsia" w:ascii="仿宋_GB2312" w:eastAsia="仿宋_GB2312" w:cs="仿宋_GB2312"/>
          <w:b/>
          <w:bCs w:val="0"/>
          <w:color w:val="auto"/>
          <w:kern w:val="0"/>
          <w:sz w:val="32"/>
          <w:szCs w:val="32"/>
        </w:rPr>
        <w:t>八、</w:t>
      </w:r>
      <w:r>
        <w:rPr>
          <w:rFonts w:hint="eastAsia" w:ascii="仿宋_GB2312" w:eastAsia="仿宋_GB2312" w:cs="仿宋_GB2312"/>
          <w:b/>
          <w:color w:val="auto"/>
          <w:kern w:val="0"/>
          <w:sz w:val="32"/>
          <w:szCs w:val="32"/>
        </w:rPr>
        <w:t>2020 年度政府性基金预算财政拨款收入支出决算情况说明 （2020年本单位无此项支出 ）</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lang w:eastAsia="zh-CN"/>
        </w:rPr>
      </w:pPr>
      <w:r>
        <w:rPr>
          <w:rFonts w:hint="eastAsia" w:ascii="仿宋_GB2312" w:eastAsia="仿宋_GB2312" w:cs="仿宋_GB2312"/>
          <w:b/>
          <w:color w:val="auto"/>
          <w:kern w:val="0"/>
          <w:sz w:val="32"/>
          <w:szCs w:val="32"/>
          <w:lang w:eastAsia="zh-CN"/>
        </w:rPr>
        <w:t>九、国有资本经营预算财政拨款支出情况说明（</w:t>
      </w:r>
      <w:r>
        <w:rPr>
          <w:rFonts w:hint="eastAsia" w:ascii="仿宋_GB2312" w:eastAsia="仿宋_GB2312" w:cs="仿宋_GB2312"/>
          <w:b/>
          <w:color w:val="auto"/>
          <w:kern w:val="0"/>
          <w:sz w:val="32"/>
          <w:szCs w:val="32"/>
        </w:rPr>
        <w:t>2020年本单位无此项支出</w:t>
      </w:r>
      <w:r>
        <w:rPr>
          <w:rFonts w:hint="eastAsia" w:ascii="仿宋_GB2312" w:eastAsia="仿宋_GB2312" w:cs="仿宋_GB2312"/>
          <w:b/>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eastAsia="仿宋_GB2312"/>
          <w:b/>
          <w:color w:val="auto"/>
          <w:kern w:val="0"/>
          <w:sz w:val="32"/>
          <w:szCs w:val="32"/>
          <w:lang w:eastAsia="zh-CN"/>
        </w:rPr>
        <w:t>十、</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绩效管理工作开展情况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根据财政预算管理要求，我单位组织对2020年度一般公共预算整体支出全面开展绩效自评，共涉及预算资金</w:t>
      </w:r>
      <w:r>
        <w:rPr>
          <w:rFonts w:hint="eastAsia" w:ascii="仿宋_GB2312" w:eastAsia="仿宋_GB2312" w:cs="仿宋_GB2312"/>
          <w:bCs/>
          <w:color w:val="auto"/>
          <w:kern w:val="0"/>
          <w:sz w:val="32"/>
          <w:szCs w:val="32"/>
          <w:lang w:val="en-US" w:eastAsia="zh-CN"/>
        </w:rPr>
        <w:t>683.24</w:t>
      </w:r>
      <w:r>
        <w:rPr>
          <w:rFonts w:hint="eastAsia" w:ascii="仿宋_GB2312" w:eastAsia="仿宋_GB2312" w:cs="仿宋_GB2312"/>
          <w:bCs/>
          <w:color w:val="auto"/>
          <w:kern w:val="0"/>
          <w:sz w:val="32"/>
          <w:szCs w:val="32"/>
        </w:rPr>
        <w:t>万元，自评覆盖率达到 100%。</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我单位根据年初设定的绩效目标，自评得分为9</w:t>
      </w:r>
      <w:r>
        <w:rPr>
          <w:rFonts w:hint="eastAsia" w:ascii="仿宋_GB2312" w:eastAsia="仿宋_GB2312" w:cs="仿宋_GB2312"/>
          <w:bCs/>
          <w:color w:val="auto"/>
          <w:kern w:val="0"/>
          <w:sz w:val="32"/>
          <w:szCs w:val="32"/>
          <w:lang w:val="en-US" w:eastAsia="zh-CN"/>
        </w:rPr>
        <w:t>5.27</w:t>
      </w:r>
      <w:r>
        <w:rPr>
          <w:rFonts w:hint="eastAsia" w:ascii="仿宋_GB2312" w:eastAsia="仿宋_GB2312" w:cs="仿宋_GB2312"/>
          <w:bCs/>
          <w:color w:val="auto"/>
          <w:kern w:val="0"/>
          <w:sz w:val="32"/>
          <w:szCs w:val="32"/>
        </w:rPr>
        <w:t xml:space="preserve"> 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详见附件2</w:t>
      </w:r>
      <w:r>
        <w:rPr>
          <w:rFonts w:hint="eastAsia" w:ascii="仿宋_GB2312" w:eastAsia="仿宋_GB2312" w:cs="仿宋_GB2312"/>
          <w:bCs/>
          <w:color w:val="auto"/>
          <w:kern w:val="0"/>
          <w:sz w:val="32"/>
          <w:szCs w:val="32"/>
          <w:lang w:eastAsia="zh-CN"/>
        </w:rPr>
        <w:t>：柳州市国土空间整治中心</w:t>
      </w:r>
      <w:r>
        <w:rPr>
          <w:rFonts w:hint="eastAsia" w:ascii="仿宋_GB2312" w:eastAsia="仿宋_GB2312" w:cs="仿宋_GB2312"/>
          <w:bCs/>
          <w:color w:val="auto"/>
          <w:kern w:val="0"/>
          <w:sz w:val="32"/>
          <w:szCs w:val="32"/>
        </w:rPr>
        <w:t>整体支出绩效自评表</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（一）机关运行经费支出情况。2020年度部门机关运行经费支出0万元，与 2019年持平。</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二</w:t>
      </w:r>
      <w:r>
        <w:rPr>
          <w:rFonts w:hint="eastAsia" w:ascii="仿宋_GB2312" w:eastAsia="仿宋_GB2312" w:cs="仿宋_GB2312"/>
          <w:color w:val="auto"/>
          <w:kern w:val="0"/>
          <w:sz w:val="32"/>
          <w:szCs w:val="32"/>
        </w:rPr>
        <w:t>）政府采购支出情况。2020年度部门政府采购支出总额</w:t>
      </w:r>
      <w:r>
        <w:rPr>
          <w:rFonts w:hint="eastAsia" w:ascii="仿宋_GB2312" w:eastAsia="仿宋_GB2312" w:cs="仿宋_GB2312"/>
          <w:color w:val="auto"/>
          <w:kern w:val="0"/>
          <w:sz w:val="32"/>
          <w:szCs w:val="32"/>
          <w:lang w:val="en-US" w:eastAsia="zh-CN"/>
        </w:rPr>
        <w:t>1.79</w:t>
      </w:r>
      <w:r>
        <w:rPr>
          <w:rFonts w:hint="eastAsia" w:ascii="仿宋_GB2312" w:eastAsia="仿宋_GB2312" w:cs="仿宋_GB2312"/>
          <w:color w:val="auto"/>
          <w:kern w:val="0"/>
          <w:sz w:val="32"/>
          <w:szCs w:val="32"/>
        </w:rPr>
        <w:t>万元，其中：货物支出</w:t>
      </w:r>
      <w:r>
        <w:rPr>
          <w:rFonts w:hint="eastAsia" w:ascii="仿宋_GB2312" w:eastAsia="仿宋_GB2312" w:cs="仿宋_GB2312"/>
          <w:color w:val="auto"/>
          <w:kern w:val="0"/>
          <w:sz w:val="32"/>
          <w:szCs w:val="32"/>
          <w:lang w:val="en-US" w:eastAsia="zh-CN"/>
        </w:rPr>
        <w:t>1.79</w:t>
      </w:r>
      <w:r>
        <w:rPr>
          <w:rFonts w:hint="eastAsia" w:ascii="仿宋_GB2312" w:eastAsia="仿宋_GB2312" w:cs="仿宋_GB2312"/>
          <w:color w:val="auto"/>
          <w:kern w:val="0"/>
          <w:sz w:val="32"/>
          <w:szCs w:val="32"/>
        </w:rPr>
        <w:t>万元、工程支出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万元、服务支出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）国有资产占用情况。截至年末部门共有车辆</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 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 辆；单价50万元 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 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台（套）。 </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财政拨款收入：指市本级财政当年拨付的资金。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其他收入：指除上述“财政拨款收入”、“事业收入”、“经营收入”等以外的收入。</w:t>
      </w:r>
      <w:bookmarkStart w:id="0" w:name="_GoBack"/>
      <w:bookmarkEnd w:id="0"/>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color w:val="auto"/>
          <w:sz w:val="32"/>
          <w:szCs w:val="32"/>
        </w:rPr>
        <w:t>使用非财政拨款结余</w:t>
      </w:r>
      <w:r>
        <w:rPr>
          <w:rFonts w:hint="eastAsia" w:ascii="仿宋_GB2312" w:eastAsia="仿宋_GB2312"/>
          <w:bCs/>
          <w:color w:val="auto"/>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color w:val="auto"/>
        </w:rPr>
      </w:pPr>
      <w:r>
        <w:rPr>
          <w:rFonts w:hint="eastAsia" w:ascii="仿宋_GB2312" w:eastAsia="仿宋_GB2312"/>
          <w:bCs/>
          <w:color w:val="auto"/>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BDA5"/>
    <w:multiLevelType w:val="singleLevel"/>
    <w:tmpl w:val="A809BDA5"/>
    <w:lvl w:ilvl="0" w:tentative="0">
      <w:start w:val="1"/>
      <w:numFmt w:val="chineseCounting"/>
      <w:suff w:val="nothing"/>
      <w:lvlText w:val="%1、"/>
      <w:lvlJc w:val="left"/>
      <w:rPr>
        <w:rFonts w:hint="eastAsia"/>
      </w:rPr>
    </w:lvl>
  </w:abstractNum>
  <w:abstractNum w:abstractNumId="1">
    <w:nsid w:val="5486AA2E"/>
    <w:multiLevelType w:val="singleLevel"/>
    <w:tmpl w:val="5486AA2E"/>
    <w:lvl w:ilvl="0" w:tentative="0">
      <w:start w:val="11"/>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5EA6A33"/>
    <w:rsid w:val="088F7298"/>
    <w:rsid w:val="0DA86951"/>
    <w:rsid w:val="0E074DDF"/>
    <w:rsid w:val="124204B5"/>
    <w:rsid w:val="182962AB"/>
    <w:rsid w:val="19D073EB"/>
    <w:rsid w:val="1CC1117E"/>
    <w:rsid w:val="1CC31F67"/>
    <w:rsid w:val="21B24C87"/>
    <w:rsid w:val="24D337DC"/>
    <w:rsid w:val="26460DBA"/>
    <w:rsid w:val="2B0E5535"/>
    <w:rsid w:val="2B6F74EB"/>
    <w:rsid w:val="2C4219FE"/>
    <w:rsid w:val="2D6C4650"/>
    <w:rsid w:val="30000B5F"/>
    <w:rsid w:val="34020F86"/>
    <w:rsid w:val="39A63F06"/>
    <w:rsid w:val="3B0C64A4"/>
    <w:rsid w:val="3D9F184F"/>
    <w:rsid w:val="3ED1439F"/>
    <w:rsid w:val="44500BF5"/>
    <w:rsid w:val="48374EDC"/>
    <w:rsid w:val="4C256E3D"/>
    <w:rsid w:val="4CB52F0F"/>
    <w:rsid w:val="4CFA1FEF"/>
    <w:rsid w:val="532F1F9A"/>
    <w:rsid w:val="568B0A95"/>
    <w:rsid w:val="58310733"/>
    <w:rsid w:val="5A660B1A"/>
    <w:rsid w:val="5B4D6FDE"/>
    <w:rsid w:val="5E995A3E"/>
    <w:rsid w:val="62163194"/>
    <w:rsid w:val="624D024D"/>
    <w:rsid w:val="650E086A"/>
    <w:rsid w:val="662F4AC9"/>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sangfor</cp:lastModifiedBy>
  <cp:lastPrinted>2021-07-07T01:10:00Z</cp:lastPrinted>
  <dcterms:modified xsi:type="dcterms:W3CDTF">2021-08-23T02:49:17Z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CAD81BF8B819477D95264E03C4C5520C</vt:lpwstr>
  </property>
</Properties>
</file>