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三江侗族自治县人民检察院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三江侗族自治县人民检察院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三江侗族自治县人民检察院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三江侗族自治县人民检察院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三江侗族自治县人民检察院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highlight w:val="none"/>
        </w:rPr>
      </w:pPr>
      <w:r>
        <w:rPr>
          <w:rFonts w:hint="eastAsia" w:ascii="仿宋_GB2312" w:eastAsia="仿宋_GB2312"/>
          <w:sz w:val="32"/>
          <w:szCs w:val="32"/>
        </w:rPr>
        <w:t>依照宪法和法律的规定，履行法律监督职能，对本县人民代表大会及常务委员会负责并报告，并接受其监督。依法向人民代表大会及常务委员会提出议案；依法独立行使检察权；对刑事案件依法审查批准逮</w:t>
      </w:r>
      <w:r>
        <w:rPr>
          <w:rFonts w:hint="eastAsia" w:ascii="仿宋_GB2312" w:eastAsia="仿宋_GB2312"/>
          <w:sz w:val="32"/>
          <w:szCs w:val="32"/>
          <w:highlight w:val="none"/>
        </w:rPr>
        <w:t>捕、决定逮捕、提起公诉；掌握治安动态，参与社会治安综合治理等工作。</w:t>
      </w:r>
    </w:p>
    <w:p>
      <w:pPr>
        <w:ind w:firstLine="646"/>
        <w:rPr>
          <w:rFonts w:ascii="仿宋_GB2312" w:eastAsia="仿宋_GB2312"/>
          <w:sz w:val="32"/>
          <w:szCs w:val="32"/>
          <w:highlight w:val="none"/>
        </w:rPr>
      </w:pPr>
      <w:r>
        <w:rPr>
          <w:rFonts w:hint="eastAsia" w:ascii="仿宋_GB2312" w:eastAsia="仿宋_GB2312"/>
          <w:sz w:val="32"/>
          <w:szCs w:val="32"/>
          <w:highlight w:val="none"/>
        </w:rPr>
        <w:t>二、部门决算单位构成</w:t>
      </w:r>
    </w:p>
    <w:p>
      <w:pPr>
        <w:ind w:firstLine="645"/>
        <w:rPr>
          <w:rFonts w:ascii="仿宋_GB2312" w:eastAsia="仿宋_GB2312"/>
          <w:sz w:val="32"/>
          <w:szCs w:val="32"/>
          <w:highlight w:val="none"/>
        </w:rPr>
      </w:pPr>
      <w:r>
        <w:rPr>
          <w:rFonts w:hint="eastAsia" w:ascii="仿宋_GB2312" w:eastAsia="仿宋_GB2312"/>
          <w:sz w:val="32"/>
          <w:szCs w:val="32"/>
          <w:highlight w:val="none"/>
        </w:rPr>
        <w:t>检察院是属财政全额预算拨款的国家法律监督机关，是国家政权的重要组成部分。内设职能科室5个（办公室、第一检察部、第二检察部、第三检察部、政治部）。</w:t>
      </w:r>
      <w:r>
        <w:rPr>
          <w:rFonts w:hint="eastAsia" w:ascii="仿宋_GB2312" w:eastAsia="仿宋_GB2312"/>
          <w:color w:val="333333"/>
          <w:sz w:val="32"/>
          <w:szCs w:val="32"/>
          <w:highlight w:val="none"/>
          <w:shd w:val="clear" w:color="auto" w:fill="FFFFFF"/>
        </w:rPr>
        <w:t>单位人员编制总数为33 个，其中政法专项编制  33个。实有财政供养人数 49 人，其中在职干警 31 人，离退休人员 18</w:t>
      </w:r>
      <w:bookmarkStart w:id="0" w:name="_GoBack"/>
      <w:bookmarkEnd w:id="0"/>
      <w:r>
        <w:rPr>
          <w:rFonts w:hint="eastAsia" w:ascii="仿宋_GB2312" w:eastAsia="仿宋_GB2312"/>
          <w:color w:val="333333"/>
          <w:sz w:val="32"/>
          <w:szCs w:val="32"/>
          <w:highlight w:val="none"/>
          <w:shd w:val="clear" w:color="auto" w:fill="FFFFFF"/>
        </w:rPr>
        <w:t>人</w:t>
      </w:r>
    </w:p>
    <w:p>
      <w:pPr>
        <w:ind w:firstLine="645"/>
        <w:rPr>
          <w:rFonts w:ascii="仿宋_GB2312" w:eastAsia="仿宋_GB2312"/>
          <w:sz w:val="32"/>
          <w:szCs w:val="32"/>
          <w:highlight w:val="none"/>
        </w:rPr>
      </w:pPr>
    </w:p>
    <w:p>
      <w:pPr>
        <w:ind w:firstLine="645"/>
        <w:rPr>
          <w:rFonts w:ascii="仿宋_GB2312" w:eastAsia="仿宋_GB2312"/>
          <w:sz w:val="32"/>
          <w:szCs w:val="32"/>
        </w:rPr>
      </w:pPr>
      <w:r>
        <w:rPr>
          <w:rFonts w:hint="eastAsia" w:ascii="仿宋_GB2312" w:eastAsia="仿宋_GB2312"/>
          <w:sz w:val="32"/>
          <w:szCs w:val="32"/>
        </w:rPr>
        <w:t> </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三江侗族自治县人民检察院</w:t>
      </w:r>
      <w:r>
        <w:rPr>
          <w:rFonts w:hint="eastAsia" w:ascii="仿宋_GB2312" w:eastAsia="仿宋_GB2312"/>
          <w:b/>
          <w:sz w:val="32"/>
          <w:szCs w:val="32"/>
        </w:rPr>
        <w:t xml:space="preserve"> 2020年部门决算报表</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tbl>
      <w:tblPr>
        <w:tblStyle w:val="6"/>
        <w:tblW w:w="10909" w:type="dxa"/>
        <w:tblInd w:w="-537" w:type="dxa"/>
        <w:tblLayout w:type="fixed"/>
        <w:tblCellMar>
          <w:top w:w="0" w:type="dxa"/>
          <w:left w:w="108" w:type="dxa"/>
          <w:bottom w:w="0" w:type="dxa"/>
          <w:right w:w="108" w:type="dxa"/>
        </w:tblCellMar>
      </w:tblPr>
      <w:tblGrid>
        <w:gridCol w:w="2920"/>
        <w:gridCol w:w="590"/>
        <w:gridCol w:w="1785"/>
        <w:gridCol w:w="2757"/>
        <w:gridCol w:w="643"/>
        <w:gridCol w:w="2214"/>
      </w:tblGrid>
      <w:tr>
        <w:tblPrEx>
          <w:tblCellMar>
            <w:top w:w="0" w:type="dxa"/>
            <w:left w:w="108" w:type="dxa"/>
            <w:bottom w:w="0" w:type="dxa"/>
            <w:right w:w="108" w:type="dxa"/>
          </w:tblCellMar>
        </w:tblPrEx>
        <w:trPr>
          <w:trHeight w:val="260" w:hRule="atLeast"/>
        </w:trPr>
        <w:tc>
          <w:tcPr>
            <w:tcW w:w="292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59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78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757"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43"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214" w:type="dxa"/>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60" w:hRule="atLeast"/>
        </w:trPr>
        <w:tc>
          <w:tcPr>
            <w:tcW w:w="2920" w:type="dxa"/>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部门：三江侗族自治县人民检察院</w:t>
            </w:r>
          </w:p>
        </w:tc>
        <w:tc>
          <w:tcPr>
            <w:tcW w:w="59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785"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757"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43"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214" w:type="dxa"/>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29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5614"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78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221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59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78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643"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2214"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614"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三、国有资本经营预算财政拨款收入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四、上级补助收入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五、事业收入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六、经营收入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六、科学技术支出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七、附属单位上缴收入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八、其他收入</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二十、粮油物资储备支出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52</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22</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53</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二十三、其他支出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54</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宋体"/>
                <w:b/>
                <w:bCs/>
                <w:color w:val="000000"/>
                <w:sz w:val="20"/>
                <w:szCs w:val="20"/>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二十四、债务还本支出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55</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二十五、债务付息支出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56</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0"/>
                <w:szCs w:val="20"/>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0"/>
                <w:szCs w:val="20"/>
              </w:rPr>
            </w:pP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57</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1,235.40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58</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1,232.97</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使用非财政拨款结余</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结余分配</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114.18</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116.61</w:t>
            </w:r>
          </w:p>
        </w:tc>
      </w:tr>
      <w:tr>
        <w:tblPrEx>
          <w:tblCellMar>
            <w:top w:w="0" w:type="dxa"/>
            <w:left w:w="108" w:type="dxa"/>
            <w:bottom w:w="0" w:type="dxa"/>
            <w:right w:w="108" w:type="dxa"/>
          </w:tblCellMar>
        </w:tblPrEx>
        <w:trPr>
          <w:trHeight w:val="308"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590"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7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2757"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2214" w:type="dxa"/>
            <w:tcBorders>
              <w:top w:val="nil"/>
              <w:left w:val="nil"/>
              <w:bottom w:val="single" w:color="000000" w:sz="4" w:space="0"/>
              <w:right w:val="single" w:color="000000" w:sz="4" w:space="0"/>
            </w:tcBorders>
            <w:shd w:val="clear" w:color="auto" w:fill="FFFFFF"/>
            <w:noWrap/>
            <w:vAlign w:val="center"/>
          </w:tcPr>
          <w:p>
            <w:pPr>
              <w:jc w:val="left"/>
              <w:rPr>
                <w:rFonts w:ascii="宋体" w:hAnsi="宋体" w:cs="宋体"/>
                <w:color w:val="000000"/>
                <w:sz w:val="22"/>
                <w:szCs w:val="22"/>
              </w:rPr>
            </w:pPr>
          </w:p>
        </w:tc>
      </w:tr>
      <w:tr>
        <w:tblPrEx>
          <w:tblCellMar>
            <w:top w:w="0" w:type="dxa"/>
            <w:left w:w="108" w:type="dxa"/>
            <w:bottom w:w="0" w:type="dxa"/>
            <w:right w:w="108" w:type="dxa"/>
          </w:tblCellMar>
        </w:tblPrEx>
        <w:trPr>
          <w:trHeight w:val="322" w:hRule="atLeast"/>
        </w:trPr>
        <w:tc>
          <w:tcPr>
            <w:tcW w:w="292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590" w:type="dxa"/>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1,349.57</w:t>
            </w:r>
          </w:p>
        </w:tc>
        <w:tc>
          <w:tcPr>
            <w:tcW w:w="275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643"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2214"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1,349.57</w:t>
            </w:r>
          </w:p>
        </w:tc>
      </w:tr>
      <w:tr>
        <w:tblPrEx>
          <w:tblCellMar>
            <w:top w:w="0" w:type="dxa"/>
            <w:left w:w="108" w:type="dxa"/>
            <w:bottom w:w="0" w:type="dxa"/>
            <w:right w:w="108" w:type="dxa"/>
          </w:tblCellMar>
        </w:tblPrEx>
        <w:trPr>
          <w:trHeight w:val="308" w:hRule="atLeast"/>
        </w:trPr>
        <w:tc>
          <w:tcPr>
            <w:tcW w:w="10909" w:type="dxa"/>
            <w:gridSpan w:val="6"/>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注：本表反映部门本年度的总收支和年末结转结余情况。本套报表金额单位转换时可能存在尾数误差。</w:t>
            </w:r>
          </w:p>
        </w:tc>
      </w:tr>
    </w:tbl>
    <w:p>
      <w:pPr>
        <w:rPr>
          <w:rFonts w:ascii="方正小标宋简体" w:hAnsi="宋体" w:eastAsia="方正小标宋简体" w:cs="宋体"/>
          <w:kern w:val="0"/>
          <w:sz w:val="36"/>
          <w:szCs w:val="36"/>
        </w:rPr>
      </w:pPr>
    </w:p>
    <w:p>
      <w:pPr>
        <w:rPr>
          <w:rFonts w:ascii="方正小标宋简体" w:hAnsi="宋体" w:eastAsia="方正小标宋简体" w:cs="宋体"/>
          <w:kern w:val="0"/>
          <w:sz w:val="36"/>
          <w:szCs w:val="36"/>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pPr>
      <w:r>
        <w:rPr>
          <w:rFonts w:hint="eastAsia" w:ascii="方正小标宋简体" w:hAnsi="宋体" w:eastAsia="方正小标宋简体" w:cs="宋体"/>
          <w:kern w:val="0"/>
          <w:sz w:val="36"/>
          <w:szCs w:val="36"/>
        </w:rPr>
        <w:t>表二：收入决算表</w:t>
      </w:r>
    </w:p>
    <w:p/>
    <w:tbl>
      <w:tblPr>
        <w:tblStyle w:val="6"/>
        <w:tblW w:w="14740" w:type="dxa"/>
        <w:tblInd w:w="0" w:type="dxa"/>
        <w:tblLayout w:type="fixed"/>
        <w:tblCellMar>
          <w:top w:w="0" w:type="dxa"/>
          <w:left w:w="108" w:type="dxa"/>
          <w:bottom w:w="0" w:type="dxa"/>
          <w:right w:w="108" w:type="dxa"/>
        </w:tblCellMar>
      </w:tblPr>
      <w:tblGrid>
        <w:gridCol w:w="2492"/>
        <w:gridCol w:w="365"/>
        <w:gridCol w:w="371"/>
        <w:gridCol w:w="1052"/>
        <w:gridCol w:w="1247"/>
        <w:gridCol w:w="1345"/>
        <w:gridCol w:w="1054"/>
        <w:gridCol w:w="1866"/>
        <w:gridCol w:w="1236"/>
        <w:gridCol w:w="1664"/>
        <w:gridCol w:w="2048"/>
      </w:tblGrid>
      <w:tr>
        <w:tblPrEx>
          <w:tblCellMar>
            <w:top w:w="0" w:type="dxa"/>
            <w:left w:w="108" w:type="dxa"/>
            <w:bottom w:w="0" w:type="dxa"/>
            <w:right w:w="108" w:type="dxa"/>
          </w:tblCellMar>
        </w:tblPrEx>
        <w:trPr>
          <w:trHeight w:val="327" w:hRule="atLeast"/>
        </w:trPr>
        <w:tc>
          <w:tcPr>
            <w:tcW w:w="1614" w:type="dxa"/>
            <w:tcBorders>
              <w:top w:val="nil"/>
              <w:left w:val="nil"/>
              <w:bottom w:val="nil"/>
              <w:right w:val="nil"/>
            </w:tcBorders>
            <w:shd w:val="clear" w:color="auto" w:fill="FFFFFF"/>
            <w:noWrap/>
            <w:vAlign w:val="bottom"/>
          </w:tcPr>
          <w:p>
            <w:pPr>
              <w:widowControl/>
              <w:jc w:val="left"/>
              <w:textAlignment w:val="bottom"/>
              <w:rPr>
                <w:rFonts w:ascii="宋体" w:hAnsi="宋体" w:cs="宋体"/>
                <w:color w:val="000000"/>
                <w:sz w:val="20"/>
                <w:szCs w:val="20"/>
              </w:rPr>
            </w:pPr>
          </w:p>
        </w:tc>
        <w:tc>
          <w:tcPr>
            <w:tcW w:w="228"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81"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07"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71"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682"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208"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800"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077" w:type="dxa"/>
            <w:tcBorders>
              <w:top w:val="nil"/>
              <w:left w:val="nil"/>
              <w:bottom w:val="nil"/>
              <w:right w:val="nil"/>
            </w:tcBorders>
            <w:shd w:val="clear" w:color="auto" w:fill="FFFFFF"/>
            <w:noWrap/>
            <w:vAlign w:val="bottom"/>
          </w:tcPr>
          <w:p>
            <w:pPr>
              <w:rPr>
                <w:rFonts w:ascii="Arial" w:hAnsi="Arial" w:cs="Arial"/>
                <w:color w:val="000000"/>
                <w:sz w:val="20"/>
                <w:szCs w:val="20"/>
              </w:rPr>
            </w:pPr>
          </w:p>
        </w:tc>
        <w:tc>
          <w:tcPr>
            <w:tcW w:w="1326" w:type="dxa"/>
            <w:tcBorders>
              <w:top w:val="nil"/>
              <w:left w:val="nil"/>
              <w:bottom w:val="nil"/>
              <w:right w:val="nil"/>
            </w:tcBorders>
            <w:shd w:val="clear" w:color="auto" w:fill="FFFFFF"/>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76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80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本年收入合计</w:t>
            </w:r>
          </w:p>
        </w:tc>
        <w:tc>
          <w:tcPr>
            <w:tcW w:w="871"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财政拨款收入</w:t>
            </w:r>
          </w:p>
        </w:tc>
        <w:tc>
          <w:tcPr>
            <w:tcW w:w="68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上级补助收入</w:t>
            </w:r>
          </w:p>
        </w:tc>
        <w:tc>
          <w:tcPr>
            <w:tcW w:w="120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事业收入</w:t>
            </w:r>
          </w:p>
        </w:tc>
        <w:tc>
          <w:tcPr>
            <w:tcW w:w="80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经营收入</w:t>
            </w:r>
          </w:p>
        </w:tc>
        <w:tc>
          <w:tcPr>
            <w:tcW w:w="107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附属单位上缴收入</w:t>
            </w:r>
          </w:p>
        </w:tc>
        <w:tc>
          <w:tcPr>
            <w:tcW w:w="132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12" w:hRule="atLeast"/>
        </w:trPr>
        <w:tc>
          <w:tcPr>
            <w:tcW w:w="2082"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68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80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7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8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20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7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3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208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8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80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7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8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20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7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3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208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8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80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7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8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20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77"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32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76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80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87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8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20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80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32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2763"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1,235.40</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804.56</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430.83</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检察</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2040402</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2040410</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检察监督</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2040499</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其他检察支出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87.22</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87.22</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87.22</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87.22</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6.92</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6.92</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53.53</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53.53</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26.76</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26.76</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r>
      <w:tr>
        <w:tblPrEx>
          <w:tblCellMar>
            <w:top w:w="0" w:type="dxa"/>
            <w:left w:w="108" w:type="dxa"/>
            <w:bottom w:w="0" w:type="dxa"/>
            <w:right w:w="108" w:type="dxa"/>
          </w:tblCellMar>
        </w:tblPrEx>
        <w:trPr>
          <w:trHeight w:val="308" w:hRule="atLeast"/>
        </w:trPr>
        <w:tc>
          <w:tcPr>
            <w:tcW w:w="2082"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2299901</w:t>
            </w:r>
          </w:p>
        </w:tc>
        <w:tc>
          <w:tcPr>
            <w:tcW w:w="68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其他支出</w:t>
            </w:r>
          </w:p>
        </w:tc>
        <w:tc>
          <w:tcPr>
            <w:tcW w:w="80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87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68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20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0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7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2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r>
      <w:tr>
        <w:tblPrEx>
          <w:tblCellMar>
            <w:top w:w="0" w:type="dxa"/>
            <w:left w:w="108" w:type="dxa"/>
            <w:bottom w:w="0" w:type="dxa"/>
            <w:right w:w="108" w:type="dxa"/>
          </w:tblCellMar>
        </w:tblPrEx>
        <w:trPr>
          <w:trHeight w:val="308" w:hRule="atLeast"/>
        </w:trPr>
        <w:tc>
          <w:tcPr>
            <w:tcW w:w="9534" w:type="dxa"/>
            <w:gridSpan w:val="11"/>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注：本表反映部门本年度取得的各项收入情况。</w:t>
            </w:r>
          </w:p>
        </w:tc>
      </w:tr>
    </w:tbl>
    <w:p/>
    <w:p/>
    <w:p/>
    <w:p>
      <w:pP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p/>
    <w:p/>
    <w:tbl>
      <w:tblPr>
        <w:tblStyle w:val="6"/>
        <w:tblW w:w="14740" w:type="dxa"/>
        <w:tblInd w:w="96" w:type="dxa"/>
        <w:tblLayout w:type="fixed"/>
        <w:tblCellMar>
          <w:top w:w="0" w:type="dxa"/>
          <w:left w:w="108" w:type="dxa"/>
          <w:bottom w:w="0" w:type="dxa"/>
          <w:right w:w="108" w:type="dxa"/>
        </w:tblCellMar>
      </w:tblPr>
      <w:tblGrid>
        <w:gridCol w:w="1399"/>
        <w:gridCol w:w="2958"/>
        <w:gridCol w:w="1775"/>
        <w:gridCol w:w="1586"/>
        <w:gridCol w:w="1899"/>
        <w:gridCol w:w="1912"/>
        <w:gridCol w:w="1381"/>
        <w:gridCol w:w="1830"/>
      </w:tblGrid>
      <w:tr>
        <w:tblPrEx>
          <w:tblCellMar>
            <w:top w:w="0" w:type="dxa"/>
            <w:left w:w="108" w:type="dxa"/>
            <w:bottom w:w="0" w:type="dxa"/>
            <w:right w:w="108" w:type="dxa"/>
          </w:tblCellMar>
        </w:tblPrEx>
        <w:trPr>
          <w:trHeight w:val="306" w:hRule="atLeast"/>
        </w:trPr>
        <w:tc>
          <w:tcPr>
            <w:tcW w:w="261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06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95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140"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1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82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09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trHeight w:val="312" w:hRule="atLeast"/>
        </w:trPr>
        <w:tc>
          <w:tcPr>
            <w:tcW w:w="84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177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06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95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9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84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7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06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95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9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84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76"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06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95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148"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2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9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6" w:hRule="atLeast"/>
        </w:trPr>
        <w:tc>
          <w:tcPr>
            <w:tcW w:w="261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066"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952"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140"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48"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82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99"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0" w:type="dxa"/>
            <w:left w:w="108" w:type="dxa"/>
            <w:bottom w:w="0" w:type="dxa"/>
            <w:right w:w="108" w:type="dxa"/>
          </w:tblCellMar>
        </w:tblPrEx>
        <w:trPr>
          <w:trHeight w:val="306" w:hRule="atLeast"/>
        </w:trPr>
        <w:tc>
          <w:tcPr>
            <w:tcW w:w="261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1,232.97</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926.41</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306.55</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205.33</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检察</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205.33</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2040402</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2040410</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检察监督</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2040499</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其他检察支出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51.93</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51.93</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25.96</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25.96</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329.60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101.23</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329.60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101.23</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2299901</w:t>
            </w:r>
          </w:p>
        </w:tc>
        <w:tc>
          <w:tcPr>
            <w:tcW w:w="1776"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其他支出</w:t>
            </w:r>
          </w:p>
        </w:tc>
        <w:tc>
          <w:tcPr>
            <w:tcW w:w="106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430.83</w:t>
            </w:r>
          </w:p>
        </w:tc>
        <w:tc>
          <w:tcPr>
            <w:tcW w:w="95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329.60</w:t>
            </w:r>
          </w:p>
        </w:tc>
        <w:tc>
          <w:tcPr>
            <w:tcW w:w="1140"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101.23</w:t>
            </w:r>
          </w:p>
        </w:tc>
        <w:tc>
          <w:tcPr>
            <w:tcW w:w="114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82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09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6" w:hRule="atLeast"/>
        </w:trPr>
        <w:tc>
          <w:tcPr>
            <w:tcW w:w="8850" w:type="dxa"/>
            <w:gridSpan w:val="8"/>
            <w:tcBorders>
              <w:top w:val="nil"/>
              <w:left w:val="nil"/>
              <w:bottom w:val="nil"/>
              <w:right w:val="nil"/>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注：本表反映部门本年度各项支出情况。</w:t>
            </w:r>
          </w:p>
        </w:tc>
      </w:tr>
    </w:tbl>
    <w:p/>
    <w:p>
      <w:r>
        <w:rPr>
          <w:rFonts w:hint="eastAsia"/>
        </w:rPr>
        <w:t>注：本表反映部门本年度各项支出情况。</w:t>
      </w:r>
    </w:p>
    <w:p/>
    <w:p/>
    <w:p/>
    <w:p/>
    <w:p/>
    <w:p/>
    <w:p/>
    <w:p/>
    <w:p/>
    <w:p/>
    <w:p/>
    <w:p/>
    <w:p/>
    <w:p/>
    <w:p/>
    <w:p/>
    <w:p>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pPr>
      <w:r>
        <w:rPr>
          <w:rFonts w:hint="eastAsia"/>
          <w:sz w:val="22"/>
          <w:szCs w:val="22"/>
        </w:rPr>
        <w:t>单位：万元</w:t>
      </w:r>
    </w:p>
    <w:tbl>
      <w:tblPr>
        <w:tblStyle w:val="6"/>
        <w:tblW w:w="14740" w:type="dxa"/>
        <w:tblInd w:w="96" w:type="dxa"/>
        <w:tblLayout w:type="fixed"/>
        <w:tblCellMar>
          <w:top w:w="0" w:type="dxa"/>
          <w:left w:w="108" w:type="dxa"/>
          <w:bottom w:w="0" w:type="dxa"/>
          <w:right w:w="108" w:type="dxa"/>
        </w:tblCellMar>
      </w:tblPr>
      <w:tblGrid>
        <w:gridCol w:w="2768"/>
        <w:gridCol w:w="856"/>
        <w:gridCol w:w="1032"/>
        <w:gridCol w:w="3442"/>
        <w:gridCol w:w="1046"/>
        <w:gridCol w:w="1505"/>
        <w:gridCol w:w="1341"/>
        <w:gridCol w:w="1341"/>
        <w:gridCol w:w="1409"/>
      </w:tblGrid>
      <w:tr>
        <w:tblPrEx>
          <w:tblCellMar>
            <w:top w:w="0" w:type="dxa"/>
            <w:left w:w="108" w:type="dxa"/>
            <w:bottom w:w="0" w:type="dxa"/>
            <w:right w:w="108" w:type="dxa"/>
          </w:tblCellMar>
        </w:tblPrEx>
        <w:trPr>
          <w:trHeight w:val="308" w:hRule="atLeast"/>
        </w:trPr>
        <w:tc>
          <w:tcPr>
            <w:tcW w:w="465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10084"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312" w:hRule="atLeast"/>
        </w:trPr>
        <w:tc>
          <w:tcPr>
            <w:tcW w:w="2768"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85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032"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3442"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04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50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4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34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c>
          <w:tcPr>
            <w:tcW w:w="140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国有资本经营预算财政拨款</w:t>
            </w:r>
          </w:p>
        </w:tc>
      </w:tr>
      <w:tr>
        <w:tblPrEx>
          <w:tblCellMar>
            <w:top w:w="0" w:type="dxa"/>
            <w:left w:w="108" w:type="dxa"/>
            <w:bottom w:w="0" w:type="dxa"/>
            <w:right w:w="108" w:type="dxa"/>
          </w:tblCellMar>
        </w:tblPrEx>
        <w:trPr>
          <w:trHeight w:val="615" w:hRule="atLeast"/>
        </w:trPr>
        <w:tc>
          <w:tcPr>
            <w:tcW w:w="2768"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85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32"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3442"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04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50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34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34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0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85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032"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04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505"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34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341"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09"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一、一般公共预算财政拨款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一、一般公共服务支出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33</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二、外交支出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34</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三、国有资本经营财政拨款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三、国防支出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四、公共安全支出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36</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五、教育支出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37</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39</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八、社会保障和就业支出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九、卫生健康支出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w:t>
            </w:r>
          </w:p>
        </w:tc>
        <w:tc>
          <w:tcPr>
            <w:tcW w:w="1032"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十九、住房保障支出</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59</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802.14</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802.14</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年初财政拨款结转和结余</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28</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年末财政拨款结转和结余</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一般公共预算财政拨款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61</w:t>
            </w:r>
          </w:p>
        </w:tc>
        <w:tc>
          <w:tcPr>
            <w:tcW w:w="15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4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政府性基金预算财政拨款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62</w:t>
            </w:r>
          </w:p>
        </w:tc>
        <w:tc>
          <w:tcPr>
            <w:tcW w:w="15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4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国有资本经营预算财政拨款</w:t>
            </w:r>
          </w:p>
        </w:tc>
        <w:tc>
          <w:tcPr>
            <w:tcW w:w="85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31</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3442"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63</w:t>
            </w:r>
          </w:p>
        </w:tc>
        <w:tc>
          <w:tcPr>
            <w:tcW w:w="150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341"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409"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276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856" w:type="dxa"/>
            <w:tcBorders>
              <w:top w:val="nil"/>
              <w:left w:val="nil"/>
              <w:bottom w:val="single" w:color="000000" w:sz="8"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w:t>
            </w:r>
          </w:p>
        </w:tc>
        <w:tc>
          <w:tcPr>
            <w:tcW w:w="1032"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3442"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总计</w:t>
            </w:r>
          </w:p>
        </w:tc>
        <w:tc>
          <w:tcPr>
            <w:tcW w:w="104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64</w:t>
            </w:r>
          </w:p>
        </w:tc>
        <w:tc>
          <w:tcPr>
            <w:tcW w:w="150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804.56</w:t>
            </w:r>
          </w:p>
        </w:tc>
        <w:tc>
          <w:tcPr>
            <w:tcW w:w="1341"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409"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ind w:firstLine="10560" w:firstLineChars="4800"/>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pPr w:leftFromText="180" w:rightFromText="180" w:vertAnchor="text" w:horzAnchor="page" w:tblpX="1533" w:tblpY="292"/>
        <w:tblOverlap w:val="never"/>
        <w:tblW w:w="14740" w:type="dxa"/>
        <w:tblInd w:w="0" w:type="dxa"/>
        <w:tblLayout w:type="autofit"/>
        <w:tblCellMar>
          <w:top w:w="0" w:type="dxa"/>
          <w:left w:w="108" w:type="dxa"/>
          <w:bottom w:w="0" w:type="dxa"/>
          <w:right w:w="108" w:type="dxa"/>
        </w:tblCellMar>
      </w:tblPr>
      <w:tblGrid>
        <w:gridCol w:w="1680"/>
        <w:gridCol w:w="6690"/>
        <w:gridCol w:w="2123"/>
        <w:gridCol w:w="2123"/>
        <w:gridCol w:w="2124"/>
      </w:tblGrid>
      <w:tr>
        <w:tblPrEx>
          <w:tblCellMar>
            <w:top w:w="0" w:type="dxa"/>
            <w:left w:w="108" w:type="dxa"/>
            <w:bottom w:w="0" w:type="dxa"/>
            <w:right w:w="108" w:type="dxa"/>
          </w:tblCellMar>
        </w:tblPrEx>
        <w:trPr>
          <w:trHeight w:val="308" w:hRule="atLeast"/>
        </w:trPr>
        <w:tc>
          <w:tcPr>
            <w:tcW w:w="7083"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38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tblPrEx>
          <w:tblCellMar>
            <w:top w:w="0" w:type="dxa"/>
            <w:left w:w="108" w:type="dxa"/>
            <w:bottom w:w="0" w:type="dxa"/>
            <w:right w:w="108" w:type="dxa"/>
          </w:tblCellMar>
        </w:tblPrEx>
        <w:trPr>
          <w:trHeight w:val="312" w:hRule="atLeast"/>
        </w:trPr>
        <w:tc>
          <w:tcPr>
            <w:tcW w:w="1422"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功能分类科目编码</w:t>
            </w:r>
          </w:p>
        </w:tc>
        <w:tc>
          <w:tcPr>
            <w:tcW w:w="566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9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79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79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12" w:hRule="atLeast"/>
        </w:trPr>
        <w:tc>
          <w:tcPr>
            <w:tcW w:w="1422"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566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79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9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9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1422"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566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ascii="宋体" w:hAnsi="宋体" w:cs="宋体"/>
                <w:color w:val="000000"/>
                <w:sz w:val="22"/>
                <w:szCs w:val="22"/>
              </w:rPr>
            </w:pPr>
          </w:p>
        </w:tc>
        <w:tc>
          <w:tcPr>
            <w:tcW w:w="179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9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79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7083"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79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96"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97" w:type="dxa"/>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trPr>
        <w:tc>
          <w:tcPr>
            <w:tcW w:w="7083"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802.14</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596.81</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b/>
                <w:bCs/>
                <w:color w:val="000000"/>
                <w:sz w:val="22"/>
                <w:szCs w:val="22"/>
              </w:rPr>
            </w:pPr>
            <w:r>
              <w:rPr>
                <w:rFonts w:hint="eastAsia" w:ascii="宋体" w:hAnsi="宋体" w:cs="宋体"/>
                <w:b/>
                <w:bCs/>
                <w:color w:val="000000"/>
                <w:kern w:val="0"/>
                <w:sz w:val="22"/>
                <w:szCs w:val="22"/>
              </w:rPr>
              <w:t>205.33</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公共安全支出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205.33</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检察</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625.79</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205.33</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行政运行</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420.46</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2040402</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一般行政管理事务</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163.66</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2040410</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检察监督</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40.16</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2040499</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其他检察支出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社会保障和就业支出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行政事业单位养老支出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84.79</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行政单位离退休</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2080505</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51.93</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51.93</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2080506</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机关事业单位职业年金缴费支出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25.96</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25.96</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卫生健康支出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行政事业单位医疗</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54.08</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行政单位医疗</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2101103</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住房保障支出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住房改革支出</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422" w:type="dxa"/>
            <w:tcBorders>
              <w:top w:val="nil"/>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2210201</w:t>
            </w:r>
          </w:p>
        </w:tc>
        <w:tc>
          <w:tcPr>
            <w:tcW w:w="5661" w:type="dxa"/>
            <w:tcBorders>
              <w:top w:val="nil"/>
              <w:left w:val="nil"/>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6"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797"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bl>
    <w:p/>
    <w:p/>
    <w:p/>
    <w:p>
      <w:r>
        <w:rPr>
          <w:rFonts w:hint="eastAsia"/>
        </w:rPr>
        <w:t>注：本表反映部门本年度一般公共预算财政拨款实际支出情况。</w:t>
      </w:r>
    </w:p>
    <w:p/>
    <w:p/>
    <w:p/>
    <w:p/>
    <w:p/>
    <w:p/>
    <w:p/>
    <w:p>
      <w:pPr>
        <w:sectPr>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071" w:type="dxa"/>
        <w:tblInd w:w="-913" w:type="dxa"/>
        <w:tblLayout w:type="fixed"/>
        <w:tblCellMar>
          <w:top w:w="0" w:type="dxa"/>
          <w:left w:w="108" w:type="dxa"/>
          <w:bottom w:w="0" w:type="dxa"/>
          <w:right w:w="108" w:type="dxa"/>
        </w:tblCellMar>
      </w:tblPr>
      <w:tblGrid>
        <w:gridCol w:w="610"/>
        <w:gridCol w:w="845"/>
        <w:gridCol w:w="653"/>
        <w:gridCol w:w="779"/>
        <w:gridCol w:w="1210"/>
        <w:gridCol w:w="621"/>
        <w:gridCol w:w="899"/>
        <w:gridCol w:w="2588"/>
        <w:gridCol w:w="866"/>
      </w:tblGrid>
      <w:tr>
        <w:tblPrEx>
          <w:tblCellMar>
            <w:top w:w="0" w:type="dxa"/>
            <w:left w:w="108" w:type="dxa"/>
            <w:bottom w:w="0" w:type="dxa"/>
            <w:right w:w="108" w:type="dxa"/>
          </w:tblCellMar>
        </w:tblPrEx>
        <w:trPr>
          <w:trHeight w:val="308" w:hRule="atLeast"/>
        </w:trPr>
        <w:tc>
          <w:tcPr>
            <w:tcW w:w="437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w:t>
            </w:r>
          </w:p>
        </w:tc>
        <w:tc>
          <w:tcPr>
            <w:tcW w:w="15935"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21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1829"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328"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165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2786"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24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1971"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科目编码</w:t>
            </w:r>
          </w:p>
        </w:tc>
        <w:tc>
          <w:tcPr>
            <w:tcW w:w="6393"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885"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12" w:hRule="atLeast"/>
        </w:trPr>
        <w:tc>
          <w:tcPr>
            <w:tcW w:w="1214"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829"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328"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65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2786"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24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971"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6393"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885"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工资福利支出</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490.81</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商品和服务支出</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99.10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307</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债务利息及费用支出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30101</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基本工资</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138.92</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30201</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办公费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11.04</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30701</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国内债务付息</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30102</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津贴补贴</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117.00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30202</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印刷费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1.12</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30702</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国外债务付息</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30103</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奖金</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65.10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30203</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咨询费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资本性支出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30106</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伙食补助费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30204</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手续费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31001</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房屋建筑物购建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30107</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绩效工资</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30205</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水费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0.35</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31002</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办公设备购置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30108</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机关事业单位基本养老保险缴费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51.93</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30206</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电费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4.16</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31003</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专用设备购置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30109</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职业年金缴费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25.96</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30207</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邮电费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6.29</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31005</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基础设施建设</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30110</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职工基本医疗保险缴费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24.37</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30208</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取暖费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31006</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大型修缮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30111</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公务员医疗补助缴费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29.70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30209</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物业管理费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0.64</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31007</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信息网络及软件购置更新</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30112</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其他社会保障缴费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0.33</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30211</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差旅费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14.21</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31008</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物资储备</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30113</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住房公积金</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37.48</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30212</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因公出国（境）费用</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31009</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土地补偿</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30114</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医疗费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30213</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维修（护）费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1.61</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31010</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安置补助</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30199</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其他工资福利支出</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30214</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租赁费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31011</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地上附着物和青苗补偿</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对个人和家庭的补助</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30215</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会议费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0.36</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31012</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拆迁补偿</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30301</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离休费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30216</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培训费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0.87</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31013</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公务用车购置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30302</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退休费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30217</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公务接待费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31019</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其他交通工具购置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30303</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退职（役）费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30218</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专用材料费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31021</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文物和陈列品购置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30304</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抚恤金</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30224</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被装购置费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31022</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无形资产购置</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30305</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生活补助</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6.90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30225</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专用燃料费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31099</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其他资本性支出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30306</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救济费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30226</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劳务费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399</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30307</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医疗费补助</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30227</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委托业务费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39906</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赠与</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30308</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助学金</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30228</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工会经费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6.69</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39907</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国家赔偿费用支出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30309</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奖励金</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30229</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福利费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39908</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对民间非营利组织和群众性自治组织补贴</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30310</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个人农业生产补贴</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30231</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公务用车运行维护费</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6.56</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39999</w:t>
            </w:r>
          </w:p>
        </w:tc>
        <w:tc>
          <w:tcPr>
            <w:tcW w:w="6393"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其他支出</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30311</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代缴社会保险费</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30239</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其他交通费用</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28.27</w:t>
            </w:r>
          </w:p>
        </w:tc>
        <w:tc>
          <w:tcPr>
            <w:tcW w:w="1971"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6393"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8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30399</w:t>
            </w:r>
          </w:p>
        </w:tc>
        <w:tc>
          <w:tcPr>
            <w:tcW w:w="1829"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其他对个人和家庭的补助</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30240</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税金及附加费用</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1971"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6393"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8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1214"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829"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328"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c>
          <w:tcPr>
            <w:tcW w:w="1657"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30299</w:t>
            </w:r>
          </w:p>
        </w:tc>
        <w:tc>
          <w:tcPr>
            <w:tcW w:w="2786" w:type="dxa"/>
            <w:tcBorders>
              <w:top w:val="nil"/>
              <w:left w:val="nil"/>
              <w:bottom w:val="single" w:color="000000" w:sz="4" w:space="0"/>
              <w:right w:val="single" w:color="000000" w:sz="4" w:space="0"/>
            </w:tcBorders>
            <w:shd w:val="clear" w:color="FFFFFF" w:fill="FFFFFF"/>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其他商品和服务支出</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15.55</w:t>
            </w:r>
          </w:p>
        </w:tc>
        <w:tc>
          <w:tcPr>
            <w:tcW w:w="1971"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6393" w:type="dxa"/>
            <w:tcBorders>
              <w:top w:val="nil"/>
              <w:left w:val="nil"/>
              <w:bottom w:val="single" w:color="000000" w:sz="4" w:space="0"/>
              <w:right w:val="single" w:color="000000" w:sz="4" w:space="0"/>
            </w:tcBorders>
            <w:shd w:val="clear" w:color="FFFFFF" w:fill="FFFFFF"/>
            <w:noWrap/>
            <w:vAlign w:val="center"/>
          </w:tcPr>
          <w:p>
            <w:pPr>
              <w:jc w:val="left"/>
              <w:rPr>
                <w:rFonts w:ascii="宋体" w:hAnsi="宋体" w:cs="宋体"/>
                <w:color w:val="000000"/>
                <w:sz w:val="22"/>
                <w:szCs w:val="22"/>
              </w:rPr>
            </w:pPr>
          </w:p>
        </w:tc>
        <w:tc>
          <w:tcPr>
            <w:tcW w:w="1885" w:type="dxa"/>
            <w:tcBorders>
              <w:top w:val="nil"/>
              <w:left w:val="nil"/>
              <w:bottom w:val="single" w:color="000000" w:sz="4" w:space="0"/>
              <w:right w:val="single" w:color="000000" w:sz="4" w:space="0"/>
            </w:tcBorders>
            <w:shd w:val="clear" w:color="auto" w:fill="FFFFFF"/>
            <w:noWrap/>
            <w:vAlign w:val="center"/>
          </w:tcPr>
          <w:p>
            <w:pPr>
              <w:jc w:val="right"/>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3043"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人员经费合计</w:t>
            </w:r>
          </w:p>
        </w:tc>
        <w:tc>
          <w:tcPr>
            <w:tcW w:w="1328"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497.71</w:t>
            </w:r>
          </w:p>
        </w:tc>
        <w:tc>
          <w:tcPr>
            <w:tcW w:w="14050" w:type="dxa"/>
            <w:gridSpan w:val="5"/>
            <w:tcBorders>
              <w:top w:val="nil"/>
              <w:left w:val="nil"/>
              <w:bottom w:val="single" w:color="000000" w:sz="4" w:space="0"/>
              <w:right w:val="single" w:color="000000" w:sz="4" w:space="0"/>
            </w:tcBorders>
            <w:shd w:val="clear" w:color="FFFFFF" w:fill="FFFFFF"/>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公用经费合计</w:t>
            </w:r>
          </w:p>
        </w:tc>
        <w:tc>
          <w:tcPr>
            <w:tcW w:w="1885" w:type="dxa"/>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99.10</w:t>
            </w:r>
          </w:p>
        </w:tc>
      </w:tr>
    </w:tbl>
    <w:p/>
    <w:p/>
    <w:p>
      <w:pPr>
        <w:rPr>
          <w:rFonts w:ascii="方正小标宋简体" w:hAnsi="宋体" w:eastAsia="方正小标宋简体" w:cs="宋体"/>
          <w:kern w:val="0"/>
          <w:sz w:val="36"/>
          <w:szCs w:val="36"/>
        </w:r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w:t>
      </w:r>
    </w:p>
    <w:p>
      <w:pP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6"/>
        <w:tblW w:w="14740" w:type="dxa"/>
        <w:tblInd w:w="96" w:type="dxa"/>
        <w:tblLayout w:type="autofit"/>
        <w:tblCellMar>
          <w:top w:w="0" w:type="dxa"/>
          <w:left w:w="108" w:type="dxa"/>
          <w:bottom w:w="0" w:type="dxa"/>
          <w:right w:w="108" w:type="dxa"/>
        </w:tblCellMar>
      </w:tblPr>
      <w:tblGrid>
        <w:gridCol w:w="1216"/>
        <w:gridCol w:w="1285"/>
        <w:gridCol w:w="1217"/>
        <w:gridCol w:w="1217"/>
        <w:gridCol w:w="1217"/>
        <w:gridCol w:w="1217"/>
        <w:gridCol w:w="1217"/>
        <w:gridCol w:w="1286"/>
        <w:gridCol w:w="1217"/>
        <w:gridCol w:w="1217"/>
        <w:gridCol w:w="1217"/>
        <w:gridCol w:w="1217"/>
      </w:tblGrid>
      <w:tr>
        <w:tblPrEx>
          <w:tblCellMar>
            <w:top w:w="0" w:type="dxa"/>
            <w:left w:w="108" w:type="dxa"/>
            <w:bottom w:w="0" w:type="dxa"/>
            <w:right w:w="108" w:type="dxa"/>
          </w:tblCellMar>
        </w:tblPrEx>
        <w:trPr>
          <w:trHeight w:val="308" w:hRule="atLeast"/>
        </w:trPr>
        <w:tc>
          <w:tcPr>
            <w:tcW w:w="886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8862" w:type="dxa"/>
            <w:gridSpan w:val="6"/>
            <w:tcBorders>
              <w:top w:val="single" w:color="000000" w:sz="4" w:space="0"/>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308" w:hRule="atLeast"/>
        </w:trPr>
        <w:tc>
          <w:tcPr>
            <w:tcW w:w="1477"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47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4431"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47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147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47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4431" w:type="dxa"/>
            <w:gridSpan w:val="3"/>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公务用车购置及运行费</w:t>
            </w:r>
          </w:p>
        </w:tc>
        <w:tc>
          <w:tcPr>
            <w:tcW w:w="1477" w:type="dxa"/>
            <w:vMerge w:val="restart"/>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615" w:hRule="atLeast"/>
        </w:trPr>
        <w:tc>
          <w:tcPr>
            <w:tcW w:w="1477"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7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47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7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7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公务用车运行费</w:t>
            </w:r>
          </w:p>
        </w:tc>
        <w:tc>
          <w:tcPr>
            <w:tcW w:w="1477" w:type="dxa"/>
            <w:vMerge w:val="continue"/>
            <w:tcBorders>
              <w:top w:val="nil"/>
              <w:left w:val="nil"/>
              <w:bottom w:val="single" w:color="000000" w:sz="4" w:space="0"/>
              <w:right w:val="single" w:color="000000" w:sz="4" w:space="0"/>
            </w:tcBorders>
            <w:shd w:val="clear" w:color="FFFFFF"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08" w:hRule="atLeast"/>
        </w:trPr>
        <w:tc>
          <w:tcPr>
            <w:tcW w:w="1477"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477"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9.44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1.44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7.94</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6.56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0.00</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6.56</w:t>
            </w:r>
          </w:p>
        </w:tc>
        <w:tc>
          <w:tcPr>
            <w:tcW w:w="0" w:type="auto"/>
            <w:tcBorders>
              <w:top w:val="nil"/>
              <w:left w:val="nil"/>
              <w:bottom w:val="single" w:color="000000" w:sz="4" w:space="0"/>
              <w:right w:val="single" w:color="000000" w:sz="4" w:space="0"/>
            </w:tcBorders>
            <w:shd w:val="clear" w:color="auto" w:fill="FFFFFF"/>
            <w:noWrap/>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1.38</w:t>
            </w:r>
          </w:p>
        </w:tc>
      </w:tr>
    </w:tbl>
    <w:p/>
    <w:p/>
    <w:p/>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p/>
    <w:tbl>
      <w:tblPr>
        <w:tblStyle w:val="6"/>
        <w:tblW w:w="14740" w:type="dxa"/>
        <w:jc w:val="center"/>
        <w:tblLayout w:type="fixed"/>
        <w:tblCellMar>
          <w:top w:w="0" w:type="dxa"/>
          <w:left w:w="108" w:type="dxa"/>
          <w:bottom w:w="0" w:type="dxa"/>
          <w:right w:w="108" w:type="dxa"/>
        </w:tblCellMar>
      </w:tblPr>
      <w:tblGrid>
        <w:gridCol w:w="1229"/>
        <w:gridCol w:w="1637"/>
        <w:gridCol w:w="904"/>
        <w:gridCol w:w="1228"/>
        <w:gridCol w:w="1228"/>
        <w:gridCol w:w="1228"/>
        <w:gridCol w:w="1228"/>
        <w:gridCol w:w="1228"/>
        <w:gridCol w:w="1228"/>
        <w:gridCol w:w="1228"/>
        <w:gridCol w:w="1205"/>
        <w:gridCol w:w="1169"/>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rPr>
        <w:t>注：本表反映部门本年度政府性基金预算财政拨款收入支出及结转和结余情况。</w:t>
      </w:r>
    </w:p>
    <w:p>
      <w:pPr>
        <w:spacing w:line="560" w:lineRule="exact"/>
        <w:ind w:firstLine="420"/>
        <w:rPr>
          <w:rFonts w:eastAsia="仿宋_GB231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rPr>
        <w:t>三江侗族自治县人民检察院没有政府性基金预算财政拨款收入，也没有政府性基金预算财政拨款安排的支出，故本表无数据</w:t>
      </w:r>
    </w:p>
    <w:p>
      <w:pPr>
        <w:spacing w:line="560" w:lineRule="exact"/>
      </w:pPr>
    </w:p>
    <w:tbl>
      <w:tblPr>
        <w:tblStyle w:val="6"/>
        <w:tblW w:w="14740" w:type="dxa"/>
        <w:tblInd w:w="0" w:type="dxa"/>
        <w:tblLayout w:type="fixed"/>
        <w:tblCellMar>
          <w:top w:w="15" w:type="dxa"/>
          <w:left w:w="15" w:type="dxa"/>
          <w:bottom w:w="15" w:type="dxa"/>
          <w:right w:w="15" w:type="dxa"/>
        </w:tblCellMar>
      </w:tblPr>
      <w:tblGrid>
        <w:gridCol w:w="1436"/>
        <w:gridCol w:w="1409"/>
        <w:gridCol w:w="2452"/>
        <w:gridCol w:w="3535"/>
        <w:gridCol w:w="1465"/>
        <w:gridCol w:w="4443"/>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2"/>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注：本表反映部门本年度国有资本经营预算财政拨款支出情况。</w:t>
            </w:r>
          </w:p>
        </w:tc>
      </w:tr>
    </w:tbl>
    <w:p>
      <w:pPr>
        <w:spacing w:line="560" w:lineRule="exact"/>
        <w:ind w:firstLine="420"/>
        <w:rPr>
          <w:rFonts w:eastAsia="仿宋_GB231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rPr>
        <w:t>三江侗族自治县人民检察院没有</w:t>
      </w:r>
      <w:r>
        <w:rPr>
          <w:rFonts w:hint="eastAsia" w:ascii="华文中宋" w:hAnsi="华文中宋" w:eastAsia="华文中宋" w:cs="华文中宋"/>
          <w:color w:val="000000"/>
          <w:kern w:val="0"/>
          <w:sz w:val="32"/>
          <w:szCs w:val="32"/>
        </w:rPr>
        <w:t>国有资本经营预算财政拨款</w:t>
      </w:r>
      <w:r>
        <w:rPr>
          <w:rFonts w:hint="eastAsia" w:ascii="仿宋_GB2312" w:hAnsi="黑体" w:eastAsia="仿宋_GB2312"/>
          <w:b/>
          <w:sz w:val="32"/>
          <w:szCs w:val="32"/>
        </w:rPr>
        <w:t>收入，也没有</w:t>
      </w:r>
      <w:r>
        <w:rPr>
          <w:rFonts w:hint="eastAsia" w:ascii="华文中宋" w:hAnsi="华文中宋" w:eastAsia="华文中宋" w:cs="华文中宋"/>
          <w:color w:val="000000"/>
          <w:kern w:val="0"/>
          <w:sz w:val="32"/>
          <w:szCs w:val="32"/>
        </w:rPr>
        <w:t>国有资本经营预算财政拨款</w:t>
      </w:r>
      <w:r>
        <w:rPr>
          <w:rFonts w:hint="eastAsia" w:ascii="仿宋_GB2312" w:hAnsi="黑体" w:eastAsia="仿宋_GB2312"/>
          <w:b/>
          <w:sz w:val="32"/>
          <w:szCs w:val="32"/>
        </w:rPr>
        <w:t>安排的支出，故本表无数据。</w:t>
      </w:r>
    </w:p>
    <w:p>
      <w:pPr>
        <w:spacing w:line="580" w:lineRule="exact"/>
        <w:rPr>
          <w:rFonts w:ascii="仿宋_GB2312" w:eastAsia="仿宋_GB2312"/>
          <w:b/>
          <w:sz w:val="32"/>
          <w:szCs w:val="32"/>
          <w:highlight w:val="none"/>
        </w:rPr>
      </w:pPr>
      <w:r>
        <w:rPr>
          <w:rFonts w:hint="eastAsia" w:ascii="仿宋_GB2312" w:eastAsia="仿宋_GB2312"/>
          <w:b/>
          <w:sz w:val="32"/>
          <w:szCs w:val="32"/>
        </w:rPr>
        <w:t>第三部</w:t>
      </w:r>
      <w:r>
        <w:rPr>
          <w:rFonts w:hint="eastAsia" w:ascii="仿宋_GB2312" w:eastAsia="仿宋_GB2312"/>
          <w:b/>
          <w:sz w:val="32"/>
          <w:szCs w:val="32"/>
          <w:highlight w:val="none"/>
        </w:rPr>
        <w:t>分：三江侗族自治县人民检察院2020年度部门决算情况说明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2020年度收入总计</w:t>
      </w:r>
      <w:r>
        <w:rPr>
          <w:rFonts w:hint="eastAsia" w:ascii="仿宋_GB2312" w:eastAsia="仿宋_GB2312"/>
          <w:sz w:val="32"/>
          <w:szCs w:val="32"/>
          <w:highlight w:val="none"/>
        </w:rPr>
        <w:t>1235.40</w:t>
      </w:r>
      <w:r>
        <w:rPr>
          <w:rFonts w:hint="eastAsia" w:ascii="仿宋_GB2312" w:eastAsia="仿宋_GB2312" w:cs="仿宋_GB2312"/>
          <w:bCs/>
          <w:kern w:val="0"/>
          <w:sz w:val="32"/>
          <w:szCs w:val="32"/>
          <w:highlight w:val="none"/>
        </w:rPr>
        <w:t>万元，支出总计</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万元，与2019年相比，收入增加68.04万元，增长5.83%，支出增加65.61万元，增长5.62%。</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二、</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本年收入总计</w:t>
      </w:r>
      <w:r>
        <w:rPr>
          <w:rFonts w:hint="eastAsia" w:ascii="仿宋_GB2312" w:eastAsia="仿宋_GB2312"/>
          <w:sz w:val="32"/>
          <w:szCs w:val="32"/>
          <w:highlight w:val="none"/>
        </w:rPr>
        <w:t>1235.40</w:t>
      </w:r>
      <w:r>
        <w:rPr>
          <w:rFonts w:hint="eastAsia" w:ascii="仿宋_GB2312" w:eastAsia="仿宋_GB2312" w:cs="仿宋_GB2312"/>
          <w:bCs/>
          <w:kern w:val="0"/>
          <w:sz w:val="32"/>
          <w:szCs w:val="32"/>
          <w:highlight w:val="none"/>
        </w:rPr>
        <w:t>万元 ，其中：一般公共预算财政拨款收入</w:t>
      </w:r>
      <w:r>
        <w:rPr>
          <w:rFonts w:hint="eastAsia" w:ascii="仿宋_GB2312" w:eastAsia="仿宋_GB2312"/>
          <w:sz w:val="32"/>
          <w:szCs w:val="32"/>
          <w:highlight w:val="none"/>
        </w:rPr>
        <w:t>1235.40</w:t>
      </w:r>
      <w:r>
        <w:rPr>
          <w:rFonts w:hint="eastAsia" w:ascii="仿宋_GB2312" w:eastAsia="仿宋_GB2312" w:cs="仿宋_GB2312"/>
          <w:bCs/>
          <w:kern w:val="0"/>
          <w:sz w:val="32"/>
          <w:szCs w:val="32"/>
          <w:highlight w:val="none"/>
        </w:rPr>
        <w:t>万元；占比100% 。</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三、</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本年支出合计 </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万元，其中：基本支出926.41万元，占75.14%；项目支出306.55万元， 占24.86%。</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四、</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 2020年度财政拨款收、支总决算 </w:t>
      </w:r>
      <w:r>
        <w:rPr>
          <w:rFonts w:hint="eastAsia" w:ascii="仿宋_GB2312" w:eastAsia="仿宋_GB2312"/>
          <w:sz w:val="32"/>
          <w:szCs w:val="32"/>
          <w:highlight w:val="none"/>
        </w:rPr>
        <w:t>1235.40</w:t>
      </w:r>
      <w:r>
        <w:rPr>
          <w:rFonts w:hint="eastAsia" w:ascii="仿宋_GB2312" w:eastAsia="仿宋_GB2312" w:cs="仿宋_GB2312"/>
          <w:bCs/>
          <w:kern w:val="0"/>
          <w:sz w:val="32"/>
          <w:szCs w:val="32"/>
          <w:highlight w:val="none"/>
        </w:rPr>
        <w:t xml:space="preserve">万元、 </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万元。与 2019 年相比，财政拨款收入增加68.04万元，增长5.83%，支出增加65.61万元，增长5.62%。</w:t>
      </w:r>
    </w:p>
    <w:p>
      <w:pPr>
        <w:autoSpaceDE w:val="0"/>
        <w:autoSpaceDN w:val="0"/>
        <w:adjustRightInd w:val="0"/>
        <w:spacing w:line="580" w:lineRule="exact"/>
        <w:ind w:firstLine="643" w:firstLineChars="200"/>
        <w:jc w:val="left"/>
        <w:rPr>
          <w:rFonts w:eastAsia="仿宋_GB2312"/>
          <w:b/>
          <w:kern w:val="0"/>
          <w:sz w:val="32"/>
          <w:szCs w:val="32"/>
          <w:highlight w:val="none"/>
        </w:rPr>
      </w:pPr>
      <w:r>
        <w:rPr>
          <w:rFonts w:hint="eastAsia" w:ascii="仿宋_GB2312" w:eastAsia="仿宋_GB2312" w:cs="仿宋_GB2312"/>
          <w:b/>
          <w:kern w:val="0"/>
          <w:sz w:val="32"/>
          <w:szCs w:val="32"/>
          <w:highlight w:val="none"/>
        </w:rPr>
        <w:t>五、</w:t>
      </w:r>
      <w:r>
        <w:rPr>
          <w:rFonts w:hint="eastAsia" w:eastAsia="仿宋_GB2312"/>
          <w:b/>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 2020年度财政拨款支出</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万元，占本年支出合计的 100%。与 2019年相比，财政拨款支出增65.61 万元，增加5.62%。</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万元，主要用于以下方面：公共安全支出（类）支出 625.79万元，占50.75%；社会保障和就业（类）支出84.79万元，占6.88%；卫生健康支出（类）支出54.08 万元，占4.39%； 住房保障（类）支出37.48万元，占3.04%；其他支出（类）支出430.83 万元，占 39.94%。</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 年度财政拨款支出年初预算为0万元，支出决算为</w:t>
      </w:r>
      <w:r>
        <w:rPr>
          <w:rFonts w:hint="eastAsia" w:ascii="仿宋_GB2312" w:eastAsia="仿宋_GB2312"/>
          <w:sz w:val="32"/>
          <w:szCs w:val="32"/>
          <w:highlight w:val="none"/>
        </w:rPr>
        <w:t>1232.97</w:t>
      </w:r>
      <w:r>
        <w:rPr>
          <w:rFonts w:hint="eastAsia" w:ascii="仿宋_GB2312" w:eastAsia="仿宋_GB2312" w:cs="仿宋_GB2312"/>
          <w:bCs/>
          <w:kern w:val="0"/>
          <w:sz w:val="32"/>
          <w:szCs w:val="32"/>
          <w:highlight w:val="none"/>
        </w:rPr>
        <w:t>万元，完成年初预算的100%。决算数大于预算数的主要原因：一是年中追加安排财政拨款支出预算，涉及项目有考评奖；二是部分支出按规定，通过使用以前年度财政拨款结转资金解决。其中：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1.公共安全支出（类）检察（款）行政运行（项）。 年初预算为0万元，支出决算为420.46万元，完成年初预算的 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2.公共安全支出（类）检察（款）一般行政管理事务（项）。年初预算为0万元，支出决算为163.66 万元，完成年初预算的 100 %。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3.公共安全支出（类）检察（款）检察监督（项）。年初 预算为0万元，支出决算为40.16万元，完成年初预算的100%。决算数大于预算数的主要原因是当年追加装备款等。</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4.公共安全支出（类）检察（款）其他检察支出（项）。年初 预算为0万元，支出决算为1.5万元，完成年初预算的100%。决算数等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5.社会保障和就业支出（类）行政事业单位养老支出（款）行政单位离退休（项）。年初 预算为0万元，支出决算为6.9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6.社会保障和就业支出（类）行政事业单位养老支出（款）机关事业单位基本养老保险缴费支出（项）。年初 预算为0万元，支出决算为51.93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7.社会保障和就业支出（类）行政事业单位养老支出（款） 机关事业单位职业年金缴费支出（项）。年初 预算为0万元，支出决算为25.96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8.卫生健康支出（类）行政事业单位医疗（款）   行政单位医疗（项）。年初 预算为0万元，支出决算为  24.37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9.卫生健康支出（类）行政事业单位医疗（款）    公务员医疗补助（项）。年初 预算为0万元，支出决算为  29.7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10.住房保障支出（类）住房改革支出（款）住房公积金（项）。年初 预算为0万元，支出决算为37.48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11.其他支出（类）其他支出（款） 其他支出（项）。年初 预算为0万元，支出决算为430.83万元，完成年初预算的100%。决算数大于预算数的主要原因是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六、</w:t>
      </w:r>
      <w:r>
        <w:rPr>
          <w:rFonts w:hint="eastAsia" w:ascii="仿宋_GB2312" w:eastAsia="仿宋_GB2312" w:cs="仿宋_GB2312"/>
          <w:b/>
          <w:kern w:val="0"/>
          <w:sz w:val="32"/>
          <w:szCs w:val="32"/>
          <w:highlight w:val="none"/>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2020年度财政拨款基本支出926.41万元，其中：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人员经费497.71万元，主要包括：基本工资、津贴补贴、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公用经费99.1万元，主要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kern w:val="0"/>
          <w:sz w:val="32"/>
          <w:szCs w:val="32"/>
          <w:highlight w:val="none"/>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 年度“三公”经费财政拨款支出预算为9.44万元，支出决算为7.94万元，完成预算的84.11%，其中：因公出国（境）费支出决算为0万元，完成预算的100%；公务用车购置及运行费支出决算为6.56万元，完成预算的82%；公务接待费支出决算为1.38万元，完成预算的95.83%。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2020年度“三公”经费财政拨款支出决算数比2019年减少1.57万元，下降16.5%，其中：因公出国（境）费支出决 算减少0万元，下降100%；公务用车购置及运行费支出 决算增加1.56万元，增长31.18%；公务接待费支出决算减少3.13万元，下降69.4%。</w:t>
      </w:r>
    </w:p>
    <w:p>
      <w:pPr>
        <w:autoSpaceDE w:val="0"/>
        <w:autoSpaceDN w:val="0"/>
        <w:adjustRightInd w:val="0"/>
        <w:spacing w:line="580" w:lineRule="exact"/>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因公出国（境）费支出与上年持平；公务用车购置及运行费支出减少的主要原 因是认真贯彻落实中央“八项规定”精神和厉行节约要求，进一步从严控制“三公”经费开支，全年实际支出比预算有所节约（根据实际情况作原因陈述）；公务接待费支出减少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2020年度“三公”经费财政拨款支出决算中，因公出国（境）费支出决算0万元，占0%；公务用车购置及运行费 支出决算6.56万元，占82.62 %；公务接待费支出决算1.38万元，占17.38 %。具体情况如下：  </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1.因公出国（境）费支出0万元。全年安排机关和所属单位因公出国 （境）团组0个，累计0人次。</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2.公务用车购置及运行费支出6.56万元。其中： 公务用车购置支出为0万元。公务用车运行支出6.56万元。主要用于去柳州市提审用车等。2020年，机关所属单位开支财政拨款的公务用车保有量为4辆。</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3.公务接待费支出1.38万元。其中：</w:t>
      </w:r>
    </w:p>
    <w:p>
      <w:pPr>
        <w:autoSpaceDE w:val="0"/>
        <w:autoSpaceDN w:val="0"/>
        <w:adjustRightInd w:val="0"/>
        <w:spacing w:line="580" w:lineRule="exact"/>
        <w:ind w:firstLine="64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外宾接待支出0万元。2020 年共接待国（境）外来访团组0个、来访外宾0人次。</w:t>
      </w:r>
    </w:p>
    <w:p>
      <w:pPr>
        <w:autoSpaceDE w:val="0"/>
        <w:autoSpaceDN w:val="0"/>
        <w:adjustRightInd w:val="0"/>
        <w:spacing w:line="580" w:lineRule="exact"/>
        <w:ind w:firstLine="64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国内公务接待支出1.38万元。主要用于单位开展业务工作发生的接待支出。2020 年共接待国内来访团组10个、来宾40人次</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 xml:space="preserve">   八、</w:t>
      </w:r>
      <w:r>
        <w:rPr>
          <w:rFonts w:hint="eastAsia" w:ascii="仿宋_GB2312" w:eastAsia="仿宋_GB2312" w:cs="仿宋_GB2312"/>
          <w:b/>
          <w:kern w:val="0"/>
          <w:sz w:val="32"/>
          <w:szCs w:val="32"/>
          <w:highlight w:val="none"/>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本部门无政府性基金预算财政拨款支出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本部门无国有资本经营预算财政拨款支出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rPr>
        <w:t>十、2020</w:t>
      </w:r>
      <w:r>
        <w:rPr>
          <w:rFonts w:hint="eastAsia" w:ascii="仿宋_GB2312" w:eastAsia="仿宋_GB2312" w:cs="仿宋_GB2312"/>
          <w:b/>
          <w:kern w:val="0"/>
          <w:sz w:val="32"/>
          <w:szCs w:val="32"/>
          <w:highlight w:val="none"/>
        </w:rPr>
        <w:t xml:space="preserve"> 年度预算绩效情况说明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从2020年起我市各县（区）检察院作为柳州市人民检察院二级预算单位纳入柳州市财政局统一管理，因是首次纳入市级预算管理，相关工作尚待理顺，2020年各县（区）检察院未开展绩效考评工作。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（一）机关运行经费支出情况。 2020年度部门机关运行经费支出99.1万元，比 2019年减少124.07万元，减少55.59%，减少原因节约开支。</w:t>
      </w:r>
    </w:p>
    <w:p>
      <w:pPr>
        <w:numPr>
          <w:ilvl w:val="0"/>
          <w:numId w:val="2"/>
        </w:num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政府采购支出情况。本部门无政府采购支出。</w:t>
      </w:r>
    </w:p>
    <w:p>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 xml:space="preserve">（三）国有资产占用情况。截至年末部门共有车辆4辆，其中：执法执勤用车4 辆；单价50万元 以上通用设备0台（套），单价100 万元以上专用设备0台（套）。 </w:t>
      </w:r>
    </w:p>
    <w:p>
      <w:pPr>
        <w:spacing w:line="580" w:lineRule="exact"/>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财政拨款收入：指市本级财政当年拨付的资金。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sz w:val="32"/>
          <w:szCs w:val="32"/>
          <w:highlight w:val="none"/>
        </w:rPr>
        <w:t>使用非财政拨款结余</w:t>
      </w:r>
      <w:r>
        <w:rPr>
          <w:rFonts w:hint="eastAsia" w:ascii="仿宋_GB2312" w:eastAsia="仿宋_GB2312"/>
          <w:bCs/>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highlight w:val="none"/>
        </w:rPr>
      </w:pPr>
    </w:p>
    <w:p>
      <w:pPr>
        <w:rPr>
          <w:highlight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- 4 -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0E4FB20C"/>
    <w:multiLevelType w:val="singleLevel"/>
    <w:tmpl w:val="0E4FB20C"/>
    <w:lvl w:ilvl="0" w:tentative="0">
      <w:start w:val="2"/>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36FA"/>
    <w:rsid w:val="00066CA3"/>
    <w:rsid w:val="00172A27"/>
    <w:rsid w:val="001F1D4B"/>
    <w:rsid w:val="00503759"/>
    <w:rsid w:val="006C1367"/>
    <w:rsid w:val="00715385"/>
    <w:rsid w:val="00961D3F"/>
    <w:rsid w:val="00AB3335"/>
    <w:rsid w:val="00C82B35"/>
    <w:rsid w:val="00C95E86"/>
    <w:rsid w:val="00D224A0"/>
    <w:rsid w:val="00D6338B"/>
    <w:rsid w:val="00DD56EE"/>
    <w:rsid w:val="00F556AD"/>
    <w:rsid w:val="00F66C5B"/>
    <w:rsid w:val="020C3554"/>
    <w:rsid w:val="0249047C"/>
    <w:rsid w:val="03002FD4"/>
    <w:rsid w:val="066C6D1A"/>
    <w:rsid w:val="06D23E11"/>
    <w:rsid w:val="094E08CA"/>
    <w:rsid w:val="0B1F3202"/>
    <w:rsid w:val="0E074DDF"/>
    <w:rsid w:val="0E332B5B"/>
    <w:rsid w:val="0E4804DF"/>
    <w:rsid w:val="0ECC64EC"/>
    <w:rsid w:val="0F0D74EE"/>
    <w:rsid w:val="10686F10"/>
    <w:rsid w:val="124204B5"/>
    <w:rsid w:val="133E3B2B"/>
    <w:rsid w:val="13DD3EE4"/>
    <w:rsid w:val="15377B0B"/>
    <w:rsid w:val="15525603"/>
    <w:rsid w:val="16800271"/>
    <w:rsid w:val="176B7DA0"/>
    <w:rsid w:val="182962AB"/>
    <w:rsid w:val="18A228BB"/>
    <w:rsid w:val="19D073EB"/>
    <w:rsid w:val="1AFA6D28"/>
    <w:rsid w:val="1BD21A60"/>
    <w:rsid w:val="1CC31F67"/>
    <w:rsid w:val="1CDA270F"/>
    <w:rsid w:val="2106447F"/>
    <w:rsid w:val="210D0341"/>
    <w:rsid w:val="216D0E8B"/>
    <w:rsid w:val="2343119A"/>
    <w:rsid w:val="24D337DC"/>
    <w:rsid w:val="26460DBA"/>
    <w:rsid w:val="29C83191"/>
    <w:rsid w:val="2A5F6279"/>
    <w:rsid w:val="2B6F74EB"/>
    <w:rsid w:val="2C4219FE"/>
    <w:rsid w:val="2C60571E"/>
    <w:rsid w:val="2E813A2E"/>
    <w:rsid w:val="2ED8065E"/>
    <w:rsid w:val="2FF85551"/>
    <w:rsid w:val="30E40FE5"/>
    <w:rsid w:val="32B76F6E"/>
    <w:rsid w:val="34020F86"/>
    <w:rsid w:val="3744272D"/>
    <w:rsid w:val="37A06126"/>
    <w:rsid w:val="384B6B0D"/>
    <w:rsid w:val="38AB0427"/>
    <w:rsid w:val="38F90C87"/>
    <w:rsid w:val="39090BFF"/>
    <w:rsid w:val="39A63F06"/>
    <w:rsid w:val="3B0C2BD1"/>
    <w:rsid w:val="3C405722"/>
    <w:rsid w:val="3D0242D4"/>
    <w:rsid w:val="3D02538F"/>
    <w:rsid w:val="3DBE5C0C"/>
    <w:rsid w:val="3ED1439F"/>
    <w:rsid w:val="410641BD"/>
    <w:rsid w:val="41DC7868"/>
    <w:rsid w:val="42D73A49"/>
    <w:rsid w:val="44AE3D05"/>
    <w:rsid w:val="451C35E9"/>
    <w:rsid w:val="468B0040"/>
    <w:rsid w:val="48374EDC"/>
    <w:rsid w:val="4C256E3D"/>
    <w:rsid w:val="4C5C6AF6"/>
    <w:rsid w:val="4CB52F0F"/>
    <w:rsid w:val="4FFC5B5B"/>
    <w:rsid w:val="50ED4072"/>
    <w:rsid w:val="52287D80"/>
    <w:rsid w:val="52361A02"/>
    <w:rsid w:val="532F1F9A"/>
    <w:rsid w:val="543F6789"/>
    <w:rsid w:val="54DF436D"/>
    <w:rsid w:val="56D4594A"/>
    <w:rsid w:val="56ED35E2"/>
    <w:rsid w:val="59016D00"/>
    <w:rsid w:val="5A006509"/>
    <w:rsid w:val="5C146727"/>
    <w:rsid w:val="5D1232DC"/>
    <w:rsid w:val="5D7A5538"/>
    <w:rsid w:val="5E995A3E"/>
    <w:rsid w:val="61A95EDF"/>
    <w:rsid w:val="62163194"/>
    <w:rsid w:val="624D024D"/>
    <w:rsid w:val="634E6108"/>
    <w:rsid w:val="650E086A"/>
    <w:rsid w:val="651F195C"/>
    <w:rsid w:val="68004918"/>
    <w:rsid w:val="68936FD9"/>
    <w:rsid w:val="6A9A1280"/>
    <w:rsid w:val="6ACA6B60"/>
    <w:rsid w:val="6AEF312E"/>
    <w:rsid w:val="6B75369E"/>
    <w:rsid w:val="6B7659BA"/>
    <w:rsid w:val="6BAA0708"/>
    <w:rsid w:val="6CDB6C11"/>
    <w:rsid w:val="708346BE"/>
    <w:rsid w:val="71347284"/>
    <w:rsid w:val="71C754FD"/>
    <w:rsid w:val="721D433F"/>
    <w:rsid w:val="72462F7E"/>
    <w:rsid w:val="728209B3"/>
    <w:rsid w:val="76841E58"/>
    <w:rsid w:val="76B813EB"/>
    <w:rsid w:val="77BB594F"/>
    <w:rsid w:val="77E8161D"/>
    <w:rsid w:val="77E93DD3"/>
    <w:rsid w:val="79C7302F"/>
    <w:rsid w:val="7A727EB7"/>
    <w:rsid w:val="7A8F01EE"/>
    <w:rsid w:val="7D503131"/>
    <w:rsid w:val="7E0875FE"/>
    <w:rsid w:val="7EB041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2154</Words>
  <Characters>12284</Characters>
  <Lines>102</Lines>
  <Paragraphs>28</Paragraphs>
  <TotalTime>30</TotalTime>
  <ScaleCrop>false</ScaleCrop>
  <LinksUpToDate>false</LinksUpToDate>
  <CharactersWithSpaces>14410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2021-08-10T00:51:00Z</dcterms:created>
  <dc:creator>陈冬雪</dc:creator>
  <cp:lastModifiedBy>lenovo-13</cp:lastModifiedBy>
  <cp:lastPrinted>2021-07-07T01:10:00Z</cp:lastPrinted>
  <dcterms:modified xsi:type="dcterms:W3CDTF">2021-08-16T03:39:32Z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1E6632B3FA814F59AFF728EDBAD19080</vt:lpwstr>
  </property>
</Properties>
</file>