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F6" w:rsidRDefault="00DA56F6">
      <w:pPr>
        <w:rPr>
          <w:rFonts w:ascii="仿宋_GB2312" w:eastAsia="仿宋_GB2312" w:cs="ArialUnicodeMS"/>
          <w:kern w:val="0"/>
          <w:sz w:val="32"/>
          <w:szCs w:val="32"/>
        </w:rPr>
      </w:pPr>
    </w:p>
    <w:p w:rsidR="00DA56F6" w:rsidRDefault="00DA56F6">
      <w:pPr>
        <w:rPr>
          <w:rFonts w:ascii="黑体" w:eastAsia="黑体" w:cs="ArialUnicodeMS"/>
          <w:kern w:val="0"/>
          <w:sz w:val="72"/>
          <w:szCs w:val="72"/>
        </w:rPr>
      </w:pPr>
    </w:p>
    <w:p w:rsidR="00DA56F6" w:rsidRDefault="00DA56F6">
      <w:pPr>
        <w:rPr>
          <w:rFonts w:ascii="黑体" w:eastAsia="黑体" w:cs="ArialUnicodeMS"/>
          <w:kern w:val="0"/>
          <w:sz w:val="72"/>
          <w:szCs w:val="72"/>
        </w:rPr>
      </w:pPr>
    </w:p>
    <w:p w:rsidR="00DA56F6" w:rsidRDefault="00BB6496">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城中区人民检察院</w:t>
      </w:r>
    </w:p>
    <w:p w:rsidR="00DA56F6" w:rsidRDefault="00BB6496">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rPr>
          <w:rFonts w:ascii="ArialUnicodeMS" w:eastAsia="ArialUnicodeMS" w:cs="ArialUnicodeMS"/>
          <w:kern w:val="0"/>
          <w:sz w:val="84"/>
          <w:szCs w:val="84"/>
        </w:rPr>
      </w:pPr>
    </w:p>
    <w:p w:rsidR="00DA56F6" w:rsidRDefault="00DA56F6">
      <w:pPr>
        <w:jc w:val="center"/>
        <w:rPr>
          <w:rFonts w:ascii="黑体" w:eastAsia="黑体" w:cs="黑体"/>
          <w:kern w:val="0"/>
          <w:sz w:val="44"/>
          <w:szCs w:val="44"/>
        </w:rPr>
      </w:pPr>
    </w:p>
    <w:p w:rsidR="00DA56F6" w:rsidRDefault="00BB6496">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DA56F6" w:rsidRDefault="00DA56F6">
      <w:pPr>
        <w:ind w:firstLine="645"/>
        <w:rPr>
          <w:rFonts w:ascii="仿宋_GB2312" w:eastAsia="仿宋_GB2312"/>
          <w:b/>
          <w:sz w:val="32"/>
          <w:szCs w:val="32"/>
        </w:rPr>
      </w:pPr>
    </w:p>
    <w:p w:rsidR="00DA56F6" w:rsidRDefault="00BB6496">
      <w:pPr>
        <w:ind w:firstLine="645"/>
        <w:rPr>
          <w:rFonts w:ascii="仿宋_GB2312" w:eastAsia="仿宋_GB2312"/>
          <w:b/>
          <w:sz w:val="32"/>
          <w:szCs w:val="32"/>
        </w:rPr>
      </w:pPr>
      <w:r>
        <w:rPr>
          <w:rFonts w:ascii="仿宋_GB2312" w:eastAsia="仿宋_GB2312" w:hint="eastAsia"/>
          <w:b/>
          <w:sz w:val="32"/>
          <w:szCs w:val="32"/>
        </w:rPr>
        <w:t>第一部分：柳州市</w:t>
      </w:r>
      <w:r>
        <w:rPr>
          <w:rFonts w:ascii="仿宋_GB2312" w:eastAsia="仿宋_GB2312" w:hAnsi="黑体" w:hint="eastAsia"/>
          <w:b/>
          <w:bCs/>
          <w:color w:val="000000"/>
          <w:sz w:val="32"/>
          <w:szCs w:val="32"/>
        </w:rPr>
        <w:t>城中区人民检察院</w:t>
      </w:r>
      <w:r>
        <w:rPr>
          <w:rFonts w:ascii="仿宋_GB2312" w:eastAsia="仿宋_GB2312" w:hint="eastAsia"/>
          <w:b/>
          <w:sz w:val="32"/>
          <w:szCs w:val="32"/>
        </w:rPr>
        <w:t>概况</w:t>
      </w:r>
    </w:p>
    <w:p w:rsidR="00DA56F6" w:rsidRDefault="00BB6496">
      <w:pPr>
        <w:ind w:firstLine="645"/>
        <w:rPr>
          <w:rFonts w:ascii="仿宋_GB2312" w:eastAsia="仿宋_GB2312"/>
          <w:sz w:val="32"/>
          <w:szCs w:val="32"/>
        </w:rPr>
      </w:pPr>
      <w:r>
        <w:rPr>
          <w:rFonts w:ascii="仿宋_GB2312" w:eastAsia="仿宋_GB2312" w:hint="eastAsia"/>
          <w:sz w:val="32"/>
          <w:szCs w:val="32"/>
        </w:rPr>
        <w:t>一、主要职能</w:t>
      </w:r>
    </w:p>
    <w:p w:rsidR="00DA56F6" w:rsidRDefault="00BB6496">
      <w:pPr>
        <w:ind w:firstLine="645"/>
        <w:rPr>
          <w:rFonts w:ascii="仿宋_GB2312" w:eastAsia="仿宋_GB2312"/>
          <w:sz w:val="32"/>
          <w:szCs w:val="32"/>
        </w:rPr>
      </w:pPr>
      <w:r>
        <w:rPr>
          <w:rFonts w:ascii="仿宋_GB2312" w:eastAsia="仿宋_GB2312" w:hint="eastAsia"/>
          <w:sz w:val="32"/>
          <w:szCs w:val="32"/>
        </w:rPr>
        <w:t>二、部门决算单位构成</w:t>
      </w:r>
    </w:p>
    <w:p w:rsidR="00DA56F6" w:rsidRDefault="00BB6496">
      <w:pPr>
        <w:ind w:firstLine="645"/>
        <w:rPr>
          <w:rFonts w:ascii="仿宋_GB2312" w:eastAsia="仿宋_GB2312"/>
          <w:b/>
          <w:sz w:val="32"/>
          <w:szCs w:val="32"/>
        </w:rPr>
      </w:pPr>
      <w:r>
        <w:rPr>
          <w:rFonts w:ascii="仿宋_GB2312" w:eastAsia="仿宋_GB2312" w:hint="eastAsia"/>
          <w:b/>
          <w:sz w:val="32"/>
          <w:szCs w:val="32"/>
        </w:rPr>
        <w:t>第二部分：柳州市</w:t>
      </w:r>
      <w:r>
        <w:rPr>
          <w:rFonts w:ascii="仿宋_GB2312" w:eastAsia="仿宋_GB2312" w:hAnsi="黑体" w:hint="eastAsia"/>
          <w:b/>
          <w:bCs/>
          <w:color w:val="000000"/>
          <w:sz w:val="32"/>
          <w:szCs w:val="32"/>
        </w:rPr>
        <w:t>城中区人民检察院</w:t>
      </w:r>
      <w:r>
        <w:rPr>
          <w:rFonts w:ascii="仿宋_GB2312" w:eastAsia="仿宋_GB2312" w:hint="eastAsia"/>
          <w:b/>
          <w:sz w:val="32"/>
          <w:szCs w:val="32"/>
        </w:rPr>
        <w:t>2020</w:t>
      </w:r>
      <w:r>
        <w:rPr>
          <w:rFonts w:ascii="仿宋_GB2312" w:eastAsia="仿宋_GB2312" w:hint="eastAsia"/>
          <w:b/>
          <w:sz w:val="32"/>
          <w:szCs w:val="32"/>
        </w:rPr>
        <w:t>年部门决算报表</w:t>
      </w:r>
    </w:p>
    <w:p w:rsidR="00DA56F6" w:rsidRDefault="00BB6496">
      <w:pPr>
        <w:ind w:left="645"/>
        <w:rPr>
          <w:rFonts w:ascii="仿宋_GB2312" w:eastAsia="仿宋_GB2312"/>
          <w:sz w:val="32"/>
          <w:szCs w:val="32"/>
        </w:rPr>
      </w:pPr>
      <w:r>
        <w:rPr>
          <w:rFonts w:ascii="仿宋_GB2312" w:eastAsia="仿宋_GB2312" w:hint="eastAsia"/>
          <w:sz w:val="32"/>
          <w:szCs w:val="32"/>
        </w:rPr>
        <w:t>表一：收入支出决算总表</w:t>
      </w:r>
    </w:p>
    <w:p w:rsidR="00DA56F6" w:rsidRDefault="00BB6496">
      <w:pPr>
        <w:ind w:left="645"/>
        <w:rPr>
          <w:rFonts w:ascii="仿宋_GB2312" w:eastAsia="仿宋_GB2312"/>
          <w:sz w:val="32"/>
          <w:szCs w:val="32"/>
        </w:rPr>
      </w:pPr>
      <w:r>
        <w:rPr>
          <w:rFonts w:ascii="仿宋_GB2312" w:eastAsia="仿宋_GB2312" w:hint="eastAsia"/>
          <w:sz w:val="32"/>
          <w:szCs w:val="32"/>
        </w:rPr>
        <w:t>表二：收入决算表</w:t>
      </w:r>
    </w:p>
    <w:p w:rsidR="00DA56F6" w:rsidRDefault="00BB6496">
      <w:pPr>
        <w:ind w:left="645"/>
        <w:rPr>
          <w:rFonts w:ascii="仿宋_GB2312" w:eastAsia="仿宋_GB2312"/>
          <w:sz w:val="32"/>
          <w:szCs w:val="32"/>
        </w:rPr>
      </w:pPr>
      <w:r>
        <w:rPr>
          <w:rFonts w:ascii="仿宋_GB2312" w:eastAsia="仿宋_GB2312" w:hint="eastAsia"/>
          <w:sz w:val="32"/>
          <w:szCs w:val="32"/>
        </w:rPr>
        <w:t>表三：支出决算表</w:t>
      </w:r>
    </w:p>
    <w:p w:rsidR="00DA56F6" w:rsidRDefault="00BB6496">
      <w:pPr>
        <w:ind w:left="645"/>
        <w:rPr>
          <w:rFonts w:ascii="仿宋_GB2312" w:eastAsia="仿宋_GB2312"/>
          <w:sz w:val="32"/>
          <w:szCs w:val="32"/>
        </w:rPr>
      </w:pPr>
      <w:r>
        <w:rPr>
          <w:rFonts w:ascii="仿宋_GB2312" w:eastAsia="仿宋_GB2312" w:hint="eastAsia"/>
          <w:sz w:val="32"/>
          <w:szCs w:val="32"/>
        </w:rPr>
        <w:t>表四：财政拨款收入支出决算总表</w:t>
      </w:r>
    </w:p>
    <w:p w:rsidR="00DA56F6" w:rsidRDefault="00BB649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A56F6" w:rsidRDefault="00BB649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DA56F6" w:rsidRDefault="00BB6496">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DA56F6" w:rsidRDefault="00BB649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A56F6" w:rsidRDefault="00BB6496">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DA56F6" w:rsidRDefault="00BB6496">
      <w:pPr>
        <w:ind w:firstLine="645"/>
        <w:rPr>
          <w:rFonts w:ascii="仿宋_GB2312" w:eastAsia="仿宋_GB2312"/>
          <w:b/>
          <w:sz w:val="32"/>
          <w:szCs w:val="32"/>
        </w:rPr>
      </w:pPr>
      <w:r>
        <w:rPr>
          <w:rFonts w:ascii="仿宋_GB2312" w:eastAsia="仿宋_GB2312" w:hint="eastAsia"/>
          <w:b/>
          <w:sz w:val="32"/>
          <w:szCs w:val="32"/>
        </w:rPr>
        <w:t>第三部分：柳州市</w:t>
      </w:r>
      <w:r>
        <w:rPr>
          <w:rFonts w:ascii="仿宋_GB2312" w:eastAsia="仿宋_GB2312" w:hAnsi="黑体" w:hint="eastAsia"/>
          <w:b/>
          <w:bCs/>
          <w:color w:val="000000"/>
          <w:sz w:val="32"/>
          <w:szCs w:val="32"/>
        </w:rPr>
        <w:t>城中区人民检察院</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DA56F6" w:rsidRDefault="00BB649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DA56F6" w:rsidRDefault="00BB6496">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DA56F6" w:rsidRDefault="00BB649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DA56F6" w:rsidRDefault="00BB649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DA56F6" w:rsidRDefault="00BB6496">
      <w:pPr>
        <w:ind w:firstLine="645"/>
        <w:rPr>
          <w:rFonts w:ascii="仿宋_GB2312" w:eastAsia="仿宋_GB2312"/>
          <w:b/>
          <w:sz w:val="32"/>
          <w:szCs w:val="32"/>
        </w:rPr>
      </w:pPr>
      <w:r>
        <w:rPr>
          <w:rFonts w:ascii="仿宋_GB2312" w:eastAsia="仿宋_GB2312" w:hint="eastAsia"/>
          <w:b/>
          <w:sz w:val="32"/>
          <w:szCs w:val="32"/>
        </w:rPr>
        <w:t>第四部分：名词解释</w:t>
      </w:r>
    </w:p>
    <w:p w:rsidR="00DA56F6" w:rsidRDefault="00BB6496">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第一部分：柳州市</w:t>
      </w:r>
      <w:r>
        <w:rPr>
          <w:rFonts w:ascii="仿宋_GB2312" w:eastAsia="仿宋_GB2312" w:hAnsi="黑体" w:hint="eastAsia"/>
          <w:b/>
          <w:bCs/>
          <w:color w:val="000000"/>
          <w:sz w:val="32"/>
          <w:szCs w:val="32"/>
        </w:rPr>
        <w:t>城中区人民检察院</w:t>
      </w:r>
      <w:r>
        <w:rPr>
          <w:rFonts w:ascii="仿宋_GB2312" w:eastAsia="仿宋_GB2312" w:hint="eastAsia"/>
          <w:b/>
          <w:sz w:val="32"/>
          <w:szCs w:val="32"/>
        </w:rPr>
        <w:t>概况</w:t>
      </w:r>
    </w:p>
    <w:p w:rsidR="00DA56F6" w:rsidRDefault="00BB6496">
      <w:pPr>
        <w:ind w:firstLine="646"/>
        <w:rPr>
          <w:rFonts w:ascii="仿宋_GB2312" w:eastAsia="仿宋_GB2312"/>
          <w:sz w:val="32"/>
          <w:szCs w:val="32"/>
        </w:rPr>
      </w:pPr>
      <w:r>
        <w:rPr>
          <w:rFonts w:ascii="仿宋_GB2312" w:eastAsia="仿宋_GB2312" w:hint="eastAsia"/>
          <w:sz w:val="32"/>
          <w:szCs w:val="32"/>
        </w:rPr>
        <w:t>一、主要职能</w:t>
      </w:r>
    </w:p>
    <w:p w:rsidR="00DA56F6" w:rsidRDefault="00BB6496">
      <w:pPr>
        <w:widowControl/>
        <w:spacing w:before="100" w:beforeAutospacing="1" w:after="100" w:afterAutospacing="1" w:line="560" w:lineRule="exact"/>
        <w:ind w:firstLineChars="200" w:firstLine="640"/>
        <w:jc w:val="left"/>
        <w:rPr>
          <w:rFonts w:ascii="宋体" w:hAnsi="宋体" w:cs="宋体"/>
          <w:kern w:val="0"/>
          <w:sz w:val="24"/>
        </w:rPr>
      </w:pPr>
      <w:r>
        <w:rPr>
          <w:rFonts w:ascii="仿宋_GB2312" w:eastAsia="仿宋_GB2312" w:hAnsi="华文仿宋" w:cs="宋体" w:hint="eastAsia"/>
          <w:kern w:val="0"/>
          <w:sz w:val="32"/>
          <w:szCs w:val="32"/>
        </w:rPr>
        <w:t>本单位作为国家的法律监督机关，依法独立行使检察权，接受上级人民检察院的领导，对同级人民代表大会及其常委会负责并报告工作。其主要职责是：</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（一）对城中区代表大会和</w:t>
      </w:r>
      <w:hyperlink r:id="rId11" w:tgtFrame="http://baike.so.com/doc/_blank" w:history="1">
        <w:r>
          <w:rPr>
            <w:rFonts w:ascii="仿宋_GB2312" w:eastAsia="仿宋_GB2312" w:hAnsi="华文仿宋" w:cs="宋体" w:hint="eastAsia"/>
            <w:kern w:val="0"/>
            <w:sz w:val="32"/>
            <w:szCs w:val="32"/>
          </w:rPr>
          <w:t>城中区人民代表大会常务委员会</w:t>
        </w:r>
      </w:hyperlink>
      <w:r>
        <w:rPr>
          <w:rFonts w:ascii="仿宋_GB2312" w:eastAsia="仿宋_GB2312" w:hAnsi="华文仿宋" w:cs="宋体" w:hint="eastAsia"/>
          <w:kern w:val="0"/>
          <w:sz w:val="32"/>
          <w:szCs w:val="32"/>
        </w:rPr>
        <w:t>负责并报告工作，接受城中区人民代表大会及其常务委员会的监督。</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（二）依法向城中区人民代表大会和城中区人民代表大会常务委员会提出议案。</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（三）依法对侵犯公民人身权利、民主权利的犯罪及经自治区人民检察院决定的对国家机关工作人员利用职权实施的其他重大犯罪案件进行侦查。</w:t>
      </w:r>
      <w:bookmarkStart w:id="0" w:name="_GoBack"/>
      <w:bookmarkEnd w:id="0"/>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（四）对刑事犯罪案件依法审查批捕、提起公诉；对公安机关的立案、侦查活动是否合法进行监督。</w:t>
      </w:r>
      <w:r>
        <w:rPr>
          <w:rFonts w:ascii="仿宋_GB2312" w:eastAsia="仿宋_GB2312" w:hAnsi="华文仿宋" w:cs="宋体" w:hint="eastAsia"/>
          <w:kern w:val="0"/>
          <w:sz w:val="32"/>
          <w:szCs w:val="32"/>
        </w:rPr>
        <w:t xml:space="preserve">  </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（五）开展民事、经济审判和行政诉讼活动的法律监督工作。</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（六）对人民法院已经发生法律效力、确有错误的判决和裁定，依法向最高人民法院提起抗诉。</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（七）受理公民控告、申诉和检举。</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（八）开展公益诉讼工作。</w:t>
      </w:r>
    </w:p>
    <w:p w:rsidR="00DA56F6" w:rsidRDefault="00BB6496">
      <w:pPr>
        <w:ind w:firstLine="640"/>
        <w:rPr>
          <w:rFonts w:ascii="仿宋" w:eastAsia="仿宋" w:hAnsi="仿宋" w:cs="仿宋"/>
          <w:sz w:val="32"/>
          <w:szCs w:val="32"/>
        </w:rPr>
      </w:pPr>
      <w:r>
        <w:rPr>
          <w:rFonts w:ascii="仿宋_GB2312" w:eastAsia="仿宋_GB2312" w:hAnsi="华文仿宋" w:cs="宋体" w:hint="eastAsia"/>
          <w:kern w:val="0"/>
          <w:sz w:val="32"/>
          <w:szCs w:val="32"/>
        </w:rPr>
        <w:t>（九）负责检察机关的</w:t>
      </w:r>
      <w:hyperlink r:id="rId12" w:tgtFrame="http://baike.so.com/doc/_blank" w:history="1">
        <w:r>
          <w:rPr>
            <w:rFonts w:ascii="仿宋_GB2312" w:eastAsia="仿宋_GB2312" w:hAnsi="华文仿宋" w:cs="宋体" w:hint="eastAsia"/>
            <w:kern w:val="0"/>
            <w:sz w:val="32"/>
            <w:szCs w:val="32"/>
          </w:rPr>
          <w:t>思想政治工作</w:t>
        </w:r>
      </w:hyperlink>
      <w:r>
        <w:rPr>
          <w:rFonts w:ascii="仿宋_GB2312" w:eastAsia="仿宋_GB2312" w:hAnsi="华文仿宋" w:cs="宋体" w:hint="eastAsia"/>
          <w:kern w:val="0"/>
          <w:sz w:val="32"/>
          <w:szCs w:val="32"/>
        </w:rPr>
        <w:t>和队伍建设。按</w:t>
      </w:r>
      <w:r>
        <w:rPr>
          <w:rFonts w:ascii="仿宋_GB2312" w:eastAsia="仿宋_GB2312" w:hAnsi="华文仿宋" w:hint="eastAsia"/>
          <w:sz w:val="32"/>
          <w:szCs w:val="32"/>
        </w:rPr>
        <w:t>照权限</w:t>
      </w:r>
      <w:r>
        <w:rPr>
          <w:rFonts w:ascii="仿宋_GB2312" w:eastAsia="仿宋_GB2312" w:hAnsi="华文仿宋" w:hint="eastAsia"/>
          <w:sz w:val="32"/>
          <w:szCs w:val="32"/>
        </w:rPr>
        <w:lastRenderedPageBreak/>
        <w:t>管理检察官、书记员、司法行政人员和司法警察</w:t>
      </w:r>
      <w:r>
        <w:rPr>
          <w:rFonts w:ascii="仿宋" w:eastAsia="仿宋" w:hAnsi="仿宋" w:cs="仿宋" w:hint="eastAsia"/>
          <w:sz w:val="32"/>
          <w:szCs w:val="32"/>
        </w:rPr>
        <w:t>。</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（十）负责本院财务、装备工作及有关经费的计划、组织、管理工作；制定本院岗位目标管理责任制</w:t>
      </w:r>
      <w:r>
        <w:rPr>
          <w:rFonts w:ascii="仿宋_GB2312" w:eastAsia="仿宋_GB2312" w:hAnsi="华文仿宋" w:cs="宋体" w:hint="eastAsia"/>
          <w:kern w:val="0"/>
          <w:sz w:val="32"/>
          <w:szCs w:val="32"/>
        </w:rPr>
        <w:t>及规范化管理。</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（十一）结合检察工作特点，加强法制宣传，参与社会治安综合治理，促进社会主义民主与法治建设。</w:t>
      </w:r>
    </w:p>
    <w:p w:rsidR="00DA56F6" w:rsidRDefault="00BB6496">
      <w:pPr>
        <w:ind w:firstLine="640"/>
        <w:rPr>
          <w:rFonts w:ascii="仿宋_GB2312" w:eastAsia="仿宋_GB2312" w:hAnsi="华文仿宋" w:cs="宋体"/>
          <w:kern w:val="0"/>
          <w:sz w:val="32"/>
          <w:szCs w:val="32"/>
        </w:rPr>
      </w:pPr>
      <w:r>
        <w:rPr>
          <w:rFonts w:ascii="仿宋_GB2312" w:eastAsia="仿宋_GB2312" w:hAnsi="华文仿宋" w:cs="宋体" w:hint="eastAsia"/>
          <w:kern w:val="0"/>
          <w:sz w:val="32"/>
          <w:szCs w:val="32"/>
        </w:rPr>
        <w:t>（十二）承办上级人民检察院交办的其他事项。</w:t>
      </w:r>
    </w:p>
    <w:p w:rsidR="00DA56F6" w:rsidRDefault="00BB6496">
      <w:pPr>
        <w:ind w:firstLine="646"/>
        <w:rPr>
          <w:rFonts w:ascii="仿宋_GB2312" w:eastAsia="仿宋_GB2312"/>
          <w:sz w:val="32"/>
          <w:szCs w:val="32"/>
        </w:rPr>
      </w:pPr>
      <w:r>
        <w:rPr>
          <w:rFonts w:ascii="仿宋_GB2312" w:eastAsia="仿宋_GB2312" w:hint="eastAsia"/>
          <w:sz w:val="32"/>
          <w:szCs w:val="32"/>
        </w:rPr>
        <w:t>二、部门决算单位构成</w:t>
      </w:r>
    </w:p>
    <w:p w:rsidR="00DA56F6" w:rsidRDefault="00BB6496">
      <w:pPr>
        <w:ind w:firstLineChars="400" w:firstLine="1280"/>
        <w:rPr>
          <w:rFonts w:ascii="仿宋_GB2312" w:eastAsia="仿宋_GB2312" w:hAnsi="华文仿宋" w:cs="宋体"/>
          <w:kern w:val="0"/>
          <w:sz w:val="32"/>
          <w:szCs w:val="32"/>
        </w:rPr>
      </w:pPr>
      <w:r>
        <w:rPr>
          <w:rFonts w:ascii="仿宋_GB2312" w:eastAsia="仿宋_GB2312" w:hAnsi="华文仿宋" w:cs="宋体" w:hint="eastAsia"/>
          <w:kern w:val="0"/>
          <w:sz w:val="32"/>
          <w:szCs w:val="32"/>
        </w:rPr>
        <w:t>城中区人民检察院为广西壮族自治区人民检察院管理的全额拨款政法机关单位。共有内设</w:t>
      </w:r>
      <w:r>
        <w:rPr>
          <w:rFonts w:ascii="仿宋_GB2312" w:eastAsia="仿宋_GB2312" w:hAnsi="华文仿宋" w:cs="宋体" w:hint="eastAsia"/>
          <w:kern w:val="0"/>
          <w:sz w:val="32"/>
          <w:szCs w:val="32"/>
        </w:rPr>
        <w:t>5</w:t>
      </w:r>
      <w:r>
        <w:rPr>
          <w:rFonts w:ascii="仿宋_GB2312" w:eastAsia="仿宋_GB2312" w:hAnsi="华文仿宋" w:cs="宋体" w:hint="eastAsia"/>
          <w:kern w:val="0"/>
          <w:sz w:val="32"/>
          <w:szCs w:val="32"/>
        </w:rPr>
        <w:t>个机构（其中业务部门</w:t>
      </w:r>
      <w:r>
        <w:rPr>
          <w:rFonts w:ascii="仿宋_GB2312" w:eastAsia="仿宋_GB2312" w:hAnsi="华文仿宋" w:cs="宋体" w:hint="eastAsia"/>
          <w:kern w:val="0"/>
          <w:sz w:val="32"/>
          <w:szCs w:val="32"/>
        </w:rPr>
        <w:t>3</w:t>
      </w:r>
      <w:r>
        <w:rPr>
          <w:rFonts w:ascii="仿宋_GB2312" w:eastAsia="仿宋_GB2312" w:hAnsi="华文仿宋" w:cs="宋体" w:hint="eastAsia"/>
          <w:kern w:val="0"/>
          <w:sz w:val="32"/>
          <w:szCs w:val="32"/>
        </w:rPr>
        <w:t>个，后勤保障部门</w:t>
      </w:r>
      <w:r>
        <w:rPr>
          <w:rFonts w:ascii="仿宋_GB2312" w:eastAsia="仿宋_GB2312" w:hAnsi="华文仿宋" w:cs="宋体" w:hint="eastAsia"/>
          <w:kern w:val="0"/>
          <w:sz w:val="32"/>
          <w:szCs w:val="32"/>
        </w:rPr>
        <w:t>2</w:t>
      </w:r>
      <w:r>
        <w:rPr>
          <w:rFonts w:ascii="仿宋_GB2312" w:eastAsia="仿宋_GB2312" w:hAnsi="华文仿宋" w:cs="宋体" w:hint="eastAsia"/>
          <w:kern w:val="0"/>
          <w:sz w:val="32"/>
          <w:szCs w:val="32"/>
        </w:rPr>
        <w:t>个），分别为第一检察部、第二检察部、第三检察部、政治部、办公室；无下属二层机构。干警编制有政法编</w:t>
      </w:r>
      <w:r>
        <w:rPr>
          <w:rFonts w:ascii="仿宋_GB2312" w:eastAsia="仿宋_GB2312" w:hAnsi="华文仿宋" w:cs="宋体" w:hint="eastAsia"/>
          <w:kern w:val="0"/>
          <w:sz w:val="32"/>
          <w:szCs w:val="32"/>
        </w:rPr>
        <w:t>30</w:t>
      </w:r>
      <w:r>
        <w:rPr>
          <w:rFonts w:ascii="仿宋_GB2312" w:eastAsia="仿宋_GB2312" w:hAnsi="华文仿宋" w:cs="宋体" w:hint="eastAsia"/>
          <w:kern w:val="0"/>
          <w:sz w:val="32"/>
          <w:szCs w:val="32"/>
        </w:rPr>
        <w:t>名和工勤事业编</w:t>
      </w:r>
      <w:r>
        <w:rPr>
          <w:rFonts w:ascii="仿宋_GB2312" w:eastAsia="仿宋_GB2312" w:hAnsi="华文仿宋" w:cs="宋体" w:hint="eastAsia"/>
          <w:kern w:val="0"/>
          <w:sz w:val="32"/>
          <w:szCs w:val="32"/>
        </w:rPr>
        <w:t>4</w:t>
      </w:r>
      <w:r>
        <w:rPr>
          <w:rFonts w:ascii="仿宋_GB2312" w:eastAsia="仿宋_GB2312" w:hAnsi="华文仿宋" w:cs="宋体" w:hint="eastAsia"/>
          <w:kern w:val="0"/>
          <w:sz w:val="32"/>
          <w:szCs w:val="32"/>
        </w:rPr>
        <w:t>名。目前，实有干警人数</w:t>
      </w:r>
      <w:r>
        <w:rPr>
          <w:rFonts w:ascii="仿宋_GB2312" w:eastAsia="仿宋_GB2312" w:hAnsi="华文仿宋" w:cs="宋体" w:hint="eastAsia"/>
          <w:kern w:val="0"/>
          <w:sz w:val="32"/>
          <w:szCs w:val="32"/>
        </w:rPr>
        <w:t>25</w:t>
      </w:r>
      <w:r>
        <w:rPr>
          <w:rFonts w:ascii="仿宋_GB2312" w:eastAsia="仿宋_GB2312" w:hAnsi="华文仿宋" w:cs="宋体" w:hint="eastAsia"/>
          <w:kern w:val="0"/>
          <w:sz w:val="32"/>
          <w:szCs w:val="32"/>
        </w:rPr>
        <w:t>人，其中政法编</w:t>
      </w:r>
      <w:r>
        <w:rPr>
          <w:rFonts w:ascii="仿宋_GB2312" w:eastAsia="仿宋_GB2312" w:hAnsi="华文仿宋" w:cs="宋体" w:hint="eastAsia"/>
          <w:kern w:val="0"/>
          <w:sz w:val="32"/>
          <w:szCs w:val="32"/>
        </w:rPr>
        <w:t>24</w:t>
      </w:r>
      <w:r>
        <w:rPr>
          <w:rFonts w:ascii="仿宋_GB2312" w:eastAsia="仿宋_GB2312" w:hAnsi="华文仿宋" w:cs="宋体" w:hint="eastAsia"/>
          <w:kern w:val="0"/>
          <w:sz w:val="32"/>
          <w:szCs w:val="32"/>
        </w:rPr>
        <w:t>人，工勤事业编</w:t>
      </w:r>
      <w:r>
        <w:rPr>
          <w:rFonts w:ascii="仿宋_GB2312" w:eastAsia="仿宋_GB2312" w:hAnsi="华文仿宋" w:cs="宋体" w:hint="eastAsia"/>
          <w:kern w:val="0"/>
          <w:sz w:val="32"/>
          <w:szCs w:val="32"/>
        </w:rPr>
        <w:t>1</w:t>
      </w:r>
      <w:r>
        <w:rPr>
          <w:rFonts w:ascii="仿宋_GB2312" w:eastAsia="仿宋_GB2312" w:hAnsi="华文仿宋" w:cs="宋体" w:hint="eastAsia"/>
          <w:kern w:val="0"/>
          <w:sz w:val="32"/>
          <w:szCs w:val="32"/>
        </w:rPr>
        <w:t>人。</w:t>
      </w:r>
    </w:p>
    <w:p w:rsidR="00DA56F6" w:rsidRDefault="00DA56F6">
      <w:pPr>
        <w:ind w:firstLine="645"/>
        <w:rPr>
          <w:rFonts w:ascii="仿宋_GB2312" w:eastAsia="仿宋_GB2312"/>
          <w:sz w:val="32"/>
          <w:szCs w:val="32"/>
        </w:rP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Pr>
        <w:jc w:val="center"/>
      </w:pPr>
    </w:p>
    <w:p w:rsidR="00DA56F6" w:rsidRDefault="00DA56F6"/>
    <w:p w:rsidR="00DA56F6" w:rsidRDefault="00BB6496">
      <w:pPr>
        <w:rPr>
          <w:rFonts w:ascii="仿宋_GB2312" w:eastAsia="仿宋_GB2312"/>
          <w:b/>
          <w:sz w:val="32"/>
          <w:szCs w:val="32"/>
        </w:rPr>
      </w:pPr>
      <w:r>
        <w:rPr>
          <w:rFonts w:ascii="仿宋_GB2312" w:eastAsia="仿宋_GB2312" w:hint="eastAsia"/>
          <w:b/>
          <w:sz w:val="32"/>
          <w:szCs w:val="32"/>
        </w:rPr>
        <w:lastRenderedPageBreak/>
        <w:t>第二部分：柳州市</w:t>
      </w:r>
      <w:r>
        <w:rPr>
          <w:rFonts w:ascii="仿宋_GB2312" w:eastAsia="仿宋_GB2312" w:hAnsi="黑体" w:hint="eastAsia"/>
          <w:b/>
          <w:bCs/>
          <w:color w:val="000000"/>
          <w:sz w:val="32"/>
          <w:szCs w:val="32"/>
        </w:rPr>
        <w:t>城中区人民检察院</w:t>
      </w:r>
      <w:r>
        <w:rPr>
          <w:rFonts w:ascii="仿宋_GB2312" w:eastAsia="仿宋_GB2312" w:hint="eastAsia"/>
          <w:b/>
          <w:sz w:val="32"/>
          <w:szCs w:val="32"/>
        </w:rPr>
        <w:t xml:space="preserve"> 2020</w:t>
      </w:r>
      <w:r>
        <w:rPr>
          <w:rFonts w:ascii="仿宋_GB2312" w:eastAsia="仿宋_GB2312" w:hint="eastAsia"/>
          <w:b/>
          <w:sz w:val="32"/>
          <w:szCs w:val="32"/>
        </w:rPr>
        <w:t>年部门决算报表</w:t>
      </w:r>
    </w:p>
    <w:p w:rsidR="00DA56F6" w:rsidRDefault="00DA56F6"/>
    <w:tbl>
      <w:tblPr>
        <w:tblW w:w="8720" w:type="dxa"/>
        <w:jc w:val="center"/>
        <w:tblLayout w:type="fixed"/>
        <w:tblLook w:val="04A0" w:firstRow="1" w:lastRow="0" w:firstColumn="1" w:lastColumn="0" w:noHBand="0" w:noVBand="1"/>
      </w:tblPr>
      <w:tblGrid>
        <w:gridCol w:w="2895"/>
        <w:gridCol w:w="1085"/>
        <w:gridCol w:w="3123"/>
        <w:gridCol w:w="1552"/>
        <w:gridCol w:w="65"/>
      </w:tblGrid>
      <w:tr w:rsidR="00DA56F6">
        <w:trPr>
          <w:gridAfter w:val="1"/>
          <w:wAfter w:w="65" w:type="dxa"/>
          <w:trHeight w:val="570"/>
          <w:jc w:val="center"/>
        </w:trPr>
        <w:tc>
          <w:tcPr>
            <w:tcW w:w="8655" w:type="dxa"/>
            <w:gridSpan w:val="4"/>
            <w:tcBorders>
              <w:top w:val="nil"/>
              <w:left w:val="nil"/>
              <w:bottom w:val="nil"/>
              <w:right w:val="nil"/>
            </w:tcBorders>
            <w:vAlign w:val="bottom"/>
          </w:tcPr>
          <w:p w:rsidR="00DA56F6" w:rsidRDefault="00BB6496">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DA56F6" w:rsidRDefault="00BB6496">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DA56F6">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DA56F6" w:rsidRDefault="00BB6496">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入</w:t>
            </w:r>
          </w:p>
        </w:tc>
        <w:tc>
          <w:tcPr>
            <w:tcW w:w="4740" w:type="dxa"/>
            <w:gridSpan w:val="3"/>
            <w:tcBorders>
              <w:top w:val="single" w:sz="4" w:space="0" w:color="auto"/>
              <w:left w:val="nil"/>
              <w:bottom w:val="single" w:sz="4" w:space="0" w:color="auto"/>
              <w:right w:val="single" w:sz="4" w:space="0" w:color="auto"/>
            </w:tcBorders>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出</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847.19</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四、公共安全支出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657.66</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101.52</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285.3</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49.62</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38.39</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DA56F6">
            <w:pPr>
              <w:widowControl/>
              <w:jc w:val="center"/>
              <w:rPr>
                <w:rFonts w:ascii="宋体" w:hAnsi="宋体" w:cs="宋体"/>
                <w:b/>
                <w:color w:val="000000"/>
                <w:kern w:val="0"/>
                <w:sz w:val="22"/>
                <w:szCs w:val="22"/>
              </w:rPr>
            </w:pPr>
          </w:p>
        </w:tc>
        <w:tc>
          <w:tcPr>
            <w:tcW w:w="1085" w:type="dxa"/>
            <w:tcBorders>
              <w:top w:val="nil"/>
              <w:left w:val="nil"/>
              <w:bottom w:val="single" w:sz="4" w:space="0" w:color="auto"/>
              <w:right w:val="single" w:sz="4" w:space="0" w:color="auto"/>
            </w:tcBorders>
            <w:vAlign w:val="center"/>
          </w:tcPr>
          <w:p w:rsidR="00DA56F6" w:rsidRDefault="00DA56F6">
            <w:pPr>
              <w:widowControl/>
              <w:jc w:val="center"/>
              <w:rPr>
                <w:rFonts w:ascii="宋体" w:hAnsi="宋体" w:cs="宋体"/>
                <w:b/>
                <w:color w:val="000000"/>
                <w:kern w:val="0"/>
                <w:sz w:val="22"/>
                <w:szCs w:val="22"/>
              </w:rPr>
            </w:pPr>
          </w:p>
        </w:tc>
        <w:tc>
          <w:tcPr>
            <w:tcW w:w="3123" w:type="dxa"/>
            <w:tcBorders>
              <w:top w:val="nil"/>
              <w:left w:val="nil"/>
              <w:bottom w:val="single" w:sz="4" w:space="0" w:color="auto"/>
              <w:right w:val="single" w:sz="4" w:space="0" w:color="auto"/>
            </w:tcBorders>
            <w:vAlign w:val="center"/>
          </w:tcPr>
          <w:p w:rsidR="00DA56F6" w:rsidRDefault="00BB6496">
            <w:pPr>
              <w:widowControl/>
              <w:rPr>
                <w:rFonts w:ascii="宋体" w:hAnsi="宋体" w:cs="宋体"/>
                <w:color w:val="000000"/>
                <w:kern w:val="0"/>
                <w:sz w:val="22"/>
                <w:szCs w:val="22"/>
              </w:rPr>
            </w:pPr>
            <w:r>
              <w:rPr>
                <w:rFonts w:ascii="宋体" w:hAnsi="宋体" w:cs="宋体" w:hint="eastAsia"/>
                <w:color w:val="000000"/>
                <w:kern w:val="0"/>
                <w:sz w:val="22"/>
                <w:szCs w:val="22"/>
              </w:rPr>
              <w:t>二十三、其他支出</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b/>
                <w:color w:val="000000"/>
                <w:kern w:val="0"/>
                <w:sz w:val="22"/>
                <w:szCs w:val="22"/>
              </w:rPr>
            </w:pPr>
            <w:r>
              <w:rPr>
                <w:rFonts w:ascii="宋体" w:hAnsi="宋体" w:cs="宋体"/>
                <w:b/>
                <w:color w:val="000000"/>
                <w:kern w:val="0"/>
                <w:sz w:val="22"/>
                <w:szCs w:val="22"/>
              </w:rPr>
              <w:t>235.07</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b/>
                <w:color w:val="000000"/>
                <w:kern w:val="0"/>
                <w:sz w:val="22"/>
                <w:szCs w:val="22"/>
              </w:rPr>
              <w:t>1132.49</w:t>
            </w:r>
          </w:p>
        </w:tc>
        <w:tc>
          <w:tcPr>
            <w:tcW w:w="3123"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Pr>
                <w:rFonts w:ascii="宋体" w:hAnsi="宋体" w:cs="宋体"/>
                <w:b/>
                <w:color w:val="000000"/>
                <w:kern w:val="0"/>
                <w:sz w:val="22"/>
                <w:szCs w:val="22"/>
              </w:rPr>
              <w:t>1082.26</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6.24</w:t>
            </w:r>
          </w:p>
        </w:tc>
        <w:tc>
          <w:tcPr>
            <w:tcW w:w="3123"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56.46</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56F6">
        <w:trPr>
          <w:trHeight w:val="270"/>
          <w:jc w:val="center"/>
        </w:trPr>
        <w:tc>
          <w:tcPr>
            <w:tcW w:w="2895"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b/>
                <w:color w:val="000000"/>
                <w:kern w:val="0"/>
                <w:sz w:val="22"/>
                <w:szCs w:val="22"/>
              </w:rPr>
              <w:t>1138.73</w:t>
            </w:r>
          </w:p>
        </w:tc>
        <w:tc>
          <w:tcPr>
            <w:tcW w:w="3123"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DA56F6" w:rsidRDefault="00BB6496">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Pr>
                <w:rFonts w:ascii="宋体" w:hAnsi="宋体" w:cs="宋体"/>
                <w:b/>
                <w:color w:val="000000"/>
                <w:kern w:val="0"/>
                <w:sz w:val="22"/>
                <w:szCs w:val="22"/>
              </w:rPr>
              <w:t>1138.73</w:t>
            </w:r>
          </w:p>
        </w:tc>
      </w:tr>
    </w:tbl>
    <w:p w:rsidR="00DA56F6" w:rsidRDefault="00BB6496">
      <w:pPr>
        <w:sectPr w:rsidR="00DA56F6">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DA56F6" w:rsidRDefault="00DA56F6"/>
    <w:p w:rsidR="00DA56F6" w:rsidRDefault="00BB6496">
      <w:pPr>
        <w:jc w:val="center"/>
      </w:pPr>
      <w:r>
        <w:rPr>
          <w:rFonts w:ascii="方正小标宋简体" w:eastAsia="方正小标宋简体" w:hAnsi="宋体" w:cs="宋体" w:hint="eastAsia"/>
          <w:kern w:val="0"/>
          <w:sz w:val="36"/>
          <w:szCs w:val="36"/>
        </w:rPr>
        <w:t>表二：收入决算表</w:t>
      </w:r>
    </w:p>
    <w:p w:rsidR="00DA56F6" w:rsidRDefault="00BB6496">
      <w:pPr>
        <w:jc w:val="right"/>
      </w:pPr>
      <w:r>
        <w:rPr>
          <w:rFonts w:hint="eastAsia"/>
          <w:sz w:val="22"/>
          <w:szCs w:val="22"/>
        </w:rPr>
        <w:t>单位：万元</w:t>
      </w:r>
    </w:p>
    <w:tbl>
      <w:tblPr>
        <w:tblW w:w="14000" w:type="dxa"/>
        <w:tblLook w:val="04A0" w:firstRow="1" w:lastRow="0" w:firstColumn="1" w:lastColumn="0" w:noHBand="0" w:noVBand="1"/>
      </w:tblPr>
      <w:tblGrid>
        <w:gridCol w:w="1384"/>
        <w:gridCol w:w="3026"/>
        <w:gridCol w:w="1417"/>
        <w:gridCol w:w="1652"/>
        <w:gridCol w:w="758"/>
        <w:gridCol w:w="1134"/>
        <w:gridCol w:w="1276"/>
        <w:gridCol w:w="2077"/>
        <w:gridCol w:w="1276"/>
      </w:tblGrid>
      <w:tr w:rsidR="00DA56F6">
        <w:trPr>
          <w:trHeight w:val="308"/>
        </w:trPr>
        <w:tc>
          <w:tcPr>
            <w:tcW w:w="4410"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417"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652"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758"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134"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276"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2077"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276"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DA56F6">
        <w:trPr>
          <w:trHeight w:val="312"/>
        </w:trPr>
        <w:tc>
          <w:tcPr>
            <w:tcW w:w="1384" w:type="dxa"/>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kern w:val="0"/>
                <w:sz w:val="22"/>
                <w:szCs w:val="22"/>
              </w:rPr>
              <w:t>支出功能分类科目编码</w:t>
            </w:r>
          </w:p>
        </w:tc>
        <w:tc>
          <w:tcPr>
            <w:tcW w:w="3026" w:type="dxa"/>
            <w:vMerge w:val="restar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1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5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758"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07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12"/>
        </w:trPr>
        <w:tc>
          <w:tcPr>
            <w:tcW w:w="1384"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026"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1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5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758"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07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12"/>
        </w:trPr>
        <w:tc>
          <w:tcPr>
            <w:tcW w:w="1384"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026"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1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5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758"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07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4410" w:type="dxa"/>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417"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52"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758"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34"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76"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077"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DA56F6">
        <w:trPr>
          <w:trHeight w:val="308"/>
        </w:trPr>
        <w:tc>
          <w:tcPr>
            <w:tcW w:w="4410" w:type="dxa"/>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41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1,132.49</w:t>
            </w:r>
          </w:p>
        </w:tc>
        <w:tc>
          <w:tcPr>
            <w:tcW w:w="1652"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847.19</w:t>
            </w:r>
          </w:p>
        </w:tc>
        <w:tc>
          <w:tcPr>
            <w:tcW w:w="758"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1134"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1276"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207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1276"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285.30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公共安全支出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检察</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行政运行</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2040402</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一般行政管理事务</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2040410</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检察监督</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行政事业单位养老支出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行政单位离退休</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机关事业单位基本养老保险缴费支出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机关事业单位职业年金缴费支出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行政单位医疗</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2101103</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公务员医疗补助</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221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22999</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r>
      <w:tr w:rsidR="00DA56F6">
        <w:trPr>
          <w:trHeight w:val="308"/>
        </w:trPr>
        <w:tc>
          <w:tcPr>
            <w:tcW w:w="1384"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2299901</w:t>
            </w:r>
          </w:p>
        </w:tc>
        <w:tc>
          <w:tcPr>
            <w:tcW w:w="302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其他支出</w:t>
            </w:r>
          </w:p>
        </w:tc>
        <w:tc>
          <w:tcPr>
            <w:tcW w:w="141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c>
          <w:tcPr>
            <w:tcW w:w="165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58"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07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285.30</w:t>
            </w:r>
          </w:p>
        </w:tc>
      </w:tr>
    </w:tbl>
    <w:p w:rsidR="00DA56F6" w:rsidRDefault="00BB6496">
      <w:r>
        <w:rPr>
          <w:rFonts w:hint="eastAsia"/>
        </w:rPr>
        <w:t>注：本表反映部门本年度取得的各项收入情况。</w:t>
      </w:r>
    </w:p>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BB6496">
      <w:pPr>
        <w:jc w:val="center"/>
      </w:pPr>
      <w:r>
        <w:rPr>
          <w:rFonts w:ascii="方正小标宋简体" w:eastAsia="方正小标宋简体" w:hAnsi="宋体" w:cs="宋体" w:hint="eastAsia"/>
          <w:kern w:val="0"/>
          <w:sz w:val="36"/>
          <w:szCs w:val="36"/>
        </w:rPr>
        <w:lastRenderedPageBreak/>
        <w:t>表三：支出决算表</w:t>
      </w:r>
    </w:p>
    <w:p w:rsidR="00DA56F6" w:rsidRDefault="00BB6496">
      <w:pPr>
        <w:jc w:val="right"/>
      </w:pPr>
      <w:r>
        <w:rPr>
          <w:rFonts w:hint="eastAsia"/>
          <w:sz w:val="22"/>
          <w:szCs w:val="22"/>
        </w:rPr>
        <w:t>单位：万元</w:t>
      </w:r>
    </w:p>
    <w:tbl>
      <w:tblPr>
        <w:tblW w:w="14081" w:type="dxa"/>
        <w:tblInd w:w="93" w:type="dxa"/>
        <w:tblLook w:val="04A0" w:firstRow="1" w:lastRow="0" w:firstColumn="1" w:lastColumn="0" w:noHBand="0" w:noVBand="1"/>
      </w:tblPr>
      <w:tblGrid>
        <w:gridCol w:w="1291"/>
        <w:gridCol w:w="3451"/>
        <w:gridCol w:w="1632"/>
        <w:gridCol w:w="882"/>
        <w:gridCol w:w="1597"/>
        <w:gridCol w:w="1272"/>
        <w:gridCol w:w="1413"/>
        <w:gridCol w:w="2543"/>
      </w:tblGrid>
      <w:tr w:rsidR="00DA56F6">
        <w:trPr>
          <w:trHeight w:val="308"/>
        </w:trPr>
        <w:tc>
          <w:tcPr>
            <w:tcW w:w="474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632"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882"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97"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272"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413"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543" w:type="dxa"/>
            <w:vMerge w:val="restart"/>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DA56F6">
        <w:trPr>
          <w:trHeight w:val="312"/>
        </w:trPr>
        <w:tc>
          <w:tcPr>
            <w:tcW w:w="1291" w:type="dxa"/>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支出功能分类科目编码</w:t>
            </w:r>
          </w:p>
        </w:tc>
        <w:tc>
          <w:tcPr>
            <w:tcW w:w="3451" w:type="dxa"/>
            <w:vMerge w:val="restar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3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88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59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1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54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12"/>
        </w:trPr>
        <w:tc>
          <w:tcPr>
            <w:tcW w:w="1291"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451"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3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88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59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1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54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482"/>
        </w:trPr>
        <w:tc>
          <w:tcPr>
            <w:tcW w:w="1291"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451"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3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88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597"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72"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1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543" w:type="dxa"/>
            <w:vMerge/>
            <w:tcBorders>
              <w:top w:val="single" w:sz="4" w:space="0" w:color="000000"/>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4742" w:type="dxa"/>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632"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882"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97"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72"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13"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543"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DA56F6">
        <w:trPr>
          <w:trHeight w:val="308"/>
        </w:trPr>
        <w:tc>
          <w:tcPr>
            <w:tcW w:w="4742" w:type="dxa"/>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632"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1,082.26</w:t>
            </w:r>
          </w:p>
        </w:tc>
        <w:tc>
          <w:tcPr>
            <w:tcW w:w="882"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760.08</w:t>
            </w:r>
          </w:p>
        </w:tc>
        <w:tc>
          <w:tcPr>
            <w:tcW w:w="159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322.19</w:t>
            </w:r>
          </w:p>
        </w:tc>
        <w:tc>
          <w:tcPr>
            <w:tcW w:w="1272"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1413"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c>
          <w:tcPr>
            <w:tcW w:w="2543"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公共安全支出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315.95</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检察</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315.95</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行政运行</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2040402</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一般行政管理事务</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2040410</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检察监督</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行政事业单位养老支出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行政单位离退休</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机关事业单位基本养老保险缴费支出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机关事业单位职业年金缴费支出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行政单位医疗</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2101103</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公务员医疗补助</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221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235.07</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228.83</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6.24</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22999</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235.07</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228.83</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6.24</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291"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2299901</w:t>
            </w:r>
          </w:p>
        </w:tc>
        <w:tc>
          <w:tcPr>
            <w:tcW w:w="345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其他支出</w:t>
            </w:r>
          </w:p>
        </w:tc>
        <w:tc>
          <w:tcPr>
            <w:tcW w:w="163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235.07</w:t>
            </w:r>
          </w:p>
        </w:tc>
        <w:tc>
          <w:tcPr>
            <w:tcW w:w="88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228.83</w:t>
            </w:r>
          </w:p>
        </w:tc>
        <w:tc>
          <w:tcPr>
            <w:tcW w:w="159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6.24</w:t>
            </w:r>
          </w:p>
        </w:tc>
        <w:tc>
          <w:tcPr>
            <w:tcW w:w="12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2543"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4081" w:type="dxa"/>
            <w:gridSpan w:val="8"/>
            <w:tcBorders>
              <w:top w:val="nil"/>
              <w:left w:val="nil"/>
              <w:bottom w:val="nil"/>
              <w:right w:val="nil"/>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w:t>
            </w:r>
          </w:p>
        </w:tc>
      </w:tr>
    </w:tbl>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DA56F6"/>
    <w:p w:rsidR="00DA56F6" w:rsidRDefault="00BB6496">
      <w:pPr>
        <w:ind w:firstLineChars="1000" w:firstLine="36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tbl>
      <w:tblPr>
        <w:tblW w:w="13981" w:type="dxa"/>
        <w:tblInd w:w="93" w:type="dxa"/>
        <w:tblLook w:val="04A0" w:firstRow="1" w:lastRow="0" w:firstColumn="1" w:lastColumn="0" w:noHBand="0" w:noVBand="1"/>
      </w:tblPr>
      <w:tblGrid>
        <w:gridCol w:w="3280"/>
        <w:gridCol w:w="580"/>
        <w:gridCol w:w="1680"/>
        <w:gridCol w:w="3819"/>
        <w:gridCol w:w="584"/>
        <w:gridCol w:w="971"/>
        <w:gridCol w:w="1667"/>
        <w:gridCol w:w="1400"/>
      </w:tblGrid>
      <w:tr w:rsidR="00DA56F6">
        <w:trPr>
          <w:trHeight w:val="308"/>
        </w:trPr>
        <w:tc>
          <w:tcPr>
            <w:tcW w:w="554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收</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入</w:t>
            </w:r>
          </w:p>
        </w:tc>
        <w:tc>
          <w:tcPr>
            <w:tcW w:w="8441" w:type="dxa"/>
            <w:gridSpan w:val="5"/>
            <w:tcBorders>
              <w:top w:val="single" w:sz="4" w:space="0" w:color="000000"/>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支</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出</w:t>
            </w:r>
          </w:p>
        </w:tc>
      </w:tr>
      <w:tr w:rsidR="00DA56F6">
        <w:trPr>
          <w:trHeight w:val="312"/>
        </w:trPr>
        <w:tc>
          <w:tcPr>
            <w:tcW w:w="3280" w:type="dxa"/>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58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168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3819"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584"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971" w:type="dxa"/>
            <w:vMerge w:val="restar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667"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一般公共预算财政拨款</w:t>
            </w:r>
          </w:p>
        </w:tc>
        <w:tc>
          <w:tcPr>
            <w:tcW w:w="140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r>
      <w:tr w:rsidR="00DA56F6">
        <w:trPr>
          <w:trHeight w:val="615"/>
        </w:trPr>
        <w:tc>
          <w:tcPr>
            <w:tcW w:w="3280"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58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8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819"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584"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971"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667"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40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71"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667"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40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三、国有资本经营财政拨款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本年收入合计</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本年支出合计</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59</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年初财政拨款结转和结余</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年末财政拨款结转和结余</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60</w:t>
            </w:r>
          </w:p>
        </w:tc>
        <w:tc>
          <w:tcPr>
            <w:tcW w:w="4038" w:type="dxa"/>
            <w:gridSpan w:val="3"/>
            <w:tcBorders>
              <w:top w:val="nil"/>
              <w:left w:val="nil"/>
              <w:bottom w:val="single" w:sz="4" w:space="0" w:color="000000"/>
              <w:right w:val="single" w:sz="4" w:space="0" w:color="000000"/>
            </w:tcBorders>
            <w:shd w:val="clear" w:color="000000" w:fill="FFFFFF"/>
            <w:noWrap/>
            <w:vAlign w:val="center"/>
          </w:tcPr>
          <w:p w:rsidR="00DA56F6" w:rsidRDefault="00DA56F6">
            <w:pPr>
              <w:widowControl/>
              <w:ind w:right="110"/>
              <w:jc w:val="right"/>
              <w:rPr>
                <w:rFonts w:ascii="宋体" w:hAnsi="宋体" w:cs="Arial"/>
                <w:color w:val="000000"/>
                <w:kern w:val="0"/>
                <w:sz w:val="22"/>
                <w:szCs w:val="22"/>
              </w:rPr>
            </w:pP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一般公共预算财政拨款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61</w:t>
            </w:r>
          </w:p>
        </w:tc>
        <w:tc>
          <w:tcPr>
            <w:tcW w:w="4038" w:type="dxa"/>
            <w:gridSpan w:val="3"/>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政府性基金预算财政拨款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62</w:t>
            </w:r>
          </w:p>
        </w:tc>
        <w:tc>
          <w:tcPr>
            <w:tcW w:w="4038" w:type="dxa"/>
            <w:gridSpan w:val="3"/>
            <w:tcBorders>
              <w:top w:val="nil"/>
              <w:left w:val="nil"/>
              <w:bottom w:val="single" w:sz="4" w:space="0" w:color="000000"/>
              <w:right w:val="single" w:sz="4" w:space="0" w:color="000000"/>
            </w:tcBorders>
            <w:shd w:val="clear" w:color="000000" w:fill="FFFFFF"/>
            <w:noWrap/>
            <w:vAlign w:val="center"/>
          </w:tcPr>
          <w:p w:rsidR="00DA56F6" w:rsidRDefault="00BB6496">
            <w:pPr>
              <w:widowControl/>
              <w:ind w:right="440"/>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国有资本经营预算财政拨款</w:t>
            </w:r>
          </w:p>
        </w:tc>
        <w:tc>
          <w:tcPr>
            <w:tcW w:w="58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63</w:t>
            </w:r>
          </w:p>
        </w:tc>
        <w:tc>
          <w:tcPr>
            <w:tcW w:w="4038" w:type="dxa"/>
            <w:gridSpan w:val="3"/>
            <w:tcBorders>
              <w:top w:val="nil"/>
              <w:left w:val="nil"/>
              <w:bottom w:val="single" w:sz="4" w:space="0" w:color="000000"/>
              <w:right w:val="single" w:sz="4" w:space="0" w:color="000000"/>
            </w:tcBorders>
            <w:shd w:val="clear" w:color="000000" w:fill="FFFFFF"/>
            <w:noWrap/>
            <w:vAlign w:val="center"/>
          </w:tcPr>
          <w:p w:rsidR="00DA56F6" w:rsidRDefault="00BB6496">
            <w:pPr>
              <w:widowControl/>
              <w:ind w:right="440"/>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56F6">
        <w:trPr>
          <w:trHeight w:val="308"/>
        </w:trPr>
        <w:tc>
          <w:tcPr>
            <w:tcW w:w="32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580" w:type="dxa"/>
            <w:tcBorders>
              <w:top w:val="nil"/>
              <w:left w:val="nil"/>
              <w:bottom w:val="single" w:sz="8"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168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3819"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584"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64</w:t>
            </w:r>
          </w:p>
        </w:tc>
        <w:tc>
          <w:tcPr>
            <w:tcW w:w="971"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1667"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847.19</w:t>
            </w:r>
          </w:p>
        </w:tc>
        <w:tc>
          <w:tcPr>
            <w:tcW w:w="140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13981" w:type="dxa"/>
            <w:gridSpan w:val="8"/>
            <w:tcBorders>
              <w:top w:val="nil"/>
              <w:left w:val="nil"/>
              <w:bottom w:val="nil"/>
              <w:right w:val="nil"/>
            </w:tcBorders>
            <w:shd w:val="clear" w:color="auto" w:fill="auto"/>
            <w:noWrap/>
            <w:vAlign w:val="center"/>
          </w:tcPr>
          <w:p w:rsidR="00DA56F6" w:rsidRDefault="00BB6496">
            <w:pPr>
              <w:jc w:val="right"/>
              <w:rPr>
                <w:sz w:val="22"/>
                <w:szCs w:val="22"/>
              </w:rPr>
            </w:pPr>
            <w:r>
              <w:rPr>
                <w:rFonts w:hint="eastAsia"/>
                <w:sz w:val="22"/>
                <w:szCs w:val="22"/>
              </w:rPr>
              <w:t>单位：万元</w:t>
            </w:r>
          </w:p>
          <w:p w:rsidR="00DA56F6" w:rsidRDefault="00DA56F6">
            <w:pPr>
              <w:widowControl/>
              <w:jc w:val="left"/>
              <w:rPr>
                <w:rFonts w:ascii="宋体" w:hAnsi="宋体" w:cs="Arial"/>
                <w:color w:val="000000"/>
                <w:kern w:val="0"/>
                <w:sz w:val="22"/>
                <w:szCs w:val="22"/>
              </w:rPr>
            </w:pPr>
          </w:p>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注：本表反映部门本年度一般公共预算财政拨款和政府性基金预算财政拨款的总收支和年末结转结余情况。</w:t>
            </w:r>
          </w:p>
        </w:tc>
      </w:tr>
    </w:tbl>
    <w:p w:rsidR="00DA56F6" w:rsidRDefault="00DA56F6"/>
    <w:p w:rsidR="00DA56F6" w:rsidRDefault="00DA56F6">
      <w:pPr>
        <w:ind w:firstLineChars="500" w:firstLine="1800"/>
        <w:jc w:val="center"/>
        <w:rPr>
          <w:rFonts w:ascii="方正小标宋简体" w:eastAsia="方正小标宋简体" w:hAnsi="宋体" w:cs="宋体"/>
          <w:kern w:val="0"/>
          <w:sz w:val="36"/>
          <w:szCs w:val="36"/>
        </w:rPr>
      </w:pPr>
    </w:p>
    <w:p w:rsidR="00DA56F6" w:rsidRDefault="00BB6496">
      <w:pPr>
        <w:ind w:firstLineChars="500" w:firstLine="180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DA56F6" w:rsidRDefault="00BB6496">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4989" w:type="pct"/>
        <w:tblLayout w:type="fixed"/>
        <w:tblLook w:val="04A0" w:firstRow="1" w:lastRow="0" w:firstColumn="1" w:lastColumn="0" w:noHBand="0" w:noVBand="1"/>
      </w:tblPr>
      <w:tblGrid>
        <w:gridCol w:w="1605"/>
        <w:gridCol w:w="4336"/>
        <w:gridCol w:w="2814"/>
        <w:gridCol w:w="2554"/>
        <w:gridCol w:w="2834"/>
      </w:tblGrid>
      <w:tr w:rsidR="00DA56F6">
        <w:trPr>
          <w:trHeight w:val="308"/>
        </w:trPr>
        <w:tc>
          <w:tcPr>
            <w:tcW w:w="2100" w:type="pct"/>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MingLiU" w:hAnsi="MingLiU" w:cs="Arial" w:hint="eastAsia"/>
                <w:kern w:val="0"/>
                <w:sz w:val="22"/>
                <w:szCs w:val="22"/>
              </w:rPr>
              <w:t>支出功能</w:t>
            </w:r>
            <w:r>
              <w:rPr>
                <w:rFonts w:ascii="MingLiU" w:eastAsia="MingLiU" w:hAnsi="MingLiU" w:cs="Arial" w:hint="eastAsia"/>
                <w:kern w:val="0"/>
                <w:sz w:val="22"/>
                <w:szCs w:val="22"/>
              </w:rPr>
              <w:t>项</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目</w:t>
            </w:r>
          </w:p>
        </w:tc>
        <w:tc>
          <w:tcPr>
            <w:tcW w:w="995"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03"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002"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DA56F6">
        <w:trPr>
          <w:trHeight w:val="312"/>
        </w:trPr>
        <w:tc>
          <w:tcPr>
            <w:tcW w:w="567" w:type="pct"/>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1533" w:type="pct"/>
            <w:vMerge w:val="restart"/>
            <w:tcBorders>
              <w:top w:val="nil"/>
              <w:left w:val="nil"/>
              <w:bottom w:val="single" w:sz="4" w:space="0" w:color="000000"/>
              <w:right w:val="nil"/>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5"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903"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1002"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r>
      <w:tr w:rsidR="00DA56F6">
        <w:trPr>
          <w:trHeight w:val="312"/>
        </w:trPr>
        <w:tc>
          <w:tcPr>
            <w:tcW w:w="567" w:type="pct"/>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533" w:type="pct"/>
            <w:vMerge/>
            <w:tcBorders>
              <w:top w:val="nil"/>
              <w:left w:val="nil"/>
              <w:bottom w:val="single" w:sz="4" w:space="0" w:color="000000"/>
              <w:right w:val="nil"/>
            </w:tcBorders>
            <w:vAlign w:val="center"/>
          </w:tcPr>
          <w:p w:rsidR="00DA56F6" w:rsidRDefault="00DA56F6">
            <w:pPr>
              <w:widowControl/>
              <w:jc w:val="left"/>
              <w:rPr>
                <w:rFonts w:ascii="宋体" w:hAnsi="宋体" w:cs="Arial"/>
                <w:color w:val="000000"/>
                <w:kern w:val="0"/>
                <w:sz w:val="22"/>
                <w:szCs w:val="22"/>
              </w:rPr>
            </w:pPr>
          </w:p>
        </w:tc>
        <w:tc>
          <w:tcPr>
            <w:tcW w:w="995"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903"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1002"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r>
      <w:tr w:rsidR="00DA56F6">
        <w:trPr>
          <w:trHeight w:val="312"/>
        </w:trPr>
        <w:tc>
          <w:tcPr>
            <w:tcW w:w="567" w:type="pct"/>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533" w:type="pct"/>
            <w:vMerge/>
            <w:tcBorders>
              <w:top w:val="nil"/>
              <w:left w:val="nil"/>
              <w:bottom w:val="single" w:sz="4" w:space="0" w:color="000000"/>
              <w:right w:val="nil"/>
            </w:tcBorders>
            <w:vAlign w:val="center"/>
          </w:tcPr>
          <w:p w:rsidR="00DA56F6" w:rsidRDefault="00DA56F6">
            <w:pPr>
              <w:widowControl/>
              <w:jc w:val="left"/>
              <w:rPr>
                <w:rFonts w:ascii="宋体" w:hAnsi="宋体" w:cs="Arial"/>
                <w:color w:val="000000"/>
                <w:kern w:val="0"/>
                <w:sz w:val="22"/>
                <w:szCs w:val="22"/>
              </w:rPr>
            </w:pPr>
          </w:p>
        </w:tc>
        <w:tc>
          <w:tcPr>
            <w:tcW w:w="995"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903"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c>
          <w:tcPr>
            <w:tcW w:w="1002" w:type="pct"/>
            <w:vMerge/>
            <w:tcBorders>
              <w:top w:val="single" w:sz="4" w:space="0" w:color="auto"/>
              <w:left w:val="single" w:sz="4" w:space="0" w:color="auto"/>
              <w:bottom w:val="single" w:sz="4" w:space="0" w:color="000000"/>
              <w:right w:val="single" w:sz="4" w:space="0" w:color="auto"/>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2100" w:type="pct"/>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995" w:type="pc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03" w:type="pc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002" w:type="pct"/>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DA56F6">
        <w:trPr>
          <w:trHeight w:val="308"/>
        </w:trPr>
        <w:tc>
          <w:tcPr>
            <w:tcW w:w="2100" w:type="pct"/>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95" w:type="pct"/>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847.19</w:t>
            </w:r>
          </w:p>
        </w:tc>
        <w:tc>
          <w:tcPr>
            <w:tcW w:w="903" w:type="pct"/>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531.24</w:t>
            </w:r>
          </w:p>
        </w:tc>
        <w:tc>
          <w:tcPr>
            <w:tcW w:w="1002" w:type="pct"/>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b/>
                <w:bCs/>
                <w:color w:val="000000"/>
                <w:kern w:val="0"/>
                <w:sz w:val="22"/>
                <w:szCs w:val="22"/>
              </w:rPr>
            </w:pPr>
            <w:r>
              <w:rPr>
                <w:rFonts w:ascii="宋体" w:hAnsi="宋体" w:cs="Arial" w:hint="eastAsia"/>
                <w:b/>
                <w:bCs/>
                <w:color w:val="000000"/>
                <w:kern w:val="0"/>
                <w:sz w:val="22"/>
                <w:szCs w:val="22"/>
              </w:rPr>
              <w:t>315.95</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公共安全支出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315.95</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检察</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657.66</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315.95</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行政运行</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341.71</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2040402</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一般行政管理事务</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263.02</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2040410</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检察监督</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52.92</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行政事业单位养老支出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101.52</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行政单位离退休</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5.89</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机关事业单位基本养老保险缴费支出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机关事业单位职业年金缴费支出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行政单位医疗</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2101103</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公务员医疗补助</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221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67" w:type="pct"/>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153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995"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903"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1002" w:type="pct"/>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000" w:type="pct"/>
            <w:gridSpan w:val="5"/>
            <w:tcBorders>
              <w:top w:val="single" w:sz="4" w:space="0" w:color="000000"/>
              <w:left w:val="nil"/>
              <w:bottom w:val="nil"/>
              <w:right w:val="nil"/>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注：本表反映部门本年度一般公共预算财政拨款支出情况。</w:t>
            </w:r>
          </w:p>
        </w:tc>
      </w:tr>
    </w:tbl>
    <w:p w:rsidR="00DA56F6" w:rsidRDefault="00DA56F6">
      <w:pPr>
        <w:sectPr w:rsidR="00DA56F6">
          <w:footerReference w:type="even" r:id="rId19"/>
          <w:footerReference w:type="default" r:id="rId20"/>
          <w:pgSz w:w="16838" w:h="11906" w:orient="landscape"/>
          <w:pgMar w:top="1377" w:right="1440" w:bottom="1797" w:left="1440" w:header="851" w:footer="992" w:gutter="0"/>
          <w:pgNumType w:fmt="numberInDash"/>
          <w:cols w:space="720"/>
          <w:docGrid w:type="lines" w:linePitch="312"/>
        </w:sectPr>
      </w:pPr>
    </w:p>
    <w:p w:rsidR="00DA56F6" w:rsidRDefault="00DA56F6"/>
    <w:p w:rsidR="00DA56F6" w:rsidRDefault="00BB6496">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DA56F6" w:rsidRDefault="00BB6496">
      <w:pPr>
        <w:wordWrap w:val="0"/>
        <w:jc w:val="right"/>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2"/>
          <w:szCs w:val="22"/>
        </w:rPr>
        <w:t>单位：万元</w:t>
      </w:r>
    </w:p>
    <w:tbl>
      <w:tblPr>
        <w:tblW w:w="8900" w:type="dxa"/>
        <w:tblInd w:w="93" w:type="dxa"/>
        <w:tblLook w:val="04A0" w:firstRow="1" w:lastRow="0" w:firstColumn="1" w:lastColumn="0" w:noHBand="0" w:noVBand="1"/>
      </w:tblPr>
      <w:tblGrid>
        <w:gridCol w:w="766"/>
        <w:gridCol w:w="3330"/>
        <w:gridCol w:w="876"/>
        <w:gridCol w:w="766"/>
        <w:gridCol w:w="2440"/>
        <w:gridCol w:w="1120"/>
      </w:tblGrid>
      <w:tr w:rsidR="00DA56F6">
        <w:trPr>
          <w:trHeight w:val="308"/>
        </w:trPr>
        <w:tc>
          <w:tcPr>
            <w:tcW w:w="460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300" w:type="dxa"/>
            <w:gridSpan w:val="3"/>
            <w:tcBorders>
              <w:top w:val="single" w:sz="4" w:space="0" w:color="000000"/>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DA56F6">
        <w:trPr>
          <w:trHeight w:val="312"/>
        </w:trPr>
        <w:tc>
          <w:tcPr>
            <w:tcW w:w="580" w:type="dxa"/>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33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69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74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44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20"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DA56F6">
        <w:trPr>
          <w:trHeight w:val="312"/>
        </w:trPr>
        <w:tc>
          <w:tcPr>
            <w:tcW w:w="580"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333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69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74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244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120"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434.21</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92.83</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30101</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基本工资</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115.43</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办公费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11.32</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30102</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津贴补贴</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104.49</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印刷费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1.82</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30103</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奖金</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20.02</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30203</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咨询费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30106</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伙食补助费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10.30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30204</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手续费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30107</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绩效工资</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30205</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水费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2.60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30108</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机关事业单位基本养老保险缴费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63.76</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30206</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电费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8.11</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30109</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职业年金缴费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31.88</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30207</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邮电费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7.79</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职工基本医疗保险缴费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25.39</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30208</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取暖费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公务员医疗补助缴费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24.23</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30209</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物业管理费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0.63</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30112</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其他社会保障缴费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0.33</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差旅费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6.52</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30113</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住房公积金</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38.39</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30212</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因公出国（境）费用</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30114</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医疗费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维修（护）费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2.40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30199</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其他工资福利支出</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30214</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租赁费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对个人和家庭的补助</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4.20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30215</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会议费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1.66</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30301</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离休费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30216</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培训费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2.28</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30302</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退休费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4.20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公务接待费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0.29</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退职（役）费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30218</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专用材料费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抚恤金</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30224</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被装购置费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生活补助</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30225</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专用燃料费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救济费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劳务费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医疗费补助</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30227</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委托业务费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助学金</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30228</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工会经费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7.97</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奖励金</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30229</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福利费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30310</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个人农业生产补贴</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30231</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公务用车运行维护费</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9.02</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30311</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代缴社会保险费</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其他交通费用</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22.77</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30399</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其他对个人和家庭的补助</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30240</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税金及附加费用</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DA56F6">
        <w:trPr>
          <w:trHeight w:val="308"/>
        </w:trPr>
        <w:tc>
          <w:tcPr>
            <w:tcW w:w="580" w:type="dxa"/>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3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2440" w:type="dxa"/>
            <w:tcBorders>
              <w:top w:val="nil"/>
              <w:left w:val="nil"/>
              <w:bottom w:val="single" w:sz="4" w:space="0" w:color="000000"/>
              <w:right w:val="single" w:sz="4" w:space="0" w:color="000000"/>
            </w:tcBorders>
            <w:shd w:val="clear" w:color="FFFFFF" w:fill="FFFFFF"/>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其他商品和服务支出</w:t>
            </w:r>
          </w:p>
        </w:tc>
        <w:tc>
          <w:tcPr>
            <w:tcW w:w="112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7.66</w:t>
            </w:r>
          </w:p>
        </w:tc>
      </w:tr>
      <w:tr w:rsidR="00DA56F6">
        <w:trPr>
          <w:trHeight w:val="308"/>
        </w:trPr>
        <w:tc>
          <w:tcPr>
            <w:tcW w:w="3910" w:type="dxa"/>
            <w:gridSpan w:val="2"/>
            <w:tcBorders>
              <w:top w:val="nil"/>
              <w:left w:val="single" w:sz="4" w:space="0" w:color="000000"/>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690" w:type="dxa"/>
            <w:tcBorders>
              <w:top w:val="nil"/>
              <w:left w:val="nil"/>
              <w:bottom w:val="single" w:sz="4" w:space="0" w:color="000000"/>
              <w:right w:val="single" w:sz="4" w:space="0" w:color="000000"/>
            </w:tcBorders>
            <w:shd w:val="clear" w:color="000000" w:fill="FFFFFF"/>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438.41</w:t>
            </w:r>
          </w:p>
        </w:tc>
        <w:tc>
          <w:tcPr>
            <w:tcW w:w="4300" w:type="dxa"/>
            <w:gridSpan w:val="3"/>
            <w:tcBorders>
              <w:top w:val="nil"/>
              <w:left w:val="nil"/>
              <w:bottom w:val="single" w:sz="4" w:space="0" w:color="000000"/>
              <w:right w:val="single" w:sz="4" w:space="0" w:color="000000"/>
            </w:tcBorders>
            <w:shd w:val="clear" w:color="FFFFFF" w:fill="FFFFFF"/>
            <w:noWrap/>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r>
      <w:tr w:rsidR="00DA56F6">
        <w:trPr>
          <w:trHeight w:val="308"/>
        </w:trPr>
        <w:tc>
          <w:tcPr>
            <w:tcW w:w="8900" w:type="dxa"/>
            <w:gridSpan w:val="6"/>
            <w:tcBorders>
              <w:top w:val="nil"/>
              <w:left w:val="nil"/>
              <w:bottom w:val="nil"/>
              <w:right w:val="nil"/>
            </w:tcBorders>
            <w:shd w:val="clear" w:color="auto" w:fill="auto"/>
            <w:noWrap/>
            <w:vAlign w:val="center"/>
          </w:tcPr>
          <w:p w:rsidR="00DA56F6" w:rsidRDefault="00BB649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注：本表反映部门本年度一般公共预算财政拨款基本支出明细情况。</w:t>
            </w:r>
          </w:p>
        </w:tc>
      </w:tr>
    </w:tbl>
    <w:p w:rsidR="00DA56F6" w:rsidRDefault="00DA56F6">
      <w:pPr>
        <w:sectPr w:rsidR="00DA56F6">
          <w:pgSz w:w="11906" w:h="16838"/>
          <w:pgMar w:top="1440" w:right="1797" w:bottom="1440" w:left="1797" w:header="851" w:footer="992" w:gutter="0"/>
          <w:pgNumType w:fmt="numberInDash"/>
          <w:cols w:space="720"/>
          <w:docGrid w:type="lines" w:linePitch="312"/>
        </w:sectPr>
      </w:pPr>
    </w:p>
    <w:p w:rsidR="00DA56F6" w:rsidRDefault="00DA56F6"/>
    <w:p w:rsidR="00DA56F6" w:rsidRDefault="00DA56F6"/>
    <w:p w:rsidR="00DA56F6" w:rsidRDefault="00BB6496">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DA56F6" w:rsidRDefault="00DA56F6"/>
    <w:p w:rsidR="00DA56F6" w:rsidRDefault="00BB6496">
      <w:pPr>
        <w:jc w:val="right"/>
      </w:pPr>
      <w:r>
        <w:rPr>
          <w:rFonts w:hint="eastAsia"/>
        </w:rPr>
        <w:t>单位：万元</w:t>
      </w:r>
    </w:p>
    <w:p w:rsidR="00DA56F6" w:rsidRDefault="00DA56F6"/>
    <w:tbl>
      <w:tblPr>
        <w:tblW w:w="14081" w:type="dxa"/>
        <w:tblInd w:w="93" w:type="dxa"/>
        <w:tblLook w:val="04A0" w:firstRow="1" w:lastRow="0" w:firstColumn="1" w:lastColumn="0" w:noHBand="0" w:noVBand="1"/>
      </w:tblPr>
      <w:tblGrid>
        <w:gridCol w:w="973"/>
        <w:gridCol w:w="1229"/>
        <w:gridCol w:w="1125"/>
        <w:gridCol w:w="1266"/>
        <w:gridCol w:w="1114"/>
        <w:gridCol w:w="1020"/>
        <w:gridCol w:w="757"/>
        <w:gridCol w:w="1268"/>
        <w:gridCol w:w="1273"/>
        <w:gridCol w:w="1387"/>
        <w:gridCol w:w="1302"/>
        <w:gridCol w:w="1367"/>
      </w:tblGrid>
      <w:tr w:rsidR="00DA56F6">
        <w:trPr>
          <w:trHeight w:val="308"/>
        </w:trPr>
        <w:tc>
          <w:tcPr>
            <w:tcW w:w="6819" w:type="dxa"/>
            <w:gridSpan w:val="6"/>
            <w:tcBorders>
              <w:top w:val="single" w:sz="4" w:space="0" w:color="000000"/>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2020</w:t>
            </w:r>
            <w:r>
              <w:rPr>
                <w:rFonts w:ascii="宋体" w:hAnsi="宋体" w:cs="Arial" w:hint="eastAsia"/>
                <w:color w:val="000000"/>
                <w:kern w:val="0"/>
                <w:sz w:val="22"/>
                <w:szCs w:val="22"/>
              </w:rPr>
              <w:t>年度预算数</w:t>
            </w:r>
          </w:p>
        </w:tc>
        <w:tc>
          <w:tcPr>
            <w:tcW w:w="7262" w:type="dxa"/>
            <w:gridSpan w:val="6"/>
            <w:tcBorders>
              <w:top w:val="single" w:sz="4" w:space="0" w:color="000000"/>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2020</w:t>
            </w:r>
            <w:r>
              <w:rPr>
                <w:rFonts w:ascii="宋体" w:hAnsi="宋体" w:cs="Arial" w:hint="eastAsia"/>
                <w:color w:val="000000"/>
                <w:kern w:val="0"/>
                <w:sz w:val="22"/>
                <w:szCs w:val="22"/>
              </w:rPr>
              <w:t>年度决算数</w:t>
            </w:r>
          </w:p>
        </w:tc>
      </w:tr>
      <w:tr w:rsidR="00DA56F6">
        <w:trPr>
          <w:trHeight w:val="308"/>
        </w:trPr>
        <w:tc>
          <w:tcPr>
            <w:tcW w:w="986" w:type="dxa"/>
            <w:vMerge w:val="restart"/>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246"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3553" w:type="dxa"/>
            <w:gridSpan w:val="3"/>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034"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572"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286"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018" w:type="dxa"/>
            <w:gridSpan w:val="3"/>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6" w:type="dxa"/>
            <w:vMerge w:val="restart"/>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DA56F6">
        <w:trPr>
          <w:trHeight w:val="615"/>
        </w:trPr>
        <w:tc>
          <w:tcPr>
            <w:tcW w:w="986" w:type="dxa"/>
            <w:vMerge/>
            <w:tcBorders>
              <w:top w:val="nil"/>
              <w:left w:val="single" w:sz="4" w:space="0" w:color="000000"/>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46"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140"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284"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129"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034"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572"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86"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c>
          <w:tcPr>
            <w:tcW w:w="1291"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407"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320"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6" w:type="dxa"/>
            <w:vMerge/>
            <w:tcBorders>
              <w:top w:val="nil"/>
              <w:left w:val="nil"/>
              <w:bottom w:val="single" w:sz="4" w:space="0" w:color="000000"/>
              <w:right w:val="single" w:sz="4" w:space="0" w:color="000000"/>
            </w:tcBorders>
            <w:vAlign w:val="center"/>
          </w:tcPr>
          <w:p w:rsidR="00DA56F6" w:rsidRDefault="00DA56F6">
            <w:pPr>
              <w:widowControl/>
              <w:jc w:val="left"/>
              <w:rPr>
                <w:rFonts w:ascii="宋体" w:hAnsi="宋体" w:cs="Arial"/>
                <w:color w:val="000000"/>
                <w:kern w:val="0"/>
                <w:sz w:val="22"/>
                <w:szCs w:val="22"/>
              </w:rPr>
            </w:pPr>
          </w:p>
        </w:tc>
      </w:tr>
      <w:tr w:rsidR="00DA56F6">
        <w:trPr>
          <w:trHeight w:val="308"/>
        </w:trPr>
        <w:tc>
          <w:tcPr>
            <w:tcW w:w="986" w:type="dxa"/>
            <w:tcBorders>
              <w:top w:val="nil"/>
              <w:left w:val="single" w:sz="4" w:space="0" w:color="000000"/>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246"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0"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84"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129"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034"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572"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286"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91"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407"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320"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86" w:type="dxa"/>
            <w:tcBorders>
              <w:top w:val="nil"/>
              <w:left w:val="nil"/>
              <w:bottom w:val="single" w:sz="4" w:space="0" w:color="000000"/>
              <w:right w:val="single" w:sz="4" w:space="0" w:color="000000"/>
            </w:tcBorders>
            <w:shd w:val="clear" w:color="FFFFFF" w:fill="FFFFFF"/>
            <w:vAlign w:val="center"/>
          </w:tcPr>
          <w:p w:rsidR="00DA56F6" w:rsidRDefault="00BB649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DA56F6">
        <w:trPr>
          <w:trHeight w:val="308"/>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40.29</w:t>
            </w:r>
          </w:p>
        </w:tc>
        <w:tc>
          <w:tcPr>
            <w:tcW w:w="124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40"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40.00</w:t>
            </w:r>
          </w:p>
        </w:tc>
        <w:tc>
          <w:tcPr>
            <w:tcW w:w="128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28.00</w:t>
            </w:r>
          </w:p>
        </w:tc>
        <w:tc>
          <w:tcPr>
            <w:tcW w:w="1129"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12.00</w:t>
            </w:r>
          </w:p>
        </w:tc>
        <w:tc>
          <w:tcPr>
            <w:tcW w:w="1034"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0.29</w:t>
            </w:r>
          </w:p>
        </w:tc>
        <w:tc>
          <w:tcPr>
            <w:tcW w:w="572"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37.31</w:t>
            </w:r>
          </w:p>
        </w:tc>
        <w:tc>
          <w:tcPr>
            <w:tcW w:w="128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91"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37.02</w:t>
            </w:r>
          </w:p>
        </w:tc>
        <w:tc>
          <w:tcPr>
            <w:tcW w:w="1407"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28.00</w:t>
            </w:r>
          </w:p>
        </w:tc>
        <w:tc>
          <w:tcPr>
            <w:tcW w:w="1320"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9.02</w:t>
            </w:r>
          </w:p>
        </w:tc>
        <w:tc>
          <w:tcPr>
            <w:tcW w:w="1386" w:type="dxa"/>
            <w:tcBorders>
              <w:top w:val="nil"/>
              <w:left w:val="nil"/>
              <w:bottom w:val="single" w:sz="4" w:space="0" w:color="000000"/>
              <w:right w:val="single" w:sz="4" w:space="0" w:color="000000"/>
            </w:tcBorders>
            <w:shd w:val="clear" w:color="auto" w:fill="auto"/>
            <w:noWrap/>
            <w:vAlign w:val="center"/>
          </w:tcPr>
          <w:p w:rsidR="00DA56F6" w:rsidRDefault="00BB6496">
            <w:pPr>
              <w:widowControl/>
              <w:jc w:val="right"/>
              <w:rPr>
                <w:rFonts w:ascii="宋体" w:hAnsi="宋体" w:cs="Arial"/>
                <w:color w:val="000000"/>
                <w:kern w:val="0"/>
                <w:sz w:val="22"/>
                <w:szCs w:val="22"/>
              </w:rPr>
            </w:pPr>
            <w:r>
              <w:rPr>
                <w:rFonts w:ascii="宋体" w:hAnsi="宋体" w:cs="Arial" w:hint="eastAsia"/>
                <w:color w:val="000000"/>
                <w:kern w:val="0"/>
                <w:sz w:val="22"/>
                <w:szCs w:val="22"/>
              </w:rPr>
              <w:t>0.29</w:t>
            </w:r>
          </w:p>
        </w:tc>
      </w:tr>
      <w:tr w:rsidR="00DA56F6">
        <w:trPr>
          <w:trHeight w:val="615"/>
        </w:trPr>
        <w:tc>
          <w:tcPr>
            <w:tcW w:w="14081" w:type="dxa"/>
            <w:gridSpan w:val="12"/>
            <w:tcBorders>
              <w:top w:val="nil"/>
              <w:left w:val="nil"/>
              <w:bottom w:val="nil"/>
              <w:right w:val="nil"/>
            </w:tcBorders>
            <w:shd w:val="clear" w:color="auto" w:fill="auto"/>
            <w:vAlign w:val="center"/>
          </w:tcPr>
          <w:p w:rsidR="00DA56F6" w:rsidRDefault="00BB6496">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DA56F6" w:rsidRDefault="00DA56F6"/>
          <w:p w:rsidR="00DA56F6" w:rsidRDefault="00DA56F6">
            <w:pPr>
              <w:widowControl/>
              <w:jc w:val="left"/>
              <w:rPr>
                <w:rFonts w:ascii="宋体" w:hAnsi="宋体" w:cs="Arial"/>
                <w:color w:val="000000"/>
                <w:kern w:val="0"/>
                <w:sz w:val="22"/>
                <w:szCs w:val="22"/>
              </w:rPr>
            </w:pPr>
          </w:p>
        </w:tc>
      </w:tr>
    </w:tbl>
    <w:p w:rsidR="00DA56F6" w:rsidRDefault="00DA56F6"/>
    <w:p w:rsidR="00DA56F6" w:rsidRDefault="00DA56F6">
      <w:pPr>
        <w:sectPr w:rsidR="00DA56F6">
          <w:pgSz w:w="16838" w:h="11906" w:orient="landscape"/>
          <w:pgMar w:top="1797" w:right="1440" w:bottom="1797" w:left="1440" w:header="851" w:footer="992" w:gutter="0"/>
          <w:pgNumType w:fmt="numberInDash"/>
          <w:cols w:space="720"/>
          <w:docGrid w:type="lines" w:linePitch="312"/>
        </w:sectPr>
      </w:pPr>
    </w:p>
    <w:p w:rsidR="00DA56F6" w:rsidRDefault="00DA56F6"/>
    <w:p w:rsidR="00DA56F6" w:rsidRDefault="00DA56F6"/>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DA56F6">
        <w:trPr>
          <w:trHeight w:val="570"/>
          <w:jc w:val="center"/>
        </w:trPr>
        <w:tc>
          <w:tcPr>
            <w:tcW w:w="12480" w:type="dxa"/>
            <w:gridSpan w:val="12"/>
            <w:tcBorders>
              <w:top w:val="nil"/>
              <w:left w:val="nil"/>
              <w:bottom w:val="nil"/>
              <w:right w:val="nil"/>
            </w:tcBorders>
            <w:vAlign w:val="bottom"/>
          </w:tcPr>
          <w:p w:rsidR="00DA56F6" w:rsidRDefault="00BB6496">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DA56F6">
        <w:trPr>
          <w:trHeight w:val="285"/>
          <w:jc w:val="center"/>
        </w:trPr>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385"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765"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1040" w:type="dxa"/>
            <w:tcBorders>
              <w:top w:val="nil"/>
              <w:left w:val="nil"/>
              <w:bottom w:val="nil"/>
              <w:right w:val="nil"/>
            </w:tcBorders>
            <w:vAlign w:val="bottom"/>
          </w:tcPr>
          <w:p w:rsidR="00DA56F6" w:rsidRDefault="00DA56F6">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DA56F6" w:rsidRDefault="00BB6496">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DA56F6">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DA56F6">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DA56F6" w:rsidRDefault="00DA56F6">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A56F6" w:rsidRDefault="00DA56F6">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DA56F6" w:rsidRDefault="00DA56F6">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DA56F6" w:rsidRDefault="00BB6496">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DA56F6">
        <w:trPr>
          <w:trHeight w:val="312"/>
          <w:jc w:val="center"/>
        </w:trPr>
        <w:tc>
          <w:tcPr>
            <w:tcW w:w="1040" w:type="dxa"/>
            <w:vMerge/>
            <w:tcBorders>
              <w:top w:val="single" w:sz="4" w:space="0" w:color="auto"/>
              <w:left w:val="single" w:sz="4" w:space="0" w:color="auto"/>
              <w:bottom w:val="nil"/>
              <w:right w:val="nil"/>
            </w:tcBorders>
            <w:vAlign w:val="center"/>
          </w:tcPr>
          <w:p w:rsidR="00DA56F6" w:rsidRDefault="00DA56F6">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DA56F6" w:rsidRDefault="00DA56F6">
            <w:pPr>
              <w:widowControl/>
              <w:jc w:val="left"/>
              <w:rPr>
                <w:rFonts w:ascii="宋体" w:hAnsi="宋体" w:cs="宋体"/>
                <w:color w:val="000000"/>
                <w:kern w:val="0"/>
                <w:sz w:val="22"/>
                <w:szCs w:val="22"/>
              </w:rPr>
            </w:pPr>
          </w:p>
        </w:tc>
      </w:tr>
      <w:tr w:rsidR="00DA56F6">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合</w:t>
            </w:r>
            <w:r>
              <w:rPr>
                <w:rFonts w:ascii="宋体" w:hAnsi="宋体" w:cs="宋体" w:hint="eastAsia"/>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0</w:t>
            </w: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DA56F6">
        <w:trPr>
          <w:trHeight w:val="285"/>
          <w:jc w:val="center"/>
        </w:trPr>
        <w:tc>
          <w:tcPr>
            <w:tcW w:w="1040" w:type="dxa"/>
            <w:tcBorders>
              <w:top w:val="nil"/>
              <w:left w:val="single" w:sz="4" w:space="0" w:color="auto"/>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DA56F6" w:rsidRDefault="00BB6496">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DA56F6" w:rsidRDefault="00BB6496">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DA56F6" w:rsidRDefault="00BB6496">
      <w:pPr>
        <w:spacing w:line="560" w:lineRule="exact"/>
        <w:ind w:firstLine="420"/>
      </w:pPr>
      <w:r>
        <w:rPr>
          <w:rFonts w:hint="eastAsia"/>
        </w:rPr>
        <w:t>注：本表反映部门本年度政府性基金预算财政拨款收入支出及结转和结余情况。</w:t>
      </w:r>
    </w:p>
    <w:p w:rsidR="00DA56F6" w:rsidRDefault="00BB6496">
      <w:pPr>
        <w:spacing w:line="560" w:lineRule="exact"/>
        <w:ind w:firstLine="420"/>
      </w:pPr>
      <w:r>
        <w:rPr>
          <w:rFonts w:hint="eastAsia"/>
        </w:rPr>
        <w:t>柳州市城中区人民检察院没有政府性基金预算财政拨款收入，也没有政府性基金预算财政拨款安排的支出，故本表无数据。</w:t>
      </w:r>
    </w:p>
    <w:p w:rsidR="00DA56F6" w:rsidRDefault="00DA56F6">
      <w:pPr>
        <w:spacing w:line="560" w:lineRule="exact"/>
        <w:ind w:firstLine="420"/>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1318"/>
        <w:gridCol w:w="1292"/>
        <w:gridCol w:w="2249"/>
        <w:gridCol w:w="3242"/>
        <w:gridCol w:w="1344"/>
        <w:gridCol w:w="4075"/>
      </w:tblGrid>
      <w:tr w:rsidR="00DA56F6">
        <w:trPr>
          <w:trHeight w:val="768"/>
        </w:trPr>
        <w:tc>
          <w:tcPr>
            <w:tcW w:w="13520" w:type="dxa"/>
            <w:gridSpan w:val="6"/>
            <w:shd w:val="clear" w:color="auto" w:fill="FFFFFF"/>
            <w:vAlign w:val="center"/>
          </w:tcPr>
          <w:p w:rsidR="00DA56F6" w:rsidRDefault="00BB6496">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表九：国有资本经营预算财政拨款支出决算表</w:t>
            </w:r>
          </w:p>
        </w:tc>
      </w:tr>
      <w:tr w:rsidR="00DA56F6">
        <w:trPr>
          <w:trHeight w:val="350"/>
        </w:trPr>
        <w:tc>
          <w:tcPr>
            <w:tcW w:w="1318" w:type="dxa"/>
            <w:shd w:val="clear" w:color="auto" w:fill="FFFFFF"/>
            <w:vAlign w:val="center"/>
          </w:tcPr>
          <w:p w:rsidR="00DA56F6" w:rsidRDefault="00BB649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p>
        </w:tc>
        <w:tc>
          <w:tcPr>
            <w:tcW w:w="1292" w:type="dxa"/>
            <w:shd w:val="clear" w:color="auto" w:fill="FFFFFF"/>
            <w:vAlign w:val="center"/>
          </w:tcPr>
          <w:p w:rsidR="00DA56F6" w:rsidRDefault="00DA56F6">
            <w:pPr>
              <w:jc w:val="center"/>
              <w:rPr>
                <w:rFonts w:ascii="宋体" w:hAnsi="宋体" w:cs="宋体"/>
                <w:color w:val="000000"/>
                <w:sz w:val="20"/>
                <w:szCs w:val="20"/>
              </w:rPr>
            </w:pPr>
          </w:p>
        </w:tc>
        <w:tc>
          <w:tcPr>
            <w:tcW w:w="2249" w:type="dxa"/>
            <w:shd w:val="clear" w:color="auto" w:fill="FFFFFF"/>
            <w:vAlign w:val="center"/>
          </w:tcPr>
          <w:p w:rsidR="00DA56F6" w:rsidRDefault="00DA56F6">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DA56F6" w:rsidRDefault="00DA56F6">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DA56F6" w:rsidRDefault="00DA56F6">
            <w:pPr>
              <w:rPr>
                <w:rFonts w:ascii="宋体" w:hAnsi="宋体" w:cs="宋体"/>
                <w:color w:val="000000"/>
                <w:sz w:val="20"/>
                <w:szCs w:val="20"/>
              </w:rPr>
            </w:pPr>
          </w:p>
        </w:tc>
        <w:tc>
          <w:tcPr>
            <w:tcW w:w="4075" w:type="dxa"/>
            <w:shd w:val="clear" w:color="auto" w:fill="FFFFFF"/>
            <w:vAlign w:val="center"/>
          </w:tcPr>
          <w:p w:rsidR="00DA56F6" w:rsidRDefault="00BB649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DA56F6">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r>
              <w:rPr>
                <w:rFonts w:ascii="宋体" w:hAnsi="宋体" w:cs="宋体" w:hint="eastAsia"/>
                <w:color w:val="000000"/>
                <w:kern w:val="0"/>
                <w:sz w:val="24"/>
                <w:lang w:bidi="ar"/>
              </w:rPr>
              <w:t xml:space="preserve"> </w:t>
            </w:r>
            <w:r>
              <w:rPr>
                <w:rStyle w:val="font11"/>
                <w:rFonts w:hint="default"/>
                <w:lang w:bidi="ar"/>
              </w:rPr>
              <w:t xml:space="preserve">   </w:t>
            </w:r>
            <w:r>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DA56F6">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基本支出</w:t>
            </w:r>
            <w:r>
              <w:rPr>
                <w:rFonts w:ascii="宋体" w:hAnsi="宋体" w:cs="宋体" w:hint="eastAsia"/>
                <w:color w:val="000000"/>
                <w:kern w:val="0"/>
                <w:sz w:val="24"/>
                <w:lang w:bidi="ar"/>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DA56F6">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r>
      <w:tr w:rsidR="00DA56F6">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r>
      <w:tr w:rsidR="00DA56F6">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DA56F6">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DA56F6" w:rsidRDefault="00BB6496">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r>
      <w:tr w:rsidR="00DA56F6">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BB6496">
            <w:pPr>
              <w:jc w:val="center"/>
              <w:rPr>
                <w:rFonts w:ascii="宋体" w:hAnsi="宋体" w:cs="宋体"/>
                <w:color w:val="000000"/>
                <w:sz w:val="24"/>
              </w:rPr>
            </w:pPr>
            <w:r>
              <w:rPr>
                <w:rFonts w:ascii="宋体" w:hAnsi="宋体" w:cs="宋体" w:hint="eastAsia"/>
                <w:color w:val="000000"/>
                <w:sz w:val="24"/>
              </w:rPr>
              <w:t>0</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rPr>
                <w:rFonts w:ascii="宋体" w:hAnsi="宋体" w:cs="宋体"/>
                <w:color w:val="000000"/>
                <w:sz w:val="24"/>
              </w:rPr>
            </w:pPr>
            <w:r>
              <w:rPr>
                <w:rFonts w:ascii="宋体" w:hAnsi="宋体" w:cs="宋体" w:hint="eastAsia"/>
                <w:color w:val="000000"/>
                <w:sz w:val="24"/>
              </w:rPr>
              <w:t>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rPr>
                <w:rFonts w:ascii="宋体" w:hAnsi="宋体" w:cs="宋体"/>
                <w:color w:val="000000"/>
                <w:sz w:val="24"/>
              </w:rPr>
            </w:pPr>
            <w:r>
              <w:rPr>
                <w:rFonts w:ascii="宋体" w:hAnsi="宋体" w:cs="宋体" w:hint="eastAsia"/>
                <w:color w:val="000000"/>
                <w:sz w:val="24"/>
              </w:rPr>
              <w:t>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BB6496">
            <w:pPr>
              <w:rPr>
                <w:rFonts w:ascii="宋体" w:hAnsi="宋体" w:cs="宋体"/>
                <w:color w:val="000000"/>
                <w:sz w:val="24"/>
              </w:rPr>
            </w:pPr>
            <w:r>
              <w:rPr>
                <w:rFonts w:ascii="宋体" w:hAnsi="宋体" w:cs="宋体" w:hint="eastAsia"/>
                <w:color w:val="000000"/>
                <w:sz w:val="24"/>
              </w:rPr>
              <w:t>0</w:t>
            </w:r>
          </w:p>
        </w:tc>
      </w:tr>
      <w:tr w:rsidR="00DA56F6">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r>
      <w:tr w:rsidR="00DA56F6">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r>
      <w:tr w:rsidR="00DA56F6">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r>
      <w:tr w:rsidR="00DA56F6">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r>
      <w:tr w:rsidR="00DA56F6">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DA56F6" w:rsidRDefault="00DA56F6">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A56F6" w:rsidRDefault="00DA56F6">
            <w:pPr>
              <w:rPr>
                <w:rFonts w:ascii="宋体" w:hAnsi="宋体" w:cs="宋体"/>
                <w:color w:val="000000"/>
                <w:sz w:val="24"/>
              </w:rPr>
            </w:pPr>
          </w:p>
        </w:tc>
      </w:tr>
      <w:tr w:rsidR="00DA56F6">
        <w:trPr>
          <w:trHeight w:val="798"/>
        </w:trPr>
        <w:tc>
          <w:tcPr>
            <w:tcW w:w="13520" w:type="dxa"/>
            <w:gridSpan w:val="6"/>
            <w:tcBorders>
              <w:top w:val="single" w:sz="12" w:space="0" w:color="000000"/>
            </w:tcBorders>
            <w:shd w:val="clear" w:color="auto" w:fill="auto"/>
            <w:vAlign w:val="center"/>
          </w:tcPr>
          <w:p w:rsidR="00DA56F6" w:rsidRDefault="00BB6496">
            <w:pPr>
              <w:spacing w:line="560" w:lineRule="exact"/>
            </w:pPr>
            <w:r>
              <w:rPr>
                <w:rFonts w:hint="eastAsia"/>
              </w:rPr>
              <w:t>注：本表反映部门本年度国有资本经营预算财政拨款支出情况。</w:t>
            </w:r>
            <w:r>
              <w:rPr>
                <w:rFonts w:hint="eastAsia"/>
              </w:rPr>
              <w:t xml:space="preserve">  </w:t>
            </w:r>
            <w:r>
              <w:rPr>
                <w:rFonts w:hint="eastAsia"/>
              </w:rPr>
              <w:t>柳州市城中区人民检察院没有国有资本经营预算财政拨款支出，故本表无数据。</w:t>
            </w:r>
          </w:p>
        </w:tc>
      </w:tr>
    </w:tbl>
    <w:p w:rsidR="00DA56F6" w:rsidRDefault="00DA56F6">
      <w:pPr>
        <w:spacing w:line="560" w:lineRule="exact"/>
        <w:ind w:firstLine="420"/>
        <w:sectPr w:rsidR="00DA56F6">
          <w:pgSz w:w="16838" w:h="11906" w:orient="landscape"/>
          <w:pgMar w:top="1797" w:right="1440" w:bottom="1797" w:left="1440" w:header="851" w:footer="992" w:gutter="0"/>
          <w:pgNumType w:fmt="numberInDash"/>
          <w:cols w:space="720"/>
          <w:docGrid w:type="lines" w:linePitch="312"/>
        </w:sectPr>
      </w:pPr>
    </w:p>
    <w:p w:rsidR="00DA56F6" w:rsidRDefault="00BB6496">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华文中宋" w:eastAsia="华文中宋" w:hAnsi="华文中宋" w:cs="华文中宋" w:hint="eastAsia"/>
          <w:color w:val="000000"/>
          <w:kern w:val="0"/>
          <w:sz w:val="32"/>
          <w:szCs w:val="32"/>
          <w:lang w:bidi="ar"/>
        </w:rPr>
        <w:t>柳州市城中区人民检察院</w:t>
      </w:r>
      <w:r>
        <w:rPr>
          <w:rFonts w:ascii="仿宋_GB2312" w:eastAsia="仿宋_GB2312" w:hint="eastAsia"/>
          <w:b/>
          <w:sz w:val="32"/>
          <w:szCs w:val="32"/>
        </w:rPr>
        <w:t xml:space="preserve"> 2020</w:t>
      </w:r>
      <w:r>
        <w:rPr>
          <w:rFonts w:ascii="仿宋_GB2312" w:eastAsia="仿宋_GB2312" w:hint="eastAsia"/>
          <w:b/>
          <w:sz w:val="32"/>
          <w:szCs w:val="32"/>
        </w:rPr>
        <w:t>年度部门决算情况说明</w:t>
      </w:r>
    </w:p>
    <w:p w:rsidR="00DA56F6" w:rsidRDefault="00BB64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DA56F6" w:rsidRDefault="00BB6496">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hint="eastAsia"/>
          <w:sz w:val="32"/>
          <w:szCs w:val="32"/>
        </w:rPr>
        <w:t>1132.49</w:t>
      </w:r>
      <w:r>
        <w:rPr>
          <w:rFonts w:ascii="仿宋_GB2312" w:eastAsia="仿宋_GB2312" w:cs="仿宋_GB2312" w:hint="eastAsia"/>
          <w:bCs/>
          <w:kern w:val="0"/>
          <w:sz w:val="32"/>
          <w:szCs w:val="32"/>
        </w:rPr>
        <w:t>万元，支出总计</w:t>
      </w:r>
      <w:r>
        <w:rPr>
          <w:rFonts w:ascii="仿宋_GB2312" w:eastAsia="仿宋_GB2312" w:hint="eastAsia"/>
          <w:sz w:val="32"/>
          <w:szCs w:val="32"/>
        </w:rPr>
        <w:t>1082.26</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年相比，收、支分别增加</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；分别增长</w:t>
      </w:r>
      <w:r>
        <w:rPr>
          <w:rFonts w:ascii="仿宋_GB2312" w:eastAsia="仿宋_GB2312" w:cs="仿宋_GB2312" w:hint="eastAsia"/>
          <w:bCs/>
          <w:kern w:val="0"/>
          <w:sz w:val="32"/>
          <w:szCs w:val="32"/>
        </w:rPr>
        <w:t>100%</w:t>
      </w:r>
    </w:p>
    <w:p w:rsidR="00DA56F6" w:rsidRDefault="00BB64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1132.49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bCs/>
          <w:kern w:val="0"/>
          <w:sz w:val="32"/>
          <w:szCs w:val="32"/>
        </w:rPr>
        <w:t>847.19</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74.81%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Pr>
          <w:rFonts w:ascii="仿宋_GB2312" w:eastAsia="仿宋_GB2312" w:cs="仿宋_GB2312"/>
          <w:bCs/>
          <w:kern w:val="0"/>
          <w:sz w:val="32"/>
          <w:szCs w:val="32"/>
        </w:rPr>
        <w:t>285.3</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25.19%</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hint="eastAsia"/>
          <w:sz w:val="32"/>
          <w:szCs w:val="32"/>
        </w:rPr>
        <w:t>1082.26</w:t>
      </w:r>
      <w:r>
        <w:rPr>
          <w:rFonts w:ascii="仿宋_GB2312" w:eastAsia="仿宋_GB2312" w:cs="仿宋_GB2312" w:hint="eastAsia"/>
          <w:bCs/>
          <w:kern w:val="0"/>
          <w:sz w:val="32"/>
          <w:szCs w:val="32"/>
        </w:rPr>
        <w:t>万元，其中：基本支出</w:t>
      </w:r>
      <w:r>
        <w:rPr>
          <w:rFonts w:ascii="仿宋_GB2312" w:eastAsia="仿宋_GB2312" w:cs="仿宋_GB2312"/>
          <w:bCs/>
          <w:kern w:val="0"/>
          <w:sz w:val="32"/>
          <w:szCs w:val="32"/>
        </w:rPr>
        <w:t>760.08</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70.23%</w:t>
      </w:r>
      <w:r>
        <w:rPr>
          <w:rFonts w:ascii="仿宋_GB2312" w:eastAsia="仿宋_GB2312" w:cs="仿宋_GB2312" w:hint="eastAsia"/>
          <w:bCs/>
          <w:kern w:val="0"/>
          <w:sz w:val="32"/>
          <w:szCs w:val="32"/>
        </w:rPr>
        <w:t>；项目支出</w:t>
      </w:r>
      <w:r>
        <w:rPr>
          <w:rFonts w:ascii="仿宋_GB2312" w:eastAsia="仿宋_GB2312" w:cs="仿宋_GB2312"/>
          <w:bCs/>
          <w:kern w:val="0"/>
          <w:sz w:val="32"/>
          <w:szCs w:val="32"/>
        </w:rPr>
        <w:t>322.19</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29.77%</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sz w:val="32"/>
          <w:szCs w:val="32"/>
        </w:rPr>
        <w:t>1132.49</w:t>
      </w:r>
      <w:r>
        <w:rPr>
          <w:rFonts w:ascii="仿宋_GB2312" w:eastAsia="仿宋_GB2312" w:cs="仿宋_GB2312" w:hint="eastAsia"/>
          <w:bCs/>
          <w:kern w:val="0"/>
          <w:sz w:val="32"/>
          <w:szCs w:val="32"/>
        </w:rPr>
        <w:t>元、</w:t>
      </w:r>
      <w:r>
        <w:rPr>
          <w:rFonts w:ascii="仿宋_GB2312" w:eastAsia="仿宋_GB2312"/>
          <w:sz w:val="32"/>
          <w:szCs w:val="32"/>
        </w:rPr>
        <w:t>1082.26</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年相比，财政拨款收、支总计各减少</w:t>
      </w:r>
      <w:r>
        <w:rPr>
          <w:rFonts w:ascii="仿宋_GB2312" w:eastAsia="仿宋_GB2312" w:cs="仿宋_GB2312" w:hint="eastAsia"/>
          <w:bCs/>
          <w:kern w:val="0"/>
          <w:sz w:val="32"/>
          <w:szCs w:val="32"/>
        </w:rPr>
        <w:t>535.73</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389.75 </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32.11%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26.48%</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hint="eastAsia"/>
          <w:sz w:val="32"/>
          <w:szCs w:val="32"/>
        </w:rPr>
        <w:t>847.19</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78.28%</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年相比，财政拨款支出减</w:t>
      </w:r>
      <w:r>
        <w:rPr>
          <w:rFonts w:ascii="仿宋_GB2312" w:eastAsia="仿宋_GB2312" w:cs="仿宋_GB2312" w:hint="eastAsia"/>
          <w:bCs/>
          <w:kern w:val="0"/>
          <w:sz w:val="32"/>
          <w:szCs w:val="32"/>
        </w:rPr>
        <w:t xml:space="preserve">389.75 </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26.48%</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w:t>
      </w:r>
      <w:r>
        <w:rPr>
          <w:rFonts w:ascii="仿宋_GB2312" w:eastAsia="仿宋_GB2312" w:hint="eastAsia"/>
          <w:sz w:val="32"/>
          <w:szCs w:val="32"/>
        </w:rPr>
        <w:t>847.19</w:t>
      </w:r>
      <w:r>
        <w:rPr>
          <w:rFonts w:ascii="仿宋_GB2312" w:eastAsia="仿宋_GB2312" w:cs="仿宋_GB2312" w:hint="eastAsia"/>
          <w:bCs/>
          <w:kern w:val="0"/>
          <w:sz w:val="32"/>
          <w:szCs w:val="32"/>
        </w:rPr>
        <w:t>万元，主要用于以下方面：公共安全支出</w:t>
      </w:r>
      <w:r>
        <w:rPr>
          <w:rFonts w:ascii="仿宋_GB2312" w:eastAsia="仿宋_GB2312" w:cs="仿宋_GB2312"/>
          <w:bCs/>
          <w:kern w:val="0"/>
          <w:sz w:val="32"/>
          <w:szCs w:val="32"/>
        </w:rPr>
        <w:t>657.66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占比</w:t>
      </w:r>
      <w:r>
        <w:rPr>
          <w:rFonts w:ascii="仿宋_GB2312" w:eastAsia="仿宋_GB2312" w:cs="仿宋_GB2312" w:hint="eastAsia"/>
          <w:bCs/>
          <w:kern w:val="0"/>
          <w:sz w:val="32"/>
          <w:szCs w:val="32"/>
        </w:rPr>
        <w:t>77.63%</w:t>
      </w:r>
      <w:r>
        <w:rPr>
          <w:rFonts w:ascii="仿宋_GB2312" w:eastAsia="仿宋_GB2312" w:cs="仿宋_GB2312" w:hint="eastAsia"/>
          <w:bCs/>
          <w:kern w:val="0"/>
          <w:sz w:val="32"/>
          <w:szCs w:val="32"/>
        </w:rPr>
        <w:t>；社会保障</w:t>
      </w:r>
      <w:r>
        <w:rPr>
          <w:rFonts w:ascii="仿宋_GB2312" w:eastAsia="仿宋_GB2312" w:cs="仿宋_GB2312" w:hint="eastAsia"/>
          <w:bCs/>
          <w:kern w:val="0"/>
          <w:sz w:val="32"/>
          <w:szCs w:val="32"/>
        </w:rPr>
        <w:lastRenderedPageBreak/>
        <w:t>和就业支出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101.52</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11.98%</w:t>
      </w:r>
      <w:r>
        <w:rPr>
          <w:rFonts w:ascii="仿宋_GB2312" w:eastAsia="仿宋_GB2312" w:cs="仿宋_GB2312" w:hint="eastAsia"/>
          <w:bCs/>
          <w:kern w:val="0"/>
          <w:sz w:val="32"/>
          <w:szCs w:val="32"/>
        </w:rPr>
        <w:t>；卫生健康支出</w:t>
      </w:r>
      <w:r>
        <w:rPr>
          <w:rFonts w:ascii="仿宋_GB2312" w:eastAsia="仿宋_GB2312" w:cs="仿宋_GB2312"/>
          <w:bCs/>
          <w:kern w:val="0"/>
          <w:sz w:val="32"/>
          <w:szCs w:val="32"/>
        </w:rPr>
        <w:t>49.62</w:t>
      </w:r>
      <w:r>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元，占比</w:t>
      </w:r>
      <w:r>
        <w:rPr>
          <w:rFonts w:ascii="仿宋_GB2312" w:eastAsia="仿宋_GB2312" w:cs="仿宋_GB2312" w:hint="eastAsia"/>
          <w:bCs/>
          <w:kern w:val="0"/>
          <w:sz w:val="32"/>
          <w:szCs w:val="32"/>
        </w:rPr>
        <w:t>5.86%</w:t>
      </w:r>
      <w:r>
        <w:rPr>
          <w:rFonts w:ascii="仿宋_GB2312" w:eastAsia="仿宋_GB2312" w:cs="仿宋_GB2312" w:hint="eastAsia"/>
          <w:bCs/>
          <w:kern w:val="0"/>
          <w:sz w:val="32"/>
          <w:szCs w:val="32"/>
        </w:rPr>
        <w:t>；住房保障支出</w:t>
      </w:r>
      <w:r>
        <w:rPr>
          <w:rFonts w:ascii="仿宋_GB2312" w:eastAsia="仿宋_GB2312" w:cs="仿宋_GB2312"/>
          <w:bCs/>
          <w:kern w:val="0"/>
          <w:sz w:val="32"/>
          <w:szCs w:val="32"/>
        </w:rPr>
        <w:t>38.39</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4.53%</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hint="eastAsia"/>
          <w:sz w:val="32"/>
          <w:szCs w:val="32"/>
        </w:rPr>
        <w:t>847.19</w:t>
      </w:r>
      <w:r>
        <w:rPr>
          <w:rFonts w:ascii="仿宋_GB2312" w:eastAsia="仿宋_GB2312" w:cs="仿宋_GB2312" w:hint="eastAsia"/>
          <w:bCs/>
          <w:kern w:val="0"/>
          <w:sz w:val="32"/>
          <w:szCs w:val="32"/>
        </w:rPr>
        <w:t>万元，支出决算为</w:t>
      </w:r>
      <w:r>
        <w:rPr>
          <w:rFonts w:ascii="仿宋_GB2312" w:eastAsia="仿宋_GB2312" w:hint="eastAsia"/>
          <w:sz w:val="32"/>
          <w:szCs w:val="32"/>
        </w:rPr>
        <w:t>847.19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。决算数等于预算数。</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Pr>
          <w:rFonts w:hint="eastAsia"/>
        </w:rPr>
        <w:t xml:space="preserve"> </w:t>
      </w:r>
      <w:r>
        <w:rPr>
          <w:rFonts w:ascii="仿宋_GB2312" w:eastAsia="仿宋_GB2312" w:cs="仿宋_GB2312" w:hint="eastAsia"/>
          <w:bCs/>
          <w:kern w:val="0"/>
          <w:sz w:val="32"/>
          <w:szCs w:val="32"/>
        </w:rPr>
        <w:t>公共安全（类）检察（款）行政运行（项）。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341.71</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341.71</w:t>
      </w:r>
      <w:r>
        <w:rPr>
          <w:rFonts w:ascii="仿宋_GB2312" w:eastAsia="仿宋_GB2312" w:cs="仿宋_GB2312" w:hint="eastAsia"/>
          <w:bCs/>
          <w:kern w:val="0"/>
          <w:sz w:val="32"/>
          <w:szCs w:val="32"/>
        </w:rPr>
        <w:t>万元，完</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成年初预算的</w:t>
      </w:r>
      <w:r>
        <w:rPr>
          <w:rFonts w:ascii="仿宋_GB2312" w:eastAsia="仿宋_GB2312" w:cs="仿宋_GB2312" w:hint="eastAsia"/>
          <w:bCs/>
          <w:kern w:val="0"/>
          <w:sz w:val="32"/>
          <w:szCs w:val="32"/>
        </w:rPr>
        <w:t xml:space="preserve"> 100%</w:t>
      </w:r>
      <w:r>
        <w:rPr>
          <w:rFonts w:ascii="仿宋_GB2312" w:eastAsia="仿宋_GB2312" w:cs="仿宋_GB2312" w:hint="eastAsia"/>
          <w:bCs/>
          <w:kern w:val="0"/>
          <w:sz w:val="32"/>
          <w:szCs w:val="32"/>
        </w:rPr>
        <w:t>。决算数等于预算数。</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hint="eastAsia"/>
        </w:rPr>
        <w:t xml:space="preserve"> </w:t>
      </w:r>
      <w:r>
        <w:rPr>
          <w:rFonts w:ascii="仿宋_GB2312" w:eastAsia="仿宋_GB2312" w:cs="仿宋_GB2312" w:hint="eastAsia"/>
          <w:bCs/>
          <w:kern w:val="0"/>
          <w:sz w:val="32"/>
          <w:szCs w:val="32"/>
        </w:rPr>
        <w:t>公共安全（类）检察（款）一般行政管理事</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务（项）。年初预算为</w:t>
      </w:r>
      <w:r>
        <w:rPr>
          <w:rFonts w:ascii="仿宋_GB2312" w:eastAsia="仿宋_GB2312" w:cs="仿宋_GB2312"/>
          <w:bCs/>
          <w:kern w:val="0"/>
          <w:sz w:val="32"/>
          <w:szCs w:val="32"/>
        </w:rPr>
        <w:t>263.02</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263.02</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100 %</w:t>
      </w:r>
      <w:r>
        <w:rPr>
          <w:rFonts w:ascii="仿宋_GB2312" w:eastAsia="仿宋_GB2312" w:cs="仿宋_GB2312" w:hint="eastAsia"/>
          <w:bCs/>
          <w:kern w:val="0"/>
          <w:sz w:val="32"/>
          <w:szCs w:val="32"/>
        </w:rPr>
        <w:t>。决算数等于预算数。</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3. </w:t>
      </w:r>
      <w:r>
        <w:rPr>
          <w:rFonts w:ascii="仿宋_GB2312" w:eastAsia="仿宋_GB2312" w:cs="仿宋_GB2312" w:hint="eastAsia"/>
          <w:bCs/>
          <w:kern w:val="0"/>
          <w:sz w:val="32"/>
          <w:szCs w:val="32"/>
        </w:rPr>
        <w:t>公共安全（类）检察（款）检察监督（项）。年初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52.92</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52.92</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。决算数等于预算数。</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4. </w:t>
      </w:r>
      <w:r>
        <w:rPr>
          <w:rFonts w:ascii="仿宋_GB2312" w:eastAsia="仿宋_GB2312" w:cs="仿宋_GB2312" w:hint="eastAsia"/>
          <w:bCs/>
          <w:kern w:val="0"/>
          <w:sz w:val="32"/>
          <w:szCs w:val="32"/>
        </w:rPr>
        <w:t>社会保障和就业（类）行政事业单位养老（款）行政单位离退休（项）。年初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5.89</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5.89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5. </w:t>
      </w:r>
      <w:r>
        <w:rPr>
          <w:rFonts w:ascii="仿宋_GB2312" w:eastAsia="仿宋_GB2312" w:cs="仿宋_GB2312" w:hint="eastAsia"/>
          <w:bCs/>
          <w:kern w:val="0"/>
          <w:sz w:val="32"/>
          <w:szCs w:val="32"/>
        </w:rPr>
        <w:t>社会保障和就业（类）行政事业单位养老（款）机关事业单位基本养老保险缴费（项）。年初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63.76</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63.76</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6. </w:t>
      </w:r>
      <w:r>
        <w:rPr>
          <w:rFonts w:ascii="仿宋_GB2312" w:eastAsia="仿宋_GB2312" w:cs="仿宋_GB2312" w:hint="eastAsia"/>
          <w:bCs/>
          <w:kern w:val="0"/>
          <w:sz w:val="32"/>
          <w:szCs w:val="32"/>
        </w:rPr>
        <w:t>社会保障和就业（类）行政事业单位养老（款）机关事业单位职业年金缴费（项）。年初预算为</w:t>
      </w:r>
      <w:r>
        <w:rPr>
          <w:rFonts w:ascii="仿宋_GB2312" w:eastAsia="仿宋_GB2312" w:cs="仿宋_GB2312"/>
          <w:bCs/>
          <w:kern w:val="0"/>
          <w:sz w:val="32"/>
          <w:szCs w:val="32"/>
        </w:rPr>
        <w:t>31.88</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31.88</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7.</w:t>
      </w:r>
      <w:r>
        <w:rPr>
          <w:rFonts w:hint="eastAsia"/>
        </w:rPr>
        <w:t xml:space="preserve"> </w:t>
      </w:r>
      <w:r>
        <w:rPr>
          <w:rFonts w:ascii="仿宋_GB2312" w:eastAsia="仿宋_GB2312" w:cs="仿宋_GB2312" w:hint="eastAsia"/>
          <w:bCs/>
          <w:kern w:val="0"/>
          <w:sz w:val="32"/>
          <w:szCs w:val="32"/>
        </w:rPr>
        <w:t>卫生健康（类）行政事业单位医疗（款）行政单位医疗（项）。年初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25.39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bCs/>
          <w:kern w:val="0"/>
          <w:sz w:val="32"/>
          <w:szCs w:val="32"/>
        </w:rPr>
        <w:t>25.39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Pr>
          <w:rFonts w:hint="eastAsia"/>
        </w:rPr>
        <w:t xml:space="preserve"> </w:t>
      </w:r>
      <w:r>
        <w:rPr>
          <w:rFonts w:ascii="仿宋_GB2312" w:eastAsia="仿宋_GB2312" w:cs="仿宋_GB2312" w:hint="eastAsia"/>
          <w:bCs/>
          <w:kern w:val="0"/>
          <w:sz w:val="32"/>
          <w:szCs w:val="32"/>
        </w:rPr>
        <w:t>卫生健康（类）行政事业单位医疗（款）公务员医疗补助（项）。年初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24.23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24.23</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Pr>
          <w:rFonts w:hint="eastAsia"/>
        </w:rPr>
        <w:t xml:space="preserve"> </w:t>
      </w:r>
      <w:r>
        <w:rPr>
          <w:rFonts w:ascii="仿宋_GB2312" w:eastAsia="仿宋_GB2312" w:cs="仿宋_GB2312" w:hint="eastAsia"/>
          <w:bCs/>
          <w:kern w:val="0"/>
          <w:sz w:val="32"/>
          <w:szCs w:val="32"/>
        </w:rPr>
        <w:t>住房保障（类）住房改革（款）住房公积金（项）。</w:t>
      </w:r>
      <w:r>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38.39</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38.39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Pr>
          <w:rFonts w:hint="eastAsia"/>
        </w:rPr>
        <w:t xml:space="preserve"> </w:t>
      </w:r>
      <w:r>
        <w:rPr>
          <w:rFonts w:ascii="仿宋_GB2312" w:eastAsia="仿宋_GB2312" w:cs="仿宋_GB2312" w:hint="eastAsia"/>
          <w:bCs/>
          <w:kern w:val="0"/>
          <w:sz w:val="32"/>
          <w:szCs w:val="32"/>
        </w:rPr>
        <w:t>其他支出（类）其他支出（款）其他支出（项）。</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年初</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预算为</w:t>
      </w:r>
      <w:r>
        <w:rPr>
          <w:rFonts w:ascii="仿宋_GB2312" w:eastAsia="仿宋_GB2312" w:cs="仿宋_GB2312"/>
          <w:bCs/>
          <w:kern w:val="0"/>
          <w:sz w:val="32"/>
          <w:szCs w:val="32"/>
        </w:rPr>
        <w:t>235.07</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235.07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bCs/>
          <w:kern w:val="0"/>
          <w:sz w:val="32"/>
          <w:szCs w:val="32"/>
        </w:rPr>
        <w:t>531.24</w:t>
      </w:r>
      <w:r>
        <w:rPr>
          <w:rFonts w:ascii="仿宋_GB2312" w:eastAsia="仿宋_GB2312" w:cs="仿宋_GB2312" w:hint="eastAsia"/>
          <w:bCs/>
          <w:kern w:val="0"/>
          <w:sz w:val="32"/>
          <w:szCs w:val="32"/>
        </w:rPr>
        <w:t>万元，其中：</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bCs/>
          <w:kern w:val="0"/>
          <w:sz w:val="32"/>
          <w:szCs w:val="32"/>
        </w:rPr>
        <w:t>434.21</w:t>
      </w:r>
      <w:r>
        <w:rPr>
          <w:rFonts w:ascii="仿宋_GB2312" w:eastAsia="仿宋_GB2312" w:cs="仿宋_GB2312" w:hint="eastAsia"/>
          <w:bCs/>
          <w:kern w:val="0"/>
          <w:sz w:val="32"/>
          <w:szCs w:val="32"/>
        </w:rPr>
        <w:t>万元，主要包括：基本工资、津贴补贴、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奖金、伙食补助费、绩效工资、机关事业单位基本养老保险缴费、职业年金缴费、其他社会保障缴费、其他工资福利支出、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离休费、退休费、抚恤金、生活补助、医疗费、奖励金、住房公积金。</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bCs/>
          <w:kern w:val="0"/>
          <w:sz w:val="32"/>
          <w:szCs w:val="32"/>
        </w:rPr>
        <w:t>92.83</w:t>
      </w:r>
      <w:r>
        <w:rPr>
          <w:rFonts w:ascii="仿宋_GB2312" w:eastAsia="仿宋_GB2312" w:cs="仿宋_GB2312" w:hint="eastAsia"/>
          <w:bCs/>
          <w:kern w:val="0"/>
          <w:sz w:val="32"/>
          <w:szCs w:val="32"/>
        </w:rPr>
        <w:t>万元，主要</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包括：办公费、印刷费、咨询费、手续费、水费、电费、邮电</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费、取暖费、物业管理费、差旅费、因公出国（境）费用、维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修（护）费、租赁费、会议费、培训费、公务接待费、专用材</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料费、劳务费、委托业务费、工会经费、福利费、公务用车运行维护费、其</w:t>
      </w:r>
      <w:r>
        <w:rPr>
          <w:rFonts w:ascii="仿宋_GB2312" w:eastAsia="仿宋_GB2312" w:cs="仿宋_GB2312" w:hint="eastAsia"/>
          <w:bCs/>
          <w:kern w:val="0"/>
          <w:sz w:val="32"/>
          <w:szCs w:val="32"/>
        </w:rPr>
        <w:lastRenderedPageBreak/>
        <w:t>他交通费用、税金及附加费用、其他商品和服务支出、办公设备购置、专用设备购置、信息网络及软件购置更新。</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w:t>
      </w:r>
      <w:r>
        <w:rPr>
          <w:rFonts w:ascii="仿宋_GB2312" w:eastAsia="仿宋_GB2312" w:cs="仿宋_GB2312" w:hint="eastAsia"/>
          <w:bCs/>
          <w:kern w:val="0"/>
          <w:sz w:val="32"/>
          <w:szCs w:val="32"/>
        </w:rPr>
        <w:t>费财政拨款支出决算总体情况</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40.29</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37.31</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92.60%</w:t>
      </w:r>
      <w:r>
        <w:rPr>
          <w:rFonts w:ascii="仿宋_GB2312" w:eastAsia="仿宋_GB2312" w:cs="仿宋_GB2312" w:hint="eastAsia"/>
          <w:bCs/>
          <w:kern w:val="0"/>
          <w:sz w:val="32"/>
          <w:szCs w:val="32"/>
        </w:rPr>
        <w:t>，其中：因公出国（境）费支出决算为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；公务用车购置及运行费支出决算为</w:t>
      </w:r>
      <w:r>
        <w:rPr>
          <w:rFonts w:ascii="仿宋_GB2312" w:eastAsia="仿宋_GB2312" w:cs="仿宋_GB2312" w:hint="eastAsia"/>
          <w:bCs/>
          <w:kern w:val="0"/>
          <w:sz w:val="32"/>
          <w:szCs w:val="32"/>
        </w:rPr>
        <w:t>37.02</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92.55%</w:t>
      </w:r>
      <w:r>
        <w:rPr>
          <w:rFonts w:ascii="仿宋_GB2312" w:eastAsia="仿宋_GB2312" w:cs="仿宋_GB2312" w:hint="eastAsia"/>
          <w:bCs/>
          <w:kern w:val="0"/>
          <w:sz w:val="32"/>
          <w:szCs w:val="32"/>
        </w:rPr>
        <w:t>；公务接待费支出决算为</w:t>
      </w:r>
      <w:r>
        <w:rPr>
          <w:rFonts w:ascii="仿宋_GB2312" w:eastAsia="仿宋_GB2312" w:cs="仿宋_GB2312"/>
          <w:bCs/>
          <w:kern w:val="0"/>
          <w:sz w:val="32"/>
          <w:szCs w:val="32"/>
        </w:rPr>
        <w:t>0.29</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年度“三公”经费支出决算数小于预算数的主要原因是认真贯彻落实中央“八项规定”精神和厉行节约要求，进一步从严控制“三公”经费开支，全年实际支出比预算有所节约。</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w:t>
      </w:r>
      <w:r>
        <w:rPr>
          <w:rFonts w:ascii="仿宋_GB2312" w:eastAsia="仿宋_GB2312" w:cs="仿宋_GB2312" w:hint="eastAsia"/>
          <w:bCs/>
          <w:kern w:val="0"/>
          <w:sz w:val="32"/>
          <w:szCs w:val="32"/>
        </w:rPr>
        <w:t>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9.8</w:t>
      </w:r>
      <w:r>
        <w:rPr>
          <w:rFonts w:ascii="仿宋_GB2312" w:eastAsia="仿宋_GB2312" w:cs="仿宋_GB2312" w:hint="eastAsia"/>
          <w:bCs/>
          <w:kern w:val="0"/>
          <w:sz w:val="32"/>
          <w:szCs w:val="32"/>
        </w:rPr>
        <w:t>万）年增加</w:t>
      </w:r>
      <w:r>
        <w:rPr>
          <w:rFonts w:ascii="仿宋_GB2312" w:eastAsia="仿宋_GB2312" w:cs="仿宋_GB2312" w:hint="eastAsia"/>
          <w:bCs/>
          <w:kern w:val="0"/>
          <w:sz w:val="32"/>
          <w:szCs w:val="32"/>
        </w:rPr>
        <w:t>27.51</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64.44%</w:t>
      </w:r>
      <w:r>
        <w:rPr>
          <w:rFonts w:ascii="仿宋_GB2312" w:eastAsia="仿宋_GB2312" w:cs="仿宋_GB2312" w:hint="eastAsia"/>
          <w:bCs/>
          <w:kern w:val="0"/>
          <w:sz w:val="32"/>
          <w:szCs w:val="32"/>
        </w:rPr>
        <w:t>，其中：公务用车购置及运行费支出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决算增加</w:t>
      </w:r>
      <w:r>
        <w:rPr>
          <w:rFonts w:ascii="仿宋_GB2312" w:eastAsia="仿宋_GB2312" w:cs="仿宋_GB2312" w:hint="eastAsia"/>
          <w:bCs/>
          <w:kern w:val="0"/>
          <w:sz w:val="32"/>
          <w:szCs w:val="32"/>
        </w:rPr>
        <w:t>27.22</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63.99%</w:t>
      </w:r>
      <w:r>
        <w:rPr>
          <w:rFonts w:ascii="仿宋_GB2312" w:eastAsia="仿宋_GB2312" w:cs="仿宋_GB2312" w:hint="eastAsia"/>
          <w:bCs/>
          <w:kern w:val="0"/>
          <w:sz w:val="32"/>
          <w:szCs w:val="32"/>
        </w:rPr>
        <w:t>；公务接待费支出决算增加</w:t>
      </w:r>
      <w:r>
        <w:rPr>
          <w:rFonts w:ascii="仿宋_GB2312" w:eastAsia="仿宋_GB2312" w:cs="仿宋_GB2312" w:hint="eastAsia"/>
          <w:bCs/>
          <w:kern w:val="0"/>
          <w:sz w:val="32"/>
          <w:szCs w:val="32"/>
        </w:rPr>
        <w:t>0.29</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公务用车购置及运行费支出增加的主要原</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因是：公务用车年代久远，车况差、存在安全隐患达到报废要求，</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年报废</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台公务用车，购置</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台公务用车，故支出增长。公务接待费支出增加的主要原因是：从</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年起我市各县（区）检察院作为柳州市人民检察院二级预算单位纳入柳州市财政局统一管理，上级知道及视察工作</w:t>
      </w:r>
      <w:r>
        <w:rPr>
          <w:rFonts w:ascii="仿宋_GB2312" w:eastAsia="仿宋_GB2312" w:cs="仿宋_GB2312" w:hint="eastAsia"/>
          <w:bCs/>
          <w:kern w:val="0"/>
          <w:sz w:val="32"/>
          <w:szCs w:val="32"/>
        </w:rPr>
        <w:t>情况增加，因此接待费增长。</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w:t>
      </w:r>
      <w:r>
        <w:rPr>
          <w:rFonts w:ascii="仿宋_GB2312" w:eastAsia="仿宋_GB2312" w:cs="仿宋_GB2312" w:hint="eastAsia"/>
          <w:bCs/>
          <w:kern w:val="0"/>
          <w:sz w:val="32"/>
          <w:szCs w:val="32"/>
        </w:rPr>
        <w:t>（二）“三公”经费财政拨款支出决算具体情况</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支出决算</w:t>
      </w:r>
      <w:r>
        <w:rPr>
          <w:rFonts w:ascii="仿宋_GB2312" w:eastAsia="仿宋_GB2312" w:cs="仿宋_GB2312" w:hint="eastAsia"/>
          <w:bCs/>
          <w:kern w:val="0"/>
          <w:sz w:val="32"/>
          <w:szCs w:val="32"/>
        </w:rPr>
        <w:t>37.02</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99.22%</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0.29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0.78 %</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（境）团组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37.02</w:t>
      </w:r>
      <w:r>
        <w:rPr>
          <w:rFonts w:ascii="仿宋_GB2312" w:eastAsia="仿宋_GB2312" w:cs="仿宋_GB2312" w:hint="eastAsia"/>
          <w:bCs/>
          <w:kern w:val="0"/>
          <w:sz w:val="32"/>
          <w:szCs w:val="32"/>
        </w:rPr>
        <w:t>万元。其中：</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hint="eastAsia"/>
          <w:bCs/>
          <w:kern w:val="0"/>
          <w:sz w:val="32"/>
          <w:szCs w:val="32"/>
        </w:rPr>
        <w:t>28</w:t>
      </w:r>
      <w:r>
        <w:rPr>
          <w:rFonts w:ascii="仿宋_GB2312" w:eastAsia="仿宋_GB2312" w:cs="仿宋_GB2312" w:hint="eastAsia"/>
          <w:bCs/>
          <w:kern w:val="0"/>
          <w:sz w:val="32"/>
          <w:szCs w:val="32"/>
        </w:rPr>
        <w:t>万元。公务用车运行支出</w:t>
      </w:r>
      <w:r>
        <w:rPr>
          <w:rFonts w:ascii="仿宋_GB2312" w:eastAsia="仿宋_GB2312" w:cs="仿宋_GB2312" w:hint="eastAsia"/>
          <w:bCs/>
          <w:kern w:val="0"/>
          <w:sz w:val="32"/>
          <w:szCs w:val="32"/>
        </w:rPr>
        <w:t>9.02</w:t>
      </w:r>
      <w:r>
        <w:rPr>
          <w:rFonts w:ascii="仿宋_GB2312" w:eastAsia="仿宋_GB2312" w:cs="仿宋_GB2312" w:hint="eastAsia"/>
          <w:bCs/>
          <w:kern w:val="0"/>
          <w:sz w:val="32"/>
          <w:szCs w:val="32"/>
        </w:rPr>
        <w:t>万元。主要用于公务用车维修维护。</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辆。</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hint="eastAsia"/>
          <w:bCs/>
          <w:kern w:val="0"/>
          <w:sz w:val="32"/>
          <w:szCs w:val="32"/>
        </w:rPr>
        <w:t>0.29</w:t>
      </w:r>
      <w:r>
        <w:rPr>
          <w:rFonts w:ascii="仿宋_GB2312" w:eastAsia="仿宋_GB2312" w:cs="仿宋_GB2312" w:hint="eastAsia"/>
          <w:bCs/>
          <w:kern w:val="0"/>
          <w:sz w:val="32"/>
          <w:szCs w:val="32"/>
        </w:rPr>
        <w:t>万元。其中：</w:t>
      </w:r>
    </w:p>
    <w:p w:rsidR="00DA56F6" w:rsidRDefault="00BB6496">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外宾接待支出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国内公务接待支出</w:t>
      </w:r>
      <w:r>
        <w:rPr>
          <w:rFonts w:ascii="仿宋_GB2312" w:eastAsia="仿宋_GB2312" w:cs="仿宋_GB2312" w:hint="eastAsia"/>
          <w:bCs/>
          <w:kern w:val="0"/>
          <w:sz w:val="32"/>
          <w:szCs w:val="32"/>
        </w:rPr>
        <w:t>0.29</w:t>
      </w:r>
      <w:r>
        <w:rPr>
          <w:rFonts w:ascii="仿宋_GB2312" w:eastAsia="仿宋_GB2312" w:cs="仿宋_GB2312" w:hint="eastAsia"/>
          <w:bCs/>
          <w:kern w:val="0"/>
          <w:sz w:val="32"/>
          <w:szCs w:val="32"/>
        </w:rPr>
        <w:t>万元。主要用于接待上级调研及学习交流指导工作。</w:t>
      </w: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个、来宾</w:t>
      </w:r>
      <w:r>
        <w:rPr>
          <w:rFonts w:ascii="仿宋_GB2312" w:eastAsia="仿宋_GB2312" w:cs="仿宋_GB2312" w:hint="eastAsia"/>
          <w:bCs/>
          <w:kern w:val="0"/>
          <w:sz w:val="32"/>
          <w:szCs w:val="32"/>
        </w:rPr>
        <w:t>15</w:t>
      </w:r>
      <w:r>
        <w:rPr>
          <w:rFonts w:ascii="仿宋_GB2312" w:eastAsia="仿宋_GB2312" w:cs="仿宋_GB2312" w:hint="eastAsia"/>
          <w:bCs/>
          <w:kern w:val="0"/>
          <w:sz w:val="32"/>
          <w:szCs w:val="32"/>
        </w:rPr>
        <w:t>人次。</w:t>
      </w:r>
    </w:p>
    <w:p w:rsidR="00DA56F6" w:rsidRDefault="00BB649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hint="eastAsia"/>
          <w:b/>
          <w:kern w:val="0"/>
          <w:sz w:val="32"/>
          <w:szCs w:val="32"/>
        </w:rPr>
        <w:t xml:space="preserve"> </w:t>
      </w:r>
    </w:p>
    <w:p w:rsidR="00DA56F6" w:rsidRDefault="00BB64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柳州市城中区人民检察院没有政府性基金预算财政拨款收入，也没有政府性基金预算财政拨款安排的支出。</w:t>
      </w:r>
      <w:r>
        <w:rPr>
          <w:rFonts w:ascii="仿宋_GB2312" w:eastAsia="仿宋_GB2312" w:cs="仿宋_GB2312" w:hint="eastAsia"/>
          <w:bCs/>
          <w:kern w:val="0"/>
          <w:sz w:val="32"/>
          <w:szCs w:val="32"/>
        </w:rPr>
        <w:t xml:space="preserve"> </w:t>
      </w:r>
    </w:p>
    <w:p w:rsidR="00DA56F6" w:rsidRDefault="00BB6496">
      <w:pPr>
        <w:numPr>
          <w:ilvl w:val="0"/>
          <w:numId w:val="1"/>
        </w:num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国有资本经营预算财政拨款支出情况说明</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柳州市城中区人民检察院没有国有资本经营预算财政拨款支出。</w:t>
      </w:r>
      <w:r>
        <w:rPr>
          <w:rFonts w:ascii="仿宋_GB2312" w:eastAsia="仿宋_GB2312" w:cs="仿宋_GB2312" w:hint="eastAsia"/>
          <w:bCs/>
          <w:kern w:val="0"/>
          <w:sz w:val="32"/>
          <w:szCs w:val="32"/>
        </w:rPr>
        <w:t xml:space="preserve">  </w:t>
      </w:r>
    </w:p>
    <w:p w:rsidR="00DA56F6" w:rsidRDefault="00BB649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年度预算绩效情况说明</w:t>
      </w:r>
    </w:p>
    <w:p w:rsidR="00DA56F6" w:rsidRDefault="00BB6496">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绩效管理工作开展情况</w:t>
      </w:r>
    </w:p>
    <w:p w:rsidR="00DA56F6" w:rsidRDefault="00BB6496">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从</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年起我市各县（区）检察院作为柳州市人民检察院二级预算单位纳入柳州市财政局统一管理，因是首次纳入市级预算管理，相关工作尚待理顺，</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年各县（区）检察院未开展绩效考评工作。</w:t>
      </w:r>
    </w:p>
    <w:p w:rsidR="00DA56F6" w:rsidRDefault="00BB6496">
      <w:pPr>
        <w:autoSpaceDE w:val="0"/>
        <w:autoSpaceDN w:val="0"/>
        <w:adjustRightInd w:val="0"/>
        <w:spacing w:line="580" w:lineRule="exact"/>
        <w:ind w:firstLine="645"/>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DA56F6" w:rsidRDefault="00BB649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hint="eastAsia"/>
          <w:kern w:val="0"/>
          <w:sz w:val="32"/>
          <w:szCs w:val="32"/>
        </w:rPr>
        <w:t>92.83</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 xml:space="preserve"> 2019</w:t>
      </w:r>
      <w:r>
        <w:rPr>
          <w:rFonts w:ascii="仿宋_GB2312" w:eastAsia="仿宋_GB2312" w:cs="仿宋_GB2312" w:hint="eastAsia"/>
          <w:kern w:val="0"/>
          <w:sz w:val="32"/>
          <w:szCs w:val="32"/>
        </w:rPr>
        <w:t>年减少</w:t>
      </w:r>
      <w:r>
        <w:rPr>
          <w:rFonts w:ascii="仿宋_GB2312" w:eastAsia="仿宋_GB2312" w:cs="仿宋_GB2312" w:hint="eastAsia"/>
          <w:kern w:val="0"/>
          <w:sz w:val="32"/>
          <w:szCs w:val="32"/>
        </w:rPr>
        <w:t>86.49</w:t>
      </w:r>
      <w:r>
        <w:rPr>
          <w:rFonts w:ascii="仿宋_GB2312" w:eastAsia="仿宋_GB2312" w:cs="仿宋_GB2312" w:hint="eastAsia"/>
          <w:kern w:val="0"/>
          <w:sz w:val="32"/>
          <w:szCs w:val="32"/>
        </w:rPr>
        <w:t>万元，下降</w:t>
      </w:r>
      <w:r>
        <w:rPr>
          <w:rFonts w:ascii="仿宋_GB2312" w:eastAsia="仿宋_GB2312" w:cs="仿宋_GB2312" w:hint="eastAsia"/>
          <w:kern w:val="0"/>
          <w:sz w:val="32"/>
          <w:szCs w:val="32"/>
        </w:rPr>
        <w:t xml:space="preserve">48.23 </w:t>
      </w:r>
      <w:r>
        <w:rPr>
          <w:rFonts w:ascii="仿宋_GB2312" w:eastAsia="仿宋_GB2312" w:cs="仿宋_GB2312" w:hint="eastAsia"/>
          <w:kern w:val="0"/>
          <w:sz w:val="32"/>
          <w:szCs w:val="32"/>
        </w:rPr>
        <w:t>%</w:t>
      </w:r>
      <w:r>
        <w:rPr>
          <w:rFonts w:ascii="仿宋_GB2312" w:eastAsia="仿宋_GB2312" w:cs="仿宋_GB2312" w:hint="eastAsia"/>
          <w:kern w:val="0"/>
          <w:sz w:val="32"/>
          <w:szCs w:val="32"/>
        </w:rPr>
        <w:t>，减少原因</w:t>
      </w:r>
      <w:r>
        <w:rPr>
          <w:rFonts w:ascii="仿宋_GB2312" w:eastAsia="仿宋_GB2312" w:cs="仿宋_GB2312" w:hint="eastAsia"/>
          <w:kern w:val="0"/>
          <w:sz w:val="32"/>
          <w:szCs w:val="32"/>
        </w:rPr>
        <w:t>2019</w:t>
      </w:r>
      <w:r>
        <w:rPr>
          <w:rFonts w:ascii="仿宋_GB2312" w:eastAsia="仿宋_GB2312" w:cs="仿宋_GB2312" w:hint="eastAsia"/>
          <w:kern w:val="0"/>
          <w:sz w:val="32"/>
          <w:szCs w:val="32"/>
        </w:rPr>
        <w:t>年度机构转隶人员开支及经费在我院支出，</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年度机构转隶人员所有开支全部划出，故支出总体减少。</w:t>
      </w:r>
    </w:p>
    <w:p w:rsidR="00DA56F6" w:rsidRDefault="00BB649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hint="eastAsia"/>
          <w:kern w:val="0"/>
          <w:sz w:val="32"/>
          <w:szCs w:val="32"/>
        </w:rPr>
        <w:t>5.81</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0.8</w:t>
      </w:r>
      <w:r>
        <w:rPr>
          <w:rFonts w:ascii="仿宋_GB2312" w:eastAsia="仿宋_GB2312" w:cs="仿宋_GB2312" w:hint="eastAsia"/>
          <w:kern w:val="0"/>
          <w:sz w:val="32"/>
          <w:szCs w:val="32"/>
        </w:rPr>
        <w:t>万元、工程支出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hint="eastAsia"/>
          <w:kern w:val="0"/>
          <w:sz w:val="32"/>
          <w:szCs w:val="32"/>
        </w:rPr>
        <w:t>5.01</w:t>
      </w:r>
      <w:r>
        <w:rPr>
          <w:rFonts w:ascii="仿宋_GB2312" w:eastAsia="仿宋_GB2312" w:cs="仿宋_GB2312" w:hint="eastAsia"/>
          <w:kern w:val="0"/>
          <w:sz w:val="32"/>
          <w:szCs w:val="32"/>
        </w:rPr>
        <w:t>万元。</w:t>
      </w:r>
    </w:p>
    <w:p w:rsidR="00DA56F6" w:rsidRDefault="00BB6496">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hint="eastAsia"/>
          <w:kern w:val="0"/>
          <w:sz w:val="32"/>
          <w:szCs w:val="32"/>
        </w:rPr>
        <w:t>5</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 xml:space="preserve">1 </w:t>
      </w:r>
      <w:r>
        <w:rPr>
          <w:rFonts w:ascii="仿宋_GB2312" w:eastAsia="仿宋_GB2312" w:cs="仿宋_GB2312" w:hint="eastAsia"/>
          <w:kern w:val="0"/>
          <w:sz w:val="32"/>
          <w:szCs w:val="32"/>
        </w:rPr>
        <w:t>辆；执法执勤用车</w:t>
      </w:r>
      <w:r>
        <w:rPr>
          <w:rFonts w:ascii="仿宋_GB2312" w:eastAsia="仿宋_GB2312" w:cs="仿宋_GB2312" w:hint="eastAsia"/>
          <w:kern w:val="0"/>
          <w:sz w:val="32"/>
          <w:szCs w:val="32"/>
        </w:rPr>
        <w:t xml:space="preserve">3 </w:t>
      </w:r>
      <w:r>
        <w:rPr>
          <w:rFonts w:ascii="仿宋_GB2312" w:eastAsia="仿宋_GB2312" w:cs="仿宋_GB2312" w:hint="eastAsia"/>
          <w:kern w:val="0"/>
          <w:sz w:val="32"/>
          <w:szCs w:val="32"/>
        </w:rPr>
        <w:t>辆；专业技术用车</w:t>
      </w:r>
      <w:r>
        <w:rPr>
          <w:rFonts w:ascii="仿宋_GB2312" w:eastAsia="仿宋_GB2312" w:cs="仿宋_GB2312" w:hint="eastAsia"/>
          <w:kern w:val="0"/>
          <w:sz w:val="32"/>
          <w:szCs w:val="32"/>
        </w:rPr>
        <w:t>1</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DA56F6" w:rsidRDefault="00BB6496">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w:t>
      </w:r>
      <w:r>
        <w:rPr>
          <w:rFonts w:ascii="仿宋_GB2312" w:eastAsia="仿宋_GB2312" w:hint="eastAsia"/>
          <w:bCs/>
          <w:sz w:val="32"/>
          <w:szCs w:val="32"/>
        </w:rPr>
        <w:t>业收入：指事业单位开展专业活动用辅助活动所取得的收入。</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其他收入：指除上述“财政拨款收入”、“事业收入”、“经营收入”等以外的收入。</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w:t>
      </w:r>
      <w:r>
        <w:rPr>
          <w:rFonts w:ascii="仿宋_GB2312" w:eastAsia="仿宋_GB2312" w:hint="eastAsia"/>
          <w:bCs/>
          <w:sz w:val="32"/>
          <w:szCs w:val="32"/>
        </w:rPr>
        <w:t>年按规定继续使用的资金。</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r>
        <w:rPr>
          <w:rFonts w:ascii="仿宋_GB2312" w:eastAsia="仿宋_GB2312" w:hint="eastAsia"/>
          <w:bCs/>
          <w:sz w:val="32"/>
          <w:szCs w:val="32"/>
        </w:rPr>
        <w:lastRenderedPageBreak/>
        <w:t>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A56F6" w:rsidRDefault="00BB649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w:t>
      </w:r>
      <w:r>
        <w:rPr>
          <w:rFonts w:ascii="仿宋_GB2312" w:eastAsia="仿宋_GB2312" w:hint="eastAsia"/>
          <w:bCs/>
          <w:sz w:val="32"/>
          <w:szCs w:val="32"/>
        </w:rPr>
        <w:t>服务的各项资金，包括办公及印刷费、邮电费、差旅费、会议费、福利费、日常维修费、专用材料及一般设备购置费、办公用房物业管理费、公务用车运行维护费以及其他费用。</w:t>
      </w:r>
    </w:p>
    <w:p w:rsidR="00DA56F6" w:rsidRDefault="00DA56F6">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DA56F6" w:rsidRDefault="00DA56F6"/>
    <w:sectPr w:rsidR="00DA56F6">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496" w:rsidRDefault="00BB6496">
      <w:r>
        <w:separator/>
      </w:r>
    </w:p>
  </w:endnote>
  <w:endnote w:type="continuationSeparator" w:id="0">
    <w:p w:rsidR="00BB6496" w:rsidRDefault="00BB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DA56F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BB6496">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77561D" w:rsidRPr="0077561D">
      <w:rPr>
        <w:rFonts w:ascii="宋体" w:hAnsi="宋体"/>
        <w:noProof/>
        <w:sz w:val="24"/>
        <w:szCs w:val="24"/>
        <w:lang w:val="zh-CN"/>
      </w:rPr>
      <w:t>3</w:t>
    </w:r>
    <w:r>
      <w:rPr>
        <w:rFonts w:ascii="宋体" w:hAnsi="宋体"/>
        <w:sz w:val="24"/>
        <w:szCs w:val="24"/>
      </w:rPr>
      <w:fldChar w:fldCharType="end"/>
    </w:r>
    <w:r>
      <w:rPr>
        <w:rFonts w:ascii="宋体" w:hAnsi="宋体" w:hint="eastAsia"/>
        <w:sz w:val="24"/>
        <w:szCs w:val="24"/>
      </w:rPr>
      <w:t xml:space="preserve"> -</w:t>
    </w:r>
  </w:p>
  <w:p w:rsidR="00DA56F6" w:rsidRDefault="00DA56F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DA56F6">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BB6496">
    <w:pPr>
      <w:pStyle w:val="a4"/>
      <w:framePr w:wrap="around" w:vAnchor="text" w:hAnchor="margin" w:xAlign="center" w:y="1"/>
      <w:rPr>
        <w:rStyle w:val="a6"/>
      </w:rPr>
    </w:pPr>
    <w:r>
      <w:fldChar w:fldCharType="begin"/>
    </w:r>
    <w:r>
      <w:rPr>
        <w:rStyle w:val="a6"/>
      </w:rPr>
      <w:instrText xml:space="preserve">PAGE  </w:instrText>
    </w:r>
    <w:r>
      <w:fldChar w:fldCharType="end"/>
    </w:r>
  </w:p>
  <w:p w:rsidR="00DA56F6" w:rsidRDefault="00DA56F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BB6496">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77561D">
      <w:rPr>
        <w:rStyle w:val="a6"/>
        <w:noProof/>
        <w:sz w:val="30"/>
        <w:szCs w:val="30"/>
      </w:rPr>
      <w:t>- 7 -</w:t>
    </w:r>
    <w:r>
      <w:rPr>
        <w:sz w:val="30"/>
        <w:szCs w:val="30"/>
      </w:rPr>
      <w:fldChar w:fldCharType="end"/>
    </w:r>
  </w:p>
  <w:p w:rsidR="00DA56F6" w:rsidRDefault="00DA56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496" w:rsidRDefault="00BB6496">
      <w:r>
        <w:separator/>
      </w:r>
    </w:p>
  </w:footnote>
  <w:footnote w:type="continuationSeparator" w:id="0">
    <w:p w:rsidR="00BB6496" w:rsidRDefault="00BB6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DA56F6">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DA56F6">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F6" w:rsidRDefault="00DA56F6">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111EB0"/>
    <w:rsid w:val="00193D8E"/>
    <w:rsid w:val="002673BB"/>
    <w:rsid w:val="00276436"/>
    <w:rsid w:val="00283CEC"/>
    <w:rsid w:val="002F6302"/>
    <w:rsid w:val="00327A56"/>
    <w:rsid w:val="00391BA3"/>
    <w:rsid w:val="003D2311"/>
    <w:rsid w:val="00587202"/>
    <w:rsid w:val="00610FDE"/>
    <w:rsid w:val="00640A14"/>
    <w:rsid w:val="0064204D"/>
    <w:rsid w:val="00655795"/>
    <w:rsid w:val="006B2EE6"/>
    <w:rsid w:val="006C1367"/>
    <w:rsid w:val="006D3914"/>
    <w:rsid w:val="00715385"/>
    <w:rsid w:val="00734016"/>
    <w:rsid w:val="0077561D"/>
    <w:rsid w:val="0088571F"/>
    <w:rsid w:val="008A6BA4"/>
    <w:rsid w:val="00941E82"/>
    <w:rsid w:val="00960BB6"/>
    <w:rsid w:val="009F4F65"/>
    <w:rsid w:val="00A94AAB"/>
    <w:rsid w:val="00AD50CE"/>
    <w:rsid w:val="00AF1C4F"/>
    <w:rsid w:val="00BB6496"/>
    <w:rsid w:val="00BE0C54"/>
    <w:rsid w:val="00C20A1E"/>
    <w:rsid w:val="00C246AA"/>
    <w:rsid w:val="00C6582F"/>
    <w:rsid w:val="00CF33C8"/>
    <w:rsid w:val="00D26737"/>
    <w:rsid w:val="00D962AF"/>
    <w:rsid w:val="00DA06FC"/>
    <w:rsid w:val="00DA56F6"/>
    <w:rsid w:val="00DC76F3"/>
    <w:rsid w:val="00DE766C"/>
    <w:rsid w:val="00E647FE"/>
    <w:rsid w:val="00E86F20"/>
    <w:rsid w:val="00EA79F8"/>
    <w:rsid w:val="00F66C5B"/>
    <w:rsid w:val="00FD1169"/>
    <w:rsid w:val="0E074DDF"/>
    <w:rsid w:val="124204B5"/>
    <w:rsid w:val="182962AB"/>
    <w:rsid w:val="19D073EB"/>
    <w:rsid w:val="1CC31F67"/>
    <w:rsid w:val="24D337DC"/>
    <w:rsid w:val="26460DBA"/>
    <w:rsid w:val="2B6F74EB"/>
    <w:rsid w:val="2C4219FE"/>
    <w:rsid w:val="2CF71705"/>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baike.so.com/doc/10043726.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baike.so.com/doc/5354341.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58C60-D0D5-401B-9533-C5AAA5DE65FC}">
  <ds:schemaRefs>
    <ds:schemaRef ds:uri="http://www.yonyou.com/datasource"/>
  </ds:schemaRefs>
</ds:datastoreItem>
</file>

<file path=customXml/itemProps3.xml><?xml version="1.0" encoding="utf-8"?>
<ds:datastoreItem xmlns:ds="http://schemas.openxmlformats.org/officeDocument/2006/customXml" ds:itemID="{73FBF8C5-E6F5-49A9-8C3A-6B55226B0CB4}">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1853</Words>
  <Characters>10567</Characters>
  <Application>Microsoft Office Word</Application>
  <DocSecurity>0</DocSecurity>
  <Lines>88</Lines>
  <Paragraphs>24</Paragraphs>
  <ScaleCrop>false</ScaleCrop>
  <Company>微软中国</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2</cp:revision>
  <cp:lastPrinted>2021-07-07T01:10:00Z</cp:lastPrinted>
  <dcterms:created xsi:type="dcterms:W3CDTF">2021-08-16T04:13:00Z</dcterms:created>
  <dcterms:modified xsi:type="dcterms:W3CDTF">2021-08-16T04:13:00Z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31FED35B3D624A2BB175043471654B5B</vt:lpwstr>
  </property>
</Properties>
</file>