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柳州市房产交易所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w:t>
      </w:r>
      <w:r>
        <w:rPr>
          <w:rFonts w:hint="eastAsia" w:ascii="仿宋_GB2312" w:hAnsi="黑体" w:eastAsia="仿宋_GB2312"/>
          <w:b/>
          <w:bCs/>
          <w:color w:val="000000"/>
          <w:sz w:val="32"/>
          <w:szCs w:val="32"/>
        </w:rPr>
        <w:t>房产交易所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柳州市房产交易所2</w:t>
      </w:r>
      <w:r>
        <w:rPr>
          <w:rFonts w:hint="eastAsia" w:ascii="仿宋_GB2312" w:eastAsia="仿宋_GB2312"/>
          <w:b/>
          <w:sz w:val="32"/>
          <w:szCs w:val="32"/>
        </w:rPr>
        <w:t>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柳州市房产交易所</w:t>
      </w:r>
      <w:r>
        <w:rPr>
          <w:rFonts w:hint="eastAsia" w:ascii="仿宋_GB2312" w:eastAsia="仿宋_GB2312"/>
          <w:b/>
          <w:sz w:val="32"/>
          <w:szCs w:val="32"/>
        </w:rPr>
        <w:t>2020</w:t>
      </w:r>
      <w:r>
        <w:rPr>
          <w:rFonts w:hint="eastAsia" w:ascii="仿宋_GB2312" w:eastAsia="仿宋_GB2312"/>
          <w:b/>
          <w:sz w:val="32"/>
          <w:szCs w:val="32"/>
          <w:lang w:eastAsia="zh-CN"/>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柳州市房产交易所</w:t>
      </w:r>
      <w:r>
        <w:rPr>
          <w:rFonts w:hint="eastAsia" w:ascii="仿宋_GB2312" w:eastAsia="仿宋_GB2312"/>
          <w:b/>
          <w:sz w:val="32"/>
          <w:szCs w:val="32"/>
        </w:rPr>
        <w:t>概况</w:t>
      </w:r>
    </w:p>
    <w:p>
      <w:pPr>
        <w:numPr>
          <w:ilvl w:val="0"/>
          <w:numId w:val="1"/>
        </w:numPr>
        <w:ind w:firstLine="646"/>
        <w:rPr>
          <w:rFonts w:ascii="仿宋_GB2312" w:eastAsia="仿宋_GB2312"/>
          <w:b/>
          <w:bCs/>
          <w:sz w:val="32"/>
          <w:szCs w:val="32"/>
        </w:rPr>
      </w:pPr>
      <w:r>
        <w:rPr>
          <w:rFonts w:hint="eastAsia" w:ascii="仿宋_GB2312" w:eastAsia="仿宋_GB2312"/>
          <w:b/>
          <w:bCs/>
          <w:sz w:val="32"/>
          <w:szCs w:val="32"/>
        </w:rPr>
        <w:t>主要职能</w:t>
      </w:r>
    </w:p>
    <w:p>
      <w:pPr>
        <w:ind w:firstLine="640" w:firstLineChars="200"/>
        <w:rPr>
          <w:rFonts w:ascii="仿宋_GB2312" w:eastAsia="仿宋_GB2312"/>
          <w:sz w:val="32"/>
          <w:szCs w:val="32"/>
        </w:rPr>
      </w:pPr>
      <w:r>
        <w:rPr>
          <w:rFonts w:hint="eastAsia" w:ascii="仿宋_GB2312" w:eastAsia="仿宋_GB2312"/>
          <w:sz w:val="32"/>
          <w:szCs w:val="32"/>
        </w:rPr>
        <w:t>（一）负责对房产交易市场进行指导和监督；负责对房屋转让、抵押、租赁等交易活动以及房屋面积进行管理；负责房产交易档案的整理和管理工作；负责房屋交易与产权管理信息平台建设；负责贯彻执行有关房产交易的法律、法规和政策。具体职责包括：楼盘表管理、新建商品房销售管理、存量房转让管理、房屋抵押管理、房屋租赁管理、房屋面积管理、房屋交易与产权管理信息平台建设、按照上级主管部门委托授权开展房地产中介机构管理等各项工作。</w:t>
      </w:r>
    </w:p>
    <w:p>
      <w:pPr>
        <w:ind w:firstLine="640" w:firstLineChars="200"/>
        <w:rPr>
          <w:rFonts w:ascii="仿宋_GB2312" w:eastAsia="仿宋_GB2312"/>
          <w:sz w:val="32"/>
          <w:szCs w:val="32"/>
        </w:rPr>
      </w:pPr>
      <w:r>
        <w:rPr>
          <w:rFonts w:hint="eastAsia" w:ascii="仿宋_GB2312" w:eastAsia="仿宋_GB2312"/>
          <w:sz w:val="32"/>
          <w:szCs w:val="32"/>
        </w:rPr>
        <w:t>（二）坚决落实上级重大决策部署，持续优化房产交易服务环境。</w:t>
      </w:r>
    </w:p>
    <w:p>
      <w:pPr>
        <w:ind w:firstLine="640" w:firstLineChars="200"/>
        <w:rPr>
          <w:rFonts w:ascii="仿宋_GB2312" w:eastAsia="仿宋_GB2312"/>
          <w:sz w:val="32"/>
          <w:szCs w:val="32"/>
        </w:rPr>
      </w:pPr>
      <w:r>
        <w:rPr>
          <w:rFonts w:hint="eastAsia" w:ascii="仿宋_GB2312" w:eastAsia="仿宋_GB2312"/>
          <w:sz w:val="32"/>
          <w:szCs w:val="32"/>
        </w:rPr>
        <w:t>（三）升级信息系统建设推进服务延伸,全面提升网签备案服务效能。</w:t>
      </w:r>
    </w:p>
    <w:p>
      <w:pPr>
        <w:ind w:firstLine="640" w:firstLineChars="200"/>
        <w:rPr>
          <w:rFonts w:ascii="仿宋_GB2312" w:eastAsia="仿宋_GB2312"/>
          <w:sz w:val="32"/>
          <w:szCs w:val="32"/>
        </w:rPr>
      </w:pPr>
      <w:r>
        <w:rPr>
          <w:rFonts w:hint="eastAsia" w:ascii="仿宋_GB2312" w:eastAsia="仿宋_GB2312"/>
          <w:sz w:val="32"/>
          <w:szCs w:val="32"/>
        </w:rPr>
        <w:t>（四）防范化解房地产市场风险隐患，进一步完善优化资金监管工作。</w:t>
      </w:r>
    </w:p>
    <w:p>
      <w:pPr>
        <w:ind w:firstLine="640" w:firstLineChars="200"/>
        <w:rPr>
          <w:rFonts w:ascii="仿宋_GB2312" w:eastAsia="仿宋_GB2312"/>
          <w:sz w:val="32"/>
          <w:szCs w:val="32"/>
        </w:rPr>
      </w:pPr>
      <w:r>
        <w:rPr>
          <w:rFonts w:hint="eastAsia" w:ascii="仿宋_GB2312" w:eastAsia="仿宋_GB2312"/>
          <w:sz w:val="32"/>
          <w:szCs w:val="32"/>
        </w:rPr>
        <w:t>（五）规范房地产市场交易行为，加大房地产中介行业监督检查力度。</w:t>
      </w:r>
    </w:p>
    <w:p>
      <w:pPr>
        <w:ind w:firstLine="640" w:firstLineChars="200"/>
        <w:rPr>
          <w:rFonts w:ascii="仿宋_GB2312" w:eastAsia="仿宋_GB2312"/>
          <w:sz w:val="32"/>
          <w:szCs w:val="32"/>
        </w:rPr>
      </w:pPr>
      <w:r>
        <w:rPr>
          <w:rFonts w:hint="eastAsia" w:ascii="仿宋_GB2312" w:eastAsia="仿宋_GB2312"/>
          <w:sz w:val="32"/>
          <w:szCs w:val="32"/>
        </w:rPr>
        <w:t>（六）持续做好常态化疫情防控工作，确保房产交易工作正常开展。</w:t>
      </w:r>
    </w:p>
    <w:p>
      <w:pPr>
        <w:ind w:firstLine="640" w:firstLineChars="200"/>
        <w:rPr>
          <w:rFonts w:ascii="仿宋_GB2312" w:eastAsia="仿宋_GB2312"/>
          <w:sz w:val="32"/>
          <w:szCs w:val="32"/>
        </w:rPr>
      </w:pPr>
      <w:r>
        <w:rPr>
          <w:rFonts w:hint="eastAsia" w:ascii="仿宋_GB2312" w:eastAsia="仿宋_GB2312"/>
          <w:sz w:val="32"/>
          <w:szCs w:val="32"/>
        </w:rPr>
        <w:t>（七）统一部署，确保搬迁工作安全、有序进行。</w:t>
      </w:r>
    </w:p>
    <w:p>
      <w:pPr>
        <w:ind w:firstLine="640" w:firstLineChars="200"/>
        <w:rPr>
          <w:rFonts w:ascii="仿宋_GB2312" w:eastAsia="仿宋_GB2312"/>
          <w:sz w:val="32"/>
          <w:szCs w:val="32"/>
        </w:rPr>
      </w:pPr>
      <w:r>
        <w:rPr>
          <w:rFonts w:hint="eastAsia" w:ascii="仿宋_GB2312" w:eastAsia="仿宋_GB2312"/>
          <w:sz w:val="32"/>
          <w:szCs w:val="32"/>
        </w:rPr>
        <w:t>（八）强化内部管理，全方位提升职工素质。</w:t>
      </w:r>
    </w:p>
    <w:p>
      <w:pPr>
        <w:ind w:firstLine="640" w:firstLineChars="200"/>
        <w:rPr>
          <w:rFonts w:ascii="仿宋_GB2312" w:eastAsia="仿宋_GB2312"/>
          <w:sz w:val="32"/>
          <w:szCs w:val="32"/>
        </w:rPr>
      </w:pPr>
      <w:r>
        <w:rPr>
          <w:rFonts w:hint="eastAsia" w:ascii="仿宋_GB2312" w:eastAsia="仿宋_GB2312"/>
          <w:sz w:val="32"/>
          <w:szCs w:val="32"/>
        </w:rPr>
        <w:t>（九）全面深化党的领导，落实从严治党主体责任。</w:t>
      </w:r>
    </w:p>
    <w:p>
      <w:pPr>
        <w:ind w:firstLine="640" w:firstLineChars="200"/>
        <w:rPr>
          <w:rFonts w:ascii="仿宋_GB2312" w:eastAsia="仿宋_GB2312"/>
          <w:sz w:val="32"/>
          <w:szCs w:val="32"/>
        </w:rPr>
      </w:pPr>
      <w:r>
        <w:rPr>
          <w:rFonts w:hint="eastAsia" w:ascii="仿宋_GB2312" w:eastAsia="仿宋_GB2312"/>
          <w:sz w:val="32"/>
          <w:szCs w:val="32"/>
        </w:rPr>
        <w:t>二、决算单位构成</w:t>
      </w:r>
    </w:p>
    <w:p>
      <w:pPr>
        <w:ind w:firstLine="640" w:firstLineChars="200"/>
        <w:rPr>
          <w:rFonts w:ascii="仿宋_GB2312" w:eastAsia="仿宋_GB2312"/>
          <w:sz w:val="32"/>
          <w:szCs w:val="32"/>
          <w:highlight w:val="yellow"/>
        </w:rPr>
      </w:pPr>
      <w:r>
        <w:rPr>
          <w:rFonts w:hint="eastAsia" w:ascii="仿宋_GB2312" w:eastAsia="仿宋_GB2312"/>
          <w:sz w:val="32"/>
          <w:szCs w:val="32"/>
        </w:rPr>
        <w:t>柳州市房产交易所（全额拨款事业单位）。</w:t>
      </w:r>
    </w:p>
    <w:p>
      <w:pPr>
        <w:ind w:firstLine="645"/>
        <w:jc w:val="center"/>
      </w:pPr>
      <w:r>
        <w:rPr>
          <w:rFonts w:hint="eastAsia" w:ascii="仿宋_GB2312" w:eastAsia="仿宋_GB2312"/>
          <w:b/>
          <w:bCs/>
          <w:sz w:val="32"/>
          <w:szCs w:val="32"/>
        </w:rPr>
        <w:t>第二部分：柳州市房产交易所2020年</w:t>
      </w:r>
      <w:r>
        <w:rPr>
          <w:rFonts w:hint="eastAsia" w:ascii="仿宋_GB2312" w:eastAsia="仿宋_GB2312"/>
          <w:b/>
          <w:bCs/>
          <w:sz w:val="32"/>
          <w:szCs w:val="32"/>
          <w:lang w:val="en-US" w:eastAsia="zh-CN"/>
        </w:rPr>
        <w:t>单位</w:t>
      </w:r>
      <w:r>
        <w:rPr>
          <w:rFonts w:hint="eastAsia" w:ascii="仿宋_GB2312" w:eastAsia="仿宋_GB2312"/>
          <w:b/>
          <w:bCs/>
          <w:sz w:val="32"/>
          <w:szCs w:val="32"/>
        </w:rPr>
        <w:t>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一、收入支出决算总表（决算公开01表）</w:t>
      </w:r>
    </w:p>
    <w:p>
      <w:pPr>
        <w:ind w:firstLine="640" w:firstLineChars="200"/>
        <w:rPr>
          <w:rFonts w:ascii="仿宋_GB2312" w:hAnsi="黑体" w:eastAsia="仿宋_GB2312"/>
          <w:sz w:val="32"/>
          <w:szCs w:val="32"/>
        </w:rPr>
      </w:pPr>
      <w:r>
        <w:rPr>
          <w:rFonts w:hint="eastAsia" w:ascii="仿宋_GB2312" w:hAnsi="黑体" w:eastAsia="仿宋_GB2312"/>
          <w:sz w:val="32"/>
          <w:szCs w:val="32"/>
        </w:rPr>
        <w:t>二、收入决算表（决算公开02表）</w:t>
      </w:r>
    </w:p>
    <w:p>
      <w:pPr>
        <w:ind w:firstLine="640" w:firstLineChars="200"/>
        <w:rPr>
          <w:rFonts w:ascii="仿宋_GB2312" w:hAnsi="黑体" w:eastAsia="仿宋_GB2312"/>
          <w:sz w:val="32"/>
          <w:szCs w:val="32"/>
        </w:rPr>
      </w:pPr>
      <w:r>
        <w:rPr>
          <w:rFonts w:hint="eastAsia" w:ascii="仿宋_GB2312" w:hAnsi="黑体" w:eastAsia="仿宋_GB2312"/>
          <w:sz w:val="32"/>
          <w:szCs w:val="32"/>
        </w:rPr>
        <w:t>三、支出决算表（决算公开03表）</w:t>
      </w:r>
    </w:p>
    <w:p>
      <w:pPr>
        <w:ind w:firstLine="640" w:firstLineChars="200"/>
        <w:rPr>
          <w:rFonts w:ascii="仿宋_GB2312" w:hAnsi="黑体" w:eastAsia="仿宋_GB2312"/>
          <w:sz w:val="32"/>
          <w:szCs w:val="32"/>
        </w:rPr>
      </w:pPr>
      <w:r>
        <w:rPr>
          <w:rFonts w:hint="eastAsia" w:ascii="仿宋_GB2312" w:hAnsi="黑体" w:eastAsia="仿宋_GB2312"/>
          <w:sz w:val="32"/>
          <w:szCs w:val="32"/>
        </w:rPr>
        <w:t>四、财政拨款收入支出决算总表（决算公开04表）</w:t>
      </w:r>
    </w:p>
    <w:p>
      <w:pPr>
        <w:ind w:firstLine="640" w:firstLineChars="200"/>
        <w:rPr>
          <w:rFonts w:ascii="仿宋_GB2312" w:hAnsi="黑体" w:eastAsia="仿宋_GB2312"/>
          <w:sz w:val="32"/>
          <w:szCs w:val="32"/>
        </w:rPr>
      </w:pPr>
      <w:r>
        <w:rPr>
          <w:rFonts w:hint="eastAsia" w:ascii="仿宋_GB2312" w:hAnsi="黑体" w:eastAsia="仿宋_GB2312"/>
          <w:sz w:val="32"/>
          <w:szCs w:val="32"/>
        </w:rPr>
        <w:t>五、一般公共预算财政拨款支出决算表（决算公开05表）</w:t>
      </w:r>
    </w:p>
    <w:p>
      <w:pPr>
        <w:ind w:firstLine="640" w:firstLineChars="200"/>
        <w:rPr>
          <w:rFonts w:ascii="仿宋_GB2312" w:hAnsi="黑体" w:eastAsia="仿宋_GB2312"/>
          <w:sz w:val="32"/>
          <w:szCs w:val="32"/>
        </w:rPr>
      </w:pPr>
      <w:r>
        <w:rPr>
          <w:rFonts w:hint="eastAsia" w:ascii="仿宋_GB2312" w:hAnsi="黑体" w:eastAsia="仿宋_GB2312"/>
          <w:sz w:val="32"/>
          <w:szCs w:val="32"/>
        </w:rPr>
        <w:t>六、一般公共预算财政拨款基本支出决算表（决算公开06表）</w:t>
      </w:r>
    </w:p>
    <w:p>
      <w:pPr>
        <w:ind w:firstLine="640" w:firstLineChars="200"/>
        <w:rPr>
          <w:rFonts w:ascii="仿宋_GB2312" w:hAnsi="黑体" w:eastAsia="仿宋_GB2312"/>
          <w:sz w:val="32"/>
          <w:szCs w:val="32"/>
        </w:rPr>
      </w:pPr>
      <w:r>
        <w:rPr>
          <w:rFonts w:hint="eastAsia" w:ascii="仿宋_GB2312" w:hAnsi="黑体" w:eastAsia="仿宋_GB2312"/>
          <w:sz w:val="32"/>
          <w:szCs w:val="32"/>
        </w:rPr>
        <w:t>七、一般公共预算财政拨款“三公”经费支出决算表（决算公开07表）</w:t>
      </w:r>
    </w:p>
    <w:p>
      <w:pPr>
        <w:ind w:firstLine="640" w:firstLineChars="200"/>
        <w:rPr>
          <w:rFonts w:ascii="仿宋_GB2312" w:hAnsi="黑体" w:eastAsia="仿宋_GB2312"/>
          <w:sz w:val="32"/>
          <w:szCs w:val="32"/>
        </w:rPr>
      </w:pPr>
      <w:r>
        <w:rPr>
          <w:rFonts w:hint="eastAsia" w:ascii="仿宋_GB2312" w:hAnsi="黑体" w:eastAsia="仿宋_GB2312"/>
          <w:sz w:val="32"/>
          <w:szCs w:val="32"/>
        </w:rPr>
        <w:t>八、政府性基金预算财政拨款收入支出决算表（决算公开08表）</w:t>
      </w:r>
    </w:p>
    <w:p>
      <w:pPr>
        <w:ind w:firstLine="640" w:firstLineChars="200"/>
        <w:rPr>
          <w:rFonts w:ascii="仿宋_GB2312" w:hAnsi="黑体" w:eastAsia="仿宋_GB2312"/>
          <w:sz w:val="32"/>
          <w:szCs w:val="32"/>
        </w:rPr>
      </w:pPr>
      <w:r>
        <w:rPr>
          <w:rFonts w:hint="eastAsia" w:ascii="仿宋_GB2312" w:hAnsi="黑体" w:eastAsia="仿宋_GB2312"/>
          <w:sz w:val="32"/>
          <w:szCs w:val="32"/>
        </w:rPr>
        <w:t>九、国有资本经营预算财政拨款支出决算表（决算公开09表）</w:t>
      </w:r>
    </w:p>
    <w:p>
      <w:pPr>
        <w:ind w:firstLine="640" w:firstLineChars="200"/>
        <w:rPr>
          <w:rFonts w:ascii="仿宋_GB2312" w:hAnsi="黑体" w:eastAsia="仿宋_GB2312"/>
          <w:sz w:val="32"/>
          <w:szCs w:val="32"/>
        </w:rPr>
      </w:pPr>
      <w:r>
        <w:rPr>
          <w:rFonts w:hint="eastAsia" w:ascii="仿宋_GB2312" w:hAnsi="黑体" w:eastAsia="仿宋_GB2312"/>
          <w:sz w:val="32"/>
          <w:szCs w:val="32"/>
        </w:rPr>
        <w:t>上述报表详见附件。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柳州市房产交易所</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2020年度收入总计1583.56万元，支出总计1669.39万元，与2019年相比，收、支分别增加-92.99万元、-101.06万元；分别增长-5.55%、-5.71%。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本年收入总计1583.56万元 ，其中：一般公共预算财政拨款收入1579.83万元；占比99.76%；上级补助收入0.1万元，占比0.01% ；其他收入3.63万元，占比0.23%。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本年支出合计1669.39万元，其中：基本支出843.14万元，占50.51%；项目支出 826.25万元，占49.49%。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2020年度财政拨款收、支总决算1579.83万元、1638.85万元。与 2019 年相比，财政拨款收、支总计各增加40.25万元、195.92万元，增长2.61%、13.58%。</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2020年度财政拨款支出1638.85万元，占本年支出合计的98.17%。与 2019 年相比，财政拨款支出增加195.92万元，增加13.58%。</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1638.85万元，主要用于以下方面：社会保障和就业支出161.05万元，占 9.83%；卫生健康支出46.72万元，占2.85%；城乡社区支出1362.22万元，占83.12%；住房保障支出68.86万元，占4.2%。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1492.49万元，支出决算为1638.85万元，完成年初预算的100%。决算数大于预算数的主要原因：一是年中追加安排财政拨款支出预算，涉及项目有社会保障就业支出、卫生健康支出、城乡社区支出、住房保障支出；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 年初预算为132.82万元，支出决算为161.05万元，完成年初预算的100%。决算数大于预算数的主要原因是年度增人增资经费支出。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2.卫生健康支出。年初预算为30.47万元，支出决算为 46.72万元，完成年初预算的100%。决算数大于预算数的主要原因是年度增人增资经费支出。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3.城乡社区支出。年初预算为1280.98万元，支出决算为1362.22万元，完成年初预算的100%。决算数大于预算数的主要原因是年度增人增资经费支出、绩效工资总量补差支出、已故退休职工抚恤金支出。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4.住房保障支出。年初预算为48.22万元，支出决算为68.86万元，完成年初预算100%。决算数大于预算数的主要原因是增人增资经费支出、职工购房补贴支出。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2020年度财政拨款基本支出821万元，其中：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人员经费754.08万元，主要包括：基本工资、津贴补贴、 奖金、绩效工资、机关事业单位基本养老保险缴费、职业年金缴费、职工基本医疗保险缴费、其他社会保障缴费、住房公积金、退休费、抚恤金、奖励金。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公用经费66.92万元，主要包括：办公费、印刷费、咨询费、差旅费、维修（护）费、培训费、公务接待费、委托业务费、工会经费、公务用车运行维护费、其他商品和服务支出。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9.61万元，支出决算为4.27万元，完成预算的44.43%，其中：公务用车购置及运行维护费支出决算为4.02万元，完成预算的41.83%；公务接待费支出决算为0.25万元，完成预算的2.60%。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2020年度“三公”经费财政拨款支出决算数比2019年减少0.71万元，下降14.26%，其中：公务用车购置及运行费支出决算减少0.69万元，下降14.68%；公务接待费支出决算减少0.02万元，下降7.14%。</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公务用车购置及运行费支出减少的主要原因是</w:t>
      </w:r>
      <w:r>
        <w:rPr>
          <w:rFonts w:hint="eastAsia" w:ascii="仿宋_GB2312" w:eastAsia="仿宋_GB2312" w:cs="仿宋_GB2312"/>
          <w:bCs/>
          <w:kern w:val="0"/>
          <w:sz w:val="32"/>
          <w:szCs w:val="32"/>
          <w:lang w:val="en-US" w:eastAsia="zh-CN"/>
        </w:rPr>
        <w:t>公务用车管理厉行节约，减少开支</w:t>
      </w:r>
      <w:r>
        <w:rPr>
          <w:rFonts w:hint="eastAsia" w:ascii="仿宋_GB2312" w:eastAsia="仿宋_GB2312" w:cs="仿宋_GB2312"/>
          <w:bCs/>
          <w:kern w:val="0"/>
          <w:sz w:val="32"/>
          <w:szCs w:val="32"/>
        </w:rPr>
        <w:t>；公务接待费支出减少的主要原因是疫情致使接待业务减少。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2020年度“三公”经费财政拨款支出决算中，公务用车购置及运行费支出决算4.02万元，占94.15%；公务接待费支出决算0.25万元，占5.85%。具体情况如下：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1.公务用车购置及运行费支出4.02万元。其中：公务用车运行维护费支出4.02万元。主要用于公务用车的维修费、清洗费、车辆保险费及年审费用。2020年，单位使用财政拨款开支的公务用车保有量为4辆。</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2.公务接待费支出0.25万元。其中：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国内公务接待支出0.25万元。主要用于接待贺州住建局及融安县住建局考察团人员。2020 年共接待国内来访团组2个、来宾17人次。</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八</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val="en-US" w:eastAsia="zh-CN"/>
        </w:rPr>
        <w:t>无</w:t>
      </w:r>
      <w:r>
        <w:rPr>
          <w:rFonts w:hint="eastAsia" w:ascii="仿宋_GB2312" w:eastAsia="仿宋_GB2312" w:cs="仿宋_GB2312"/>
          <w:bCs/>
          <w:kern w:val="0"/>
          <w:sz w:val="32"/>
          <w:szCs w:val="32"/>
        </w:rPr>
        <w:t>政府基金预算</w:t>
      </w:r>
      <w:r>
        <w:rPr>
          <w:rFonts w:hint="eastAsia" w:ascii="仿宋_GB2312" w:eastAsia="仿宋_GB2312" w:cs="仿宋_GB2312"/>
          <w:bCs/>
          <w:kern w:val="0"/>
          <w:sz w:val="32"/>
          <w:szCs w:val="32"/>
          <w:lang w:eastAsia="zh-CN"/>
        </w:rPr>
        <w:t>。</w:t>
      </w:r>
    </w:p>
    <w:p>
      <w:pPr>
        <w:numPr>
          <w:ilvl w:val="0"/>
          <w:numId w:val="2"/>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val="en-US" w:eastAsia="zh-CN"/>
        </w:rPr>
        <w:t>无</w:t>
      </w:r>
      <w:r>
        <w:rPr>
          <w:rFonts w:hint="eastAsia" w:ascii="仿宋_GB2312" w:eastAsia="仿宋_GB2312" w:cs="仿宋_GB2312"/>
          <w:bCs/>
          <w:kern w:val="0"/>
          <w:sz w:val="32"/>
          <w:szCs w:val="32"/>
        </w:rPr>
        <w:t>国有资本经营预算。</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根据财政预算管理要求，我单位组织对2020年度一般公共预算项目支出全面开展绩效自评。</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决算中整体绩效自评结果。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kern w:val="0"/>
          <w:sz w:val="32"/>
          <w:szCs w:val="32"/>
        </w:rPr>
        <w:t>我单位根据年初设定的整体绩效目标，对2020年度预算整体支出绩效进行自评，自评总分98.03分。我单位在制定支出预算的过程中，充分考虑突发情况的发生，采取有效的处理机制，应对突发遇到的不确定因素。在经费有限的情况下，分工明确，职责细化，合理用人，以此提高工作效率。绩效目标的评价结合单位职能要求及单位年度工作计划要求，由单位各科室对照绩效目标的执行情况进行说明后再通过绩效评价会议进行单位综合评价，确保绩效目标评价的全面性、客观性、科学性。</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）政府采购支出情况。2020年度单位政府采购支出总额198.39万元，其中：货物支出3.91万元、服务支出194.48万元。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w:t>
      </w:r>
      <w:bookmarkStart w:id="0" w:name="_GoBack"/>
      <w:bookmarkEnd w:id="0"/>
      <w:r>
        <w:rPr>
          <w:rFonts w:hint="eastAsia" w:ascii="仿宋_GB2312" w:eastAsia="仿宋_GB2312" w:cs="仿宋_GB2312"/>
          <w:kern w:val="0"/>
          <w:sz w:val="32"/>
          <w:szCs w:val="32"/>
        </w:rPr>
        <w:t>）国有资产占用情况。截至年末单位共有车辆5辆，其中：公务用车4辆，其他用车1辆为待报废摩托车。</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其他收入：指除上述“财政拨款收入”、“事业收入”、“经营收入”等以外的收入。主要是：银行存款利息收入。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E36388E9"/>
    <w:multiLevelType w:val="singleLevel"/>
    <w:tmpl w:val="E36388E9"/>
    <w:lvl w:ilvl="0" w:tentative="0">
      <w:start w:val="1"/>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04AD9"/>
    <w:rsid w:val="00066CA3"/>
    <w:rsid w:val="003E76B4"/>
    <w:rsid w:val="006C1367"/>
    <w:rsid w:val="00715385"/>
    <w:rsid w:val="00937CD1"/>
    <w:rsid w:val="00961300"/>
    <w:rsid w:val="00A65159"/>
    <w:rsid w:val="00B932B5"/>
    <w:rsid w:val="00CE49E7"/>
    <w:rsid w:val="00EE6F2A"/>
    <w:rsid w:val="00F5107B"/>
    <w:rsid w:val="00F66C5B"/>
    <w:rsid w:val="020C70C1"/>
    <w:rsid w:val="02D807F2"/>
    <w:rsid w:val="064C2F4E"/>
    <w:rsid w:val="065C4278"/>
    <w:rsid w:val="074D433D"/>
    <w:rsid w:val="076D5DC3"/>
    <w:rsid w:val="0ABD7E9D"/>
    <w:rsid w:val="0D6B550E"/>
    <w:rsid w:val="0E074DDF"/>
    <w:rsid w:val="0E28781B"/>
    <w:rsid w:val="0FFB43CD"/>
    <w:rsid w:val="124204B5"/>
    <w:rsid w:val="13BE5FD8"/>
    <w:rsid w:val="146268D0"/>
    <w:rsid w:val="15516D0D"/>
    <w:rsid w:val="16E85B02"/>
    <w:rsid w:val="17536317"/>
    <w:rsid w:val="182962AB"/>
    <w:rsid w:val="18743604"/>
    <w:rsid w:val="18A749B0"/>
    <w:rsid w:val="19D073EB"/>
    <w:rsid w:val="19FA20A3"/>
    <w:rsid w:val="1B2D7D2C"/>
    <w:rsid w:val="1B904452"/>
    <w:rsid w:val="1C910F06"/>
    <w:rsid w:val="1CAC462A"/>
    <w:rsid w:val="1CC31F67"/>
    <w:rsid w:val="20FD71CF"/>
    <w:rsid w:val="236675C0"/>
    <w:rsid w:val="23CC0CDD"/>
    <w:rsid w:val="24D337DC"/>
    <w:rsid w:val="256C59C6"/>
    <w:rsid w:val="26460DBA"/>
    <w:rsid w:val="2865434A"/>
    <w:rsid w:val="28B058E6"/>
    <w:rsid w:val="29F31638"/>
    <w:rsid w:val="2B2027D1"/>
    <w:rsid w:val="2B6F74EB"/>
    <w:rsid w:val="2C4219FE"/>
    <w:rsid w:val="2F6C4457"/>
    <w:rsid w:val="300A44A5"/>
    <w:rsid w:val="30E728FB"/>
    <w:rsid w:val="32FD08D1"/>
    <w:rsid w:val="336F6BC0"/>
    <w:rsid w:val="34020F86"/>
    <w:rsid w:val="342E4B2B"/>
    <w:rsid w:val="353C259E"/>
    <w:rsid w:val="3942695A"/>
    <w:rsid w:val="394F7107"/>
    <w:rsid w:val="39A63F06"/>
    <w:rsid w:val="3EB96708"/>
    <w:rsid w:val="3ED1439F"/>
    <w:rsid w:val="3EE47301"/>
    <w:rsid w:val="40C21A97"/>
    <w:rsid w:val="41386FDC"/>
    <w:rsid w:val="42314638"/>
    <w:rsid w:val="44291DFC"/>
    <w:rsid w:val="44332F06"/>
    <w:rsid w:val="466A0229"/>
    <w:rsid w:val="48374EDC"/>
    <w:rsid w:val="4C256E3D"/>
    <w:rsid w:val="4CB52F0F"/>
    <w:rsid w:val="4DD2468E"/>
    <w:rsid w:val="4DD90B57"/>
    <w:rsid w:val="503B7305"/>
    <w:rsid w:val="505C71EA"/>
    <w:rsid w:val="532F1F9A"/>
    <w:rsid w:val="54651F95"/>
    <w:rsid w:val="54AC41E9"/>
    <w:rsid w:val="564F4CE5"/>
    <w:rsid w:val="588E2F21"/>
    <w:rsid w:val="5964567C"/>
    <w:rsid w:val="5A0236F1"/>
    <w:rsid w:val="5A8159D6"/>
    <w:rsid w:val="5BE36B76"/>
    <w:rsid w:val="5C40548B"/>
    <w:rsid w:val="5CA23CCF"/>
    <w:rsid w:val="5CE80097"/>
    <w:rsid w:val="5E995A3E"/>
    <w:rsid w:val="6086403B"/>
    <w:rsid w:val="612B7193"/>
    <w:rsid w:val="61B44B19"/>
    <w:rsid w:val="61C12301"/>
    <w:rsid w:val="62163194"/>
    <w:rsid w:val="624D024D"/>
    <w:rsid w:val="628D1DE6"/>
    <w:rsid w:val="650E086A"/>
    <w:rsid w:val="665D21CD"/>
    <w:rsid w:val="6742199D"/>
    <w:rsid w:val="67E16ED1"/>
    <w:rsid w:val="67FC7272"/>
    <w:rsid w:val="69807319"/>
    <w:rsid w:val="6A330D75"/>
    <w:rsid w:val="6A787006"/>
    <w:rsid w:val="6B4371FC"/>
    <w:rsid w:val="6BAA0708"/>
    <w:rsid w:val="6C90458A"/>
    <w:rsid w:val="6DCB5532"/>
    <w:rsid w:val="6F43278B"/>
    <w:rsid w:val="71634AF5"/>
    <w:rsid w:val="7367446D"/>
    <w:rsid w:val="739A4B34"/>
    <w:rsid w:val="73A3113D"/>
    <w:rsid w:val="73B31D56"/>
    <w:rsid w:val="74330BB3"/>
    <w:rsid w:val="750F19F4"/>
    <w:rsid w:val="767138AE"/>
    <w:rsid w:val="76E376C7"/>
    <w:rsid w:val="76FE3D66"/>
    <w:rsid w:val="7E441C83"/>
    <w:rsid w:val="7FA17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批注框文本 Char"/>
    <w:basedOn w:val="6"/>
    <w:link w:val="3"/>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737</Words>
  <Characters>4203</Characters>
  <Lines>35</Lines>
  <Paragraphs>9</Paragraphs>
  <TotalTime>1073</TotalTime>
  <ScaleCrop>false</ScaleCrop>
  <LinksUpToDate>false</LinksUpToDate>
  <CharactersWithSpaces>4931</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2021-07-19T02:09:00Z</cp:lastPrinted>
  <dcterms:modified xsi:type="dcterms:W3CDTF">2021-08-12T07:19:04Z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