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EA" w:rsidRDefault="006C4DEA">
      <w:pPr>
        <w:rPr>
          <w:rFonts w:ascii="仿宋_GB2312" w:eastAsia="仿宋_GB2312" w:cs="ArialUnicodeMS"/>
          <w:kern w:val="0"/>
          <w:sz w:val="32"/>
          <w:szCs w:val="32"/>
        </w:rPr>
      </w:pPr>
    </w:p>
    <w:p w:rsidR="006C4DEA" w:rsidRDefault="006C4DEA">
      <w:pPr>
        <w:rPr>
          <w:rFonts w:ascii="黑体" w:eastAsia="黑体" w:cs="ArialUnicodeMS"/>
          <w:kern w:val="0"/>
          <w:sz w:val="72"/>
          <w:szCs w:val="72"/>
        </w:rPr>
      </w:pPr>
    </w:p>
    <w:p w:rsidR="006C4DEA" w:rsidRDefault="006C4DEA">
      <w:pPr>
        <w:rPr>
          <w:rFonts w:ascii="黑体" w:eastAsia="黑体" w:cs="ArialUnicodeMS"/>
          <w:kern w:val="0"/>
          <w:sz w:val="72"/>
          <w:szCs w:val="72"/>
        </w:rPr>
      </w:pPr>
    </w:p>
    <w:p w:rsidR="006C4DEA" w:rsidRDefault="00EE3F69">
      <w:pPr>
        <w:jc w:val="center"/>
        <w:rPr>
          <w:rFonts w:ascii="黑体" w:eastAsia="黑体" w:cs="ArialUnicodeMS"/>
          <w:kern w:val="0"/>
          <w:sz w:val="52"/>
          <w:szCs w:val="52"/>
        </w:rPr>
      </w:pPr>
      <w:r>
        <w:rPr>
          <w:rFonts w:ascii="黑体" w:eastAsia="黑体" w:cs="ArialUnicodeMS" w:hint="eastAsia"/>
          <w:kern w:val="0"/>
          <w:sz w:val="52"/>
          <w:szCs w:val="52"/>
        </w:rPr>
        <w:t>柳州市建设工程技术服务中心</w:t>
      </w:r>
      <w:r>
        <w:rPr>
          <w:rFonts w:ascii="黑体" w:eastAsia="黑体" w:hint="eastAsia"/>
          <w:kern w:val="0"/>
          <w:sz w:val="52"/>
          <w:szCs w:val="52"/>
        </w:rPr>
        <w:t>2020</w:t>
      </w:r>
      <w:r>
        <w:rPr>
          <w:rFonts w:ascii="黑体" w:eastAsia="黑体" w:cs="ArialUnicodeMS" w:hint="eastAsia"/>
          <w:kern w:val="0"/>
          <w:sz w:val="52"/>
          <w:szCs w:val="52"/>
        </w:rPr>
        <w:t>年度部门决算</w:t>
      </w:r>
    </w:p>
    <w:p w:rsidR="006C4DEA" w:rsidRDefault="006C4DEA">
      <w:pPr>
        <w:rPr>
          <w:rFonts w:ascii="ArialUnicodeMS" w:eastAsia="ArialUnicodeMS" w:cs="ArialUnicodeMS"/>
          <w:kern w:val="0"/>
          <w:sz w:val="84"/>
          <w:szCs w:val="84"/>
        </w:rPr>
      </w:pPr>
    </w:p>
    <w:p w:rsidR="006C4DEA" w:rsidRDefault="006C4DEA">
      <w:pPr>
        <w:rPr>
          <w:rFonts w:ascii="ArialUnicodeMS" w:eastAsia="ArialUnicodeMS" w:cs="ArialUnicodeMS"/>
          <w:kern w:val="0"/>
          <w:sz w:val="84"/>
          <w:szCs w:val="84"/>
        </w:rPr>
      </w:pPr>
    </w:p>
    <w:p w:rsidR="006C4DEA" w:rsidRDefault="006C4DEA">
      <w:pPr>
        <w:rPr>
          <w:rFonts w:ascii="ArialUnicodeMS" w:eastAsia="ArialUnicodeMS" w:cs="ArialUnicodeMS"/>
          <w:kern w:val="0"/>
          <w:sz w:val="84"/>
          <w:szCs w:val="84"/>
        </w:rPr>
      </w:pPr>
    </w:p>
    <w:p w:rsidR="006C4DEA" w:rsidRDefault="006C4DEA">
      <w:pPr>
        <w:rPr>
          <w:rFonts w:ascii="ArialUnicodeMS" w:eastAsia="ArialUnicodeMS" w:cs="ArialUnicodeMS"/>
          <w:kern w:val="0"/>
          <w:sz w:val="84"/>
          <w:szCs w:val="84"/>
        </w:rPr>
      </w:pPr>
    </w:p>
    <w:p w:rsidR="006C4DEA" w:rsidRDefault="006C4DEA">
      <w:pPr>
        <w:rPr>
          <w:rFonts w:ascii="ArialUnicodeMS" w:eastAsia="ArialUnicodeMS" w:cs="ArialUnicodeMS"/>
          <w:kern w:val="0"/>
          <w:sz w:val="84"/>
          <w:szCs w:val="84"/>
        </w:rPr>
      </w:pPr>
    </w:p>
    <w:p w:rsidR="006C4DEA" w:rsidRDefault="006C4DEA">
      <w:pPr>
        <w:rPr>
          <w:rFonts w:ascii="ArialUnicodeMS" w:eastAsia="ArialUnicodeMS" w:cs="ArialUnicodeMS"/>
          <w:kern w:val="0"/>
          <w:sz w:val="84"/>
          <w:szCs w:val="84"/>
        </w:rPr>
      </w:pPr>
    </w:p>
    <w:p w:rsidR="006C4DEA" w:rsidRDefault="006C4DEA">
      <w:pPr>
        <w:rPr>
          <w:rFonts w:ascii="ArialUnicodeMS" w:eastAsia="ArialUnicodeMS" w:cs="ArialUnicodeMS"/>
          <w:kern w:val="0"/>
          <w:sz w:val="84"/>
          <w:szCs w:val="84"/>
        </w:rPr>
      </w:pPr>
    </w:p>
    <w:p w:rsidR="006C4DEA" w:rsidRDefault="006C4DEA">
      <w:pPr>
        <w:jc w:val="center"/>
        <w:rPr>
          <w:rFonts w:ascii="黑体" w:eastAsia="黑体" w:cs="黑体"/>
          <w:kern w:val="0"/>
          <w:sz w:val="44"/>
          <w:szCs w:val="44"/>
        </w:rPr>
      </w:pPr>
    </w:p>
    <w:p w:rsidR="006C4DEA" w:rsidRDefault="00EE3F69">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6C4DEA" w:rsidRDefault="006C4DEA">
      <w:pPr>
        <w:ind w:firstLine="645"/>
        <w:rPr>
          <w:rFonts w:ascii="仿宋_GB2312" w:eastAsia="仿宋_GB2312"/>
          <w:b/>
          <w:sz w:val="32"/>
          <w:szCs w:val="32"/>
        </w:rPr>
      </w:pPr>
    </w:p>
    <w:p w:rsidR="006C4DEA" w:rsidRDefault="00EE3F69">
      <w:pPr>
        <w:ind w:firstLine="645"/>
        <w:rPr>
          <w:rFonts w:ascii="仿宋_GB2312" w:eastAsia="仿宋_GB2312"/>
          <w:b/>
          <w:sz w:val="32"/>
          <w:szCs w:val="32"/>
        </w:rPr>
      </w:pPr>
      <w:r>
        <w:rPr>
          <w:rFonts w:ascii="仿宋_GB2312" w:eastAsia="仿宋_GB2312" w:hint="eastAsia"/>
          <w:b/>
          <w:sz w:val="32"/>
          <w:szCs w:val="32"/>
        </w:rPr>
        <w:t>第一部分：柳州市建设工程技术服务中心概况</w:t>
      </w:r>
    </w:p>
    <w:p w:rsidR="006C4DEA" w:rsidRDefault="00EE3F69">
      <w:pPr>
        <w:ind w:firstLine="645"/>
        <w:rPr>
          <w:rFonts w:ascii="仿宋_GB2312" w:eastAsia="仿宋_GB2312"/>
          <w:sz w:val="32"/>
          <w:szCs w:val="32"/>
        </w:rPr>
      </w:pPr>
      <w:r>
        <w:rPr>
          <w:rFonts w:ascii="仿宋_GB2312" w:eastAsia="仿宋_GB2312" w:hint="eastAsia"/>
          <w:sz w:val="32"/>
          <w:szCs w:val="32"/>
        </w:rPr>
        <w:t>一、主要职能</w:t>
      </w:r>
    </w:p>
    <w:p w:rsidR="006C4DEA" w:rsidRDefault="00EE3F69">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w:t>
      </w:r>
      <w:r>
        <w:rPr>
          <w:rFonts w:ascii="仿宋_GB2312" w:eastAsia="仿宋_GB2312" w:hint="eastAsia"/>
          <w:b/>
          <w:sz w:val="32"/>
          <w:szCs w:val="32"/>
        </w:rPr>
        <w:t>市建设工程技术服务中心2020年部门决算报表</w:t>
      </w:r>
    </w:p>
    <w:p w:rsidR="006C4DEA" w:rsidRDefault="00EE3F69">
      <w:pPr>
        <w:ind w:left="645"/>
        <w:rPr>
          <w:rFonts w:ascii="仿宋_GB2312" w:eastAsia="仿宋_GB2312"/>
          <w:sz w:val="32"/>
          <w:szCs w:val="32"/>
        </w:rPr>
      </w:pPr>
      <w:r>
        <w:rPr>
          <w:rFonts w:ascii="仿宋_GB2312" w:eastAsia="仿宋_GB2312" w:hint="eastAsia"/>
          <w:sz w:val="32"/>
          <w:szCs w:val="32"/>
        </w:rPr>
        <w:t>表一：收入支出决算总表</w:t>
      </w:r>
    </w:p>
    <w:p w:rsidR="006C4DEA" w:rsidRDefault="00EE3F69">
      <w:pPr>
        <w:ind w:left="645"/>
        <w:rPr>
          <w:rFonts w:ascii="仿宋_GB2312" w:eastAsia="仿宋_GB2312"/>
          <w:sz w:val="32"/>
          <w:szCs w:val="32"/>
        </w:rPr>
      </w:pPr>
      <w:r>
        <w:rPr>
          <w:rFonts w:ascii="仿宋_GB2312" w:eastAsia="仿宋_GB2312" w:hint="eastAsia"/>
          <w:sz w:val="32"/>
          <w:szCs w:val="32"/>
        </w:rPr>
        <w:t>表二：收入决算表</w:t>
      </w:r>
    </w:p>
    <w:p w:rsidR="006C4DEA" w:rsidRDefault="00EE3F69">
      <w:pPr>
        <w:ind w:left="645"/>
        <w:rPr>
          <w:rFonts w:ascii="仿宋_GB2312" w:eastAsia="仿宋_GB2312"/>
          <w:sz w:val="32"/>
          <w:szCs w:val="32"/>
        </w:rPr>
      </w:pPr>
      <w:r>
        <w:rPr>
          <w:rFonts w:ascii="仿宋_GB2312" w:eastAsia="仿宋_GB2312" w:hint="eastAsia"/>
          <w:sz w:val="32"/>
          <w:szCs w:val="32"/>
        </w:rPr>
        <w:t>表三：支出决算表</w:t>
      </w:r>
    </w:p>
    <w:p w:rsidR="006C4DEA" w:rsidRDefault="00EE3F69">
      <w:pPr>
        <w:ind w:left="645"/>
        <w:rPr>
          <w:rFonts w:ascii="仿宋_GB2312" w:eastAsia="仿宋_GB2312"/>
          <w:sz w:val="32"/>
          <w:szCs w:val="32"/>
        </w:rPr>
      </w:pPr>
      <w:r>
        <w:rPr>
          <w:rFonts w:ascii="仿宋_GB2312" w:eastAsia="仿宋_GB2312" w:hint="eastAsia"/>
          <w:sz w:val="32"/>
          <w:szCs w:val="32"/>
        </w:rPr>
        <w:t>表四：财政拨款收入支出决算总表</w:t>
      </w:r>
    </w:p>
    <w:p w:rsidR="006C4DEA" w:rsidRDefault="00EE3F69">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6C4DEA" w:rsidRDefault="00EE3F69">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6C4DEA" w:rsidRDefault="00EE3F69">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6C4DEA" w:rsidRDefault="00EE3F69">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6C4DEA" w:rsidRDefault="00EE3F69">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6C4DEA" w:rsidRDefault="00EE3F69">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w:t>
      </w:r>
      <w:r>
        <w:rPr>
          <w:rFonts w:ascii="仿宋_GB2312" w:eastAsia="仿宋_GB2312" w:hint="eastAsia"/>
          <w:b/>
          <w:sz w:val="32"/>
          <w:szCs w:val="32"/>
        </w:rPr>
        <w:t>市建设工程技术服务中心2020年度部门决算情况说明</w:t>
      </w:r>
    </w:p>
    <w:p w:rsidR="006C4DEA" w:rsidRDefault="00EE3F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6C4DEA" w:rsidRDefault="00EE3F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6C4DEA" w:rsidRDefault="00EE3F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6C4DEA" w:rsidRDefault="00EE3F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6C4DEA" w:rsidRDefault="00EE3F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6C4DEA" w:rsidRDefault="00EE3F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6C4DEA" w:rsidRDefault="00EE3F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6C4DEA" w:rsidRDefault="00EE3F6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6C4DEA" w:rsidRDefault="00EE3F69">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6C4DEA" w:rsidRDefault="00EE3F6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6C4DEA" w:rsidRDefault="00EE3F6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6C4DEA" w:rsidRDefault="00EE3F69">
      <w:pPr>
        <w:ind w:firstLine="645"/>
        <w:rPr>
          <w:rFonts w:ascii="仿宋_GB2312" w:eastAsia="仿宋_GB2312"/>
          <w:b/>
          <w:sz w:val="32"/>
          <w:szCs w:val="32"/>
        </w:rPr>
      </w:pPr>
      <w:r>
        <w:rPr>
          <w:rFonts w:ascii="仿宋_GB2312" w:eastAsia="仿宋_GB2312" w:hint="eastAsia"/>
          <w:b/>
          <w:sz w:val="32"/>
          <w:szCs w:val="32"/>
        </w:rPr>
        <w:t>第四部分：名词解释</w:t>
      </w:r>
    </w:p>
    <w:p w:rsidR="006C4DEA" w:rsidRDefault="00EE3F69">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柳州市建设工程技术服务中心</w:t>
      </w:r>
      <w:r>
        <w:rPr>
          <w:rFonts w:ascii="仿宋_GB2312" w:eastAsia="仿宋_GB2312" w:hint="eastAsia"/>
          <w:b/>
          <w:sz w:val="32"/>
          <w:szCs w:val="32"/>
        </w:rPr>
        <w:t>概况</w:t>
      </w:r>
    </w:p>
    <w:p w:rsidR="006C4DEA" w:rsidRDefault="00EE3F69">
      <w:pPr>
        <w:ind w:firstLine="646"/>
        <w:rPr>
          <w:rFonts w:ascii="仿宋_GB2312" w:eastAsia="仿宋_GB2312"/>
          <w:sz w:val="32"/>
          <w:szCs w:val="32"/>
        </w:rPr>
      </w:pPr>
      <w:r>
        <w:rPr>
          <w:rFonts w:ascii="仿宋_GB2312" w:eastAsia="仿宋_GB2312" w:hint="eastAsia"/>
          <w:sz w:val="32"/>
          <w:szCs w:val="32"/>
        </w:rPr>
        <w:t>一、主要职能</w:t>
      </w:r>
    </w:p>
    <w:p w:rsidR="006C4DEA" w:rsidRDefault="00EE3F69">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81" w:firstLine="579"/>
        <w:rPr>
          <w:rFonts w:ascii="仿宋_GB2312" w:eastAsia="仿宋_GB2312" w:hAnsi="仿宋_GB2312" w:cs="仿宋_GB2312"/>
          <w:sz w:val="32"/>
        </w:rPr>
      </w:pPr>
      <w:r>
        <w:rPr>
          <w:rFonts w:ascii="仿宋_GB2312" w:eastAsia="仿宋_GB2312" w:hAnsi="仿宋_GB2312" w:cs="仿宋_GB2312" w:hint="eastAsia"/>
          <w:sz w:val="32"/>
        </w:rPr>
        <w:t>2020年因机构改革，原柳州市旧城改造服务处、柳州市建筑节能与墙体材料改革办公室、柳州市房屋安全技术鉴定中心、柳州市白蚁防治所整合，成立柳州市建设工程技术服务中心，保留柳州市房屋安全技术鉴定中心、柳州市白蚁防治所牌子，为市住房和城乡建设局管理的副处级全额拨款事业单位，列为公益一类。</w:t>
      </w:r>
    </w:p>
    <w:p w:rsidR="006C4DEA" w:rsidRDefault="00EE3F69">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Chars="181" w:firstLine="579"/>
        <w:rPr>
          <w:rFonts w:ascii="仿宋_GB2312" w:eastAsia="仿宋_GB2312" w:hAnsi="仿宋_GB2312" w:cs="仿宋_GB2312"/>
          <w:sz w:val="32"/>
        </w:rPr>
      </w:pPr>
      <w:r>
        <w:rPr>
          <w:rFonts w:ascii="仿宋_GB2312" w:eastAsia="仿宋_GB2312" w:hAnsi="仿宋_GB2312" w:cs="仿宋_GB2312" w:hint="eastAsia"/>
          <w:sz w:val="32"/>
        </w:rPr>
        <w:t>主要职责是：贯彻执行国家、自治区、柳州市关于城市更新、新型墙体材料发展、城市房屋白蚁防治、城市房屋安全鉴定等法律法规、规章制度和方针政策。参与城市更新改造规划、计划的编制和实施，协助开展城市更新改造工作。参与新型墙体材料发展规划的编制和实施，协助开展新型墙体材料发展工作。负责开展城市房屋白蚁防治工作。负责开展城市房屋安全鉴定工作。完成主管部门交办的工作。</w:t>
      </w:r>
    </w:p>
    <w:p w:rsidR="006C4DEA" w:rsidRDefault="006C4DEA">
      <w:pPr>
        <w:ind w:firstLine="645"/>
        <w:rPr>
          <w:rFonts w:ascii="仿宋_GB2312" w:eastAsia="仿宋_GB2312"/>
          <w:sz w:val="32"/>
          <w:szCs w:val="32"/>
        </w:rPr>
      </w:pPr>
    </w:p>
    <w:p w:rsidR="006C4DEA" w:rsidRDefault="006C4DEA"/>
    <w:p w:rsidR="006C4DEA" w:rsidRDefault="00EE3F69">
      <w:pPr>
        <w:ind w:firstLineChars="500" w:firstLine="1606"/>
        <w:jc w:val="cente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柳州市建设工程技术服务中心</w:t>
      </w:r>
      <w:r>
        <w:rPr>
          <w:rFonts w:ascii="仿宋_GB2312" w:eastAsia="仿宋_GB2312" w:hint="eastAsia"/>
          <w:b/>
          <w:sz w:val="32"/>
          <w:szCs w:val="32"/>
        </w:rPr>
        <w:t>2020年决算报表</w:t>
      </w:r>
    </w:p>
    <w:p w:rsidR="006C4DEA" w:rsidRDefault="006C4DEA">
      <w:pPr>
        <w:jc w:val="center"/>
      </w:pPr>
    </w:p>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tbl>
      <w:tblPr>
        <w:tblW w:w="9681" w:type="dxa"/>
        <w:jc w:val="center"/>
        <w:tblLayout w:type="fixed"/>
        <w:tblLook w:val="04A0"/>
      </w:tblPr>
      <w:tblGrid>
        <w:gridCol w:w="3720"/>
        <w:gridCol w:w="1095"/>
        <w:gridCol w:w="3420"/>
        <w:gridCol w:w="1381"/>
        <w:gridCol w:w="65"/>
      </w:tblGrid>
      <w:tr w:rsidR="006C4DEA">
        <w:trPr>
          <w:gridAfter w:val="1"/>
          <w:wAfter w:w="65" w:type="dxa"/>
          <w:trHeight w:val="570"/>
          <w:jc w:val="center"/>
        </w:trPr>
        <w:tc>
          <w:tcPr>
            <w:tcW w:w="9616" w:type="dxa"/>
            <w:gridSpan w:val="4"/>
            <w:tcBorders>
              <w:top w:val="nil"/>
              <w:left w:val="nil"/>
              <w:bottom w:val="nil"/>
              <w:right w:val="nil"/>
            </w:tcBorders>
            <w:vAlign w:val="bottom"/>
          </w:tcPr>
          <w:p w:rsidR="006C4DEA" w:rsidRDefault="00EE3F69">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表一：收入支出决算总表</w:t>
            </w:r>
          </w:p>
          <w:p w:rsidR="006C4DEA" w:rsidRDefault="00EE3F69">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6C4DEA">
        <w:trPr>
          <w:trHeight w:val="270"/>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rsidR="006C4DEA" w:rsidRDefault="00EE3F69">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866" w:type="dxa"/>
            <w:gridSpan w:val="3"/>
            <w:tcBorders>
              <w:top w:val="single" w:sz="4" w:space="0" w:color="auto"/>
              <w:left w:val="nil"/>
              <w:bottom w:val="single" w:sz="4" w:space="0" w:color="auto"/>
              <w:right w:val="single" w:sz="4" w:space="0" w:color="auto"/>
            </w:tcBorders>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9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420"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465.8</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二、外交支出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三、国有资本经营预算财政拨款收入</w:t>
            </w:r>
          </w:p>
        </w:tc>
        <w:tc>
          <w:tcPr>
            <w:tcW w:w="1095" w:type="dxa"/>
            <w:tcBorders>
              <w:top w:val="nil"/>
              <w:left w:val="nil"/>
              <w:bottom w:val="single" w:sz="4" w:space="0" w:color="auto"/>
              <w:right w:val="single" w:sz="4" w:space="0" w:color="auto"/>
            </w:tcBorders>
            <w:vAlign w:val="center"/>
          </w:tcPr>
          <w:p w:rsidR="006C4DEA" w:rsidRDefault="00EE3F69">
            <w:pPr>
              <w:widowControl/>
              <w:ind w:firstLineChars="100" w:firstLine="220"/>
              <w:jc w:val="right"/>
              <w:rPr>
                <w:rFonts w:ascii="宋体" w:hAnsi="宋体" w:cs="宋体"/>
                <w:color w:val="000000"/>
                <w:kern w:val="0"/>
                <w:sz w:val="22"/>
                <w:szCs w:val="22"/>
              </w:rPr>
            </w:pPr>
            <w:r>
              <w:rPr>
                <w:rFonts w:ascii="宋体" w:hAnsi="宋体" w:cs="宋体" w:hint="eastAsia"/>
                <w:color w:val="000000"/>
                <w:kern w:val="0"/>
                <w:sz w:val="22"/>
                <w:szCs w:val="22"/>
              </w:rPr>
              <w:t>0.00</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三、国防支出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ind w:firstLineChars="100" w:firstLine="220"/>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四、上级补助收入</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四、公共安全支出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五、事业收入</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五、教育支出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六、经营收入</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六、科学技术支出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七、附属单位上缴收入</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七、文化旅游体育与传媒支出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八、其他收入</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844.08　</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八、社会保障和就业支出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27.52</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九、卫生健康支出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8.68</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十、节能环保支出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ind w:firstLineChars="100" w:firstLine="220"/>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十一、城乡社区支出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1029.78</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十二、农林水支出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十三、交通运输支出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十四、资源勘探工业信息等支出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十五、商业服务业等支出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十六、金融支出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十七、援助其他地区支出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十八、自然资源海洋气象等支出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十九、住房保障支出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9.15</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二十、粮油物资储备支出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二十一、国有资本经营预算支出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二十二、灾害防治及应急管理支出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二十三、其他支出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二十四、债务还本支出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二十五、债务付息支出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95" w:type="dxa"/>
            <w:tcBorders>
              <w:top w:val="nil"/>
              <w:left w:val="nil"/>
              <w:bottom w:val="single" w:sz="4" w:space="0" w:color="auto"/>
              <w:right w:val="single" w:sz="4" w:space="0" w:color="auto"/>
            </w:tcBorders>
            <w:vAlign w:val="center"/>
          </w:tcPr>
          <w:p w:rsidR="006C4DEA" w:rsidRDefault="006C4DEA">
            <w:pPr>
              <w:widowControl/>
              <w:jc w:val="right"/>
              <w:rPr>
                <w:rFonts w:ascii="宋体" w:hAnsi="宋体" w:cs="宋体"/>
                <w:color w:val="000000"/>
                <w:kern w:val="0"/>
                <w:sz w:val="22"/>
                <w:szCs w:val="22"/>
              </w:rPr>
            </w:pP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二十六、抗疫特别国债安排的支出</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0.00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1309.88</w:t>
            </w:r>
          </w:p>
        </w:tc>
        <w:tc>
          <w:tcPr>
            <w:tcW w:w="3420"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 xml:space="preserve">　1075.14</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0.00</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19.49</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472.34</w:t>
            </w:r>
          </w:p>
        </w:tc>
        <w:tc>
          <w:tcPr>
            <w:tcW w:w="3420" w:type="dxa"/>
            <w:tcBorders>
              <w:top w:val="nil"/>
              <w:left w:val="nil"/>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687.60</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420" w:type="dxa"/>
            <w:tcBorders>
              <w:top w:val="nil"/>
              <w:left w:val="nil"/>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C4DEA">
        <w:trPr>
          <w:trHeight w:val="270"/>
          <w:jc w:val="center"/>
        </w:trPr>
        <w:tc>
          <w:tcPr>
            <w:tcW w:w="372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9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1782.22</w:t>
            </w:r>
          </w:p>
        </w:tc>
        <w:tc>
          <w:tcPr>
            <w:tcW w:w="3420"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446" w:type="dxa"/>
            <w:gridSpan w:val="2"/>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b/>
                <w:color w:val="000000"/>
                <w:kern w:val="0"/>
                <w:sz w:val="22"/>
                <w:szCs w:val="22"/>
              </w:rPr>
            </w:pPr>
            <w:r>
              <w:rPr>
                <w:rFonts w:ascii="宋体" w:hAnsi="宋体" w:cs="宋体" w:hint="eastAsia"/>
                <w:b/>
                <w:color w:val="000000"/>
                <w:kern w:val="0"/>
                <w:sz w:val="22"/>
                <w:szCs w:val="22"/>
              </w:rPr>
              <w:t xml:space="preserve">　1782.22</w:t>
            </w:r>
          </w:p>
        </w:tc>
      </w:tr>
    </w:tbl>
    <w:p w:rsidR="006C4DEA" w:rsidRDefault="00EE3F69">
      <w:pPr>
        <w:sectPr w:rsidR="006C4DEA">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6C4DEA" w:rsidRDefault="00EE3F69">
      <w:pPr>
        <w:jc w:val="center"/>
      </w:pPr>
      <w:r>
        <w:rPr>
          <w:rFonts w:ascii="方正小标宋简体" w:eastAsia="方正小标宋简体" w:hAnsi="宋体" w:cs="宋体" w:hint="eastAsia"/>
          <w:kern w:val="0"/>
          <w:sz w:val="36"/>
          <w:szCs w:val="36"/>
        </w:rPr>
        <w:lastRenderedPageBreak/>
        <w:t>表二：收入决算表</w:t>
      </w:r>
    </w:p>
    <w:p w:rsidR="006C4DEA" w:rsidRDefault="00EE3F69">
      <w:pPr>
        <w:jc w:val="right"/>
        <w:rPr>
          <w:sz w:val="22"/>
          <w:szCs w:val="22"/>
        </w:rPr>
      </w:pPr>
      <w:r>
        <w:rPr>
          <w:rFonts w:hint="eastAsia"/>
          <w:sz w:val="22"/>
          <w:szCs w:val="22"/>
        </w:rPr>
        <w:t>单位：万元</w:t>
      </w:r>
      <w:r>
        <w:rPr>
          <w:rFonts w:hint="eastAsia"/>
          <w:sz w:val="22"/>
          <w:szCs w:val="22"/>
        </w:rPr>
        <w:t xml:space="preserve">                     </w:t>
      </w:r>
    </w:p>
    <w:tbl>
      <w:tblPr>
        <w:tblW w:w="15014" w:type="dxa"/>
        <w:jc w:val="center"/>
        <w:tblLayout w:type="fixed"/>
        <w:tblLook w:val="04A0"/>
      </w:tblPr>
      <w:tblGrid>
        <w:gridCol w:w="1834"/>
        <w:gridCol w:w="1383"/>
        <w:gridCol w:w="2365"/>
        <w:gridCol w:w="1559"/>
        <w:gridCol w:w="1596"/>
        <w:gridCol w:w="1230"/>
        <w:gridCol w:w="1110"/>
        <w:gridCol w:w="1200"/>
        <w:gridCol w:w="1410"/>
        <w:gridCol w:w="1327"/>
      </w:tblGrid>
      <w:tr w:rsidR="006C4DEA">
        <w:trPr>
          <w:trHeight w:val="288"/>
          <w:jc w:val="center"/>
        </w:trPr>
        <w:tc>
          <w:tcPr>
            <w:tcW w:w="5582" w:type="dxa"/>
            <w:gridSpan w:val="3"/>
            <w:tcBorders>
              <w:top w:val="single" w:sz="4" w:space="0" w:color="auto"/>
              <w:left w:val="single" w:sz="4" w:space="0" w:color="auto"/>
              <w:bottom w:val="single" w:sz="4" w:space="0" w:color="auto"/>
              <w:right w:val="single" w:sz="4" w:space="0" w:color="000000"/>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230"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110" w:type="dxa"/>
            <w:vMerge w:val="restart"/>
            <w:tcBorders>
              <w:top w:val="single" w:sz="4" w:space="0" w:color="auto"/>
              <w:left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事业收入</w:t>
            </w:r>
          </w:p>
          <w:p w:rsidR="006C4DEA" w:rsidRDefault="006C4DEA">
            <w:pPr>
              <w:widowControl/>
              <w:jc w:val="left"/>
              <w:rPr>
                <w:rFonts w:ascii="宋体" w:hAnsi="宋体" w:cs="Arial"/>
                <w:color w:val="000000"/>
                <w:kern w:val="0"/>
                <w:sz w:val="22"/>
                <w:szCs w:val="22"/>
              </w:rPr>
            </w:pP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327"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6C4DEA">
        <w:trPr>
          <w:trHeight w:val="288"/>
          <w:jc w:val="center"/>
        </w:trPr>
        <w:tc>
          <w:tcPr>
            <w:tcW w:w="3217" w:type="dxa"/>
            <w:gridSpan w:val="2"/>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2365" w:type="dxa"/>
            <w:tcBorders>
              <w:top w:val="nil"/>
              <w:left w:val="nil"/>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kern w:val="0"/>
                <w:sz w:val="22"/>
                <w:szCs w:val="22"/>
              </w:rPr>
            </w:pPr>
          </w:p>
        </w:tc>
        <w:tc>
          <w:tcPr>
            <w:tcW w:w="1596"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kern w:val="0"/>
                <w:sz w:val="22"/>
                <w:szCs w:val="22"/>
              </w:rPr>
            </w:pPr>
          </w:p>
        </w:tc>
        <w:tc>
          <w:tcPr>
            <w:tcW w:w="1230"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kern w:val="0"/>
                <w:sz w:val="22"/>
                <w:szCs w:val="22"/>
              </w:rPr>
            </w:pPr>
          </w:p>
        </w:tc>
        <w:tc>
          <w:tcPr>
            <w:tcW w:w="1110" w:type="dxa"/>
            <w:vMerge/>
            <w:tcBorders>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color w:val="000000"/>
                <w:kern w:val="0"/>
                <w:sz w:val="22"/>
                <w:szCs w:val="22"/>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color w:val="000000"/>
                <w:kern w:val="0"/>
                <w:sz w:val="22"/>
                <w:szCs w:val="22"/>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kern w:val="0"/>
                <w:sz w:val="22"/>
                <w:szCs w:val="22"/>
              </w:rPr>
            </w:pPr>
          </w:p>
        </w:tc>
        <w:tc>
          <w:tcPr>
            <w:tcW w:w="1327"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color w:val="000000"/>
                <w:kern w:val="0"/>
                <w:sz w:val="22"/>
                <w:szCs w:val="22"/>
              </w:rPr>
            </w:pPr>
          </w:p>
        </w:tc>
      </w:tr>
      <w:tr w:rsidR="006C4DEA">
        <w:trPr>
          <w:trHeight w:val="569"/>
          <w:jc w:val="center"/>
        </w:trPr>
        <w:tc>
          <w:tcPr>
            <w:tcW w:w="5582" w:type="dxa"/>
            <w:gridSpan w:val="3"/>
            <w:tcBorders>
              <w:top w:val="single" w:sz="4" w:space="0" w:color="auto"/>
              <w:left w:val="single" w:sz="4" w:space="0" w:color="auto"/>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59" w:type="dxa"/>
            <w:tcBorders>
              <w:top w:val="nil"/>
              <w:left w:val="nil"/>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96" w:type="dxa"/>
            <w:tcBorders>
              <w:top w:val="nil"/>
              <w:left w:val="nil"/>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230" w:type="dxa"/>
            <w:tcBorders>
              <w:top w:val="nil"/>
              <w:left w:val="nil"/>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110" w:type="dxa"/>
            <w:tcBorders>
              <w:top w:val="nil"/>
              <w:left w:val="nil"/>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200" w:type="dxa"/>
            <w:tcBorders>
              <w:top w:val="nil"/>
              <w:left w:val="nil"/>
              <w:bottom w:val="single" w:sz="4" w:space="0" w:color="auto"/>
              <w:right w:val="single" w:sz="4" w:space="0" w:color="auto"/>
            </w:tcBorders>
          </w:tcPr>
          <w:p w:rsidR="006C4DEA" w:rsidRDefault="00EE3F69">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410" w:type="dxa"/>
            <w:tcBorders>
              <w:top w:val="nil"/>
              <w:left w:val="nil"/>
              <w:bottom w:val="single" w:sz="4" w:space="0" w:color="auto"/>
              <w:right w:val="single" w:sz="4" w:space="0" w:color="auto"/>
            </w:tcBorders>
          </w:tcPr>
          <w:p w:rsidR="006C4DEA" w:rsidRDefault="00EE3F69">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327" w:type="dxa"/>
            <w:tcBorders>
              <w:top w:val="nil"/>
              <w:left w:val="nil"/>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6C4DEA">
        <w:trPr>
          <w:trHeight w:val="288"/>
          <w:jc w:val="center"/>
        </w:trPr>
        <w:tc>
          <w:tcPr>
            <w:tcW w:w="5582" w:type="dxa"/>
            <w:gridSpan w:val="3"/>
            <w:tcBorders>
              <w:top w:val="single" w:sz="4" w:space="0" w:color="auto"/>
              <w:left w:val="single" w:sz="4" w:space="0" w:color="auto"/>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1309.88</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465.8</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844.08</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27.52</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27.52</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行政事业单位养老支出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27.52</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27.52</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2080502</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事业单位离退休</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1.84</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1.84</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2080505</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机关事业单位基本养老保险缴费支出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18.30</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18.30</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2080506　</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7.38</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7.38</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卫生健康支出　</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2101102</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事业单位医疗</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1264.52</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420.44</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844.08</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21201</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城乡社区管理事务</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99.40</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99.40</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2120199</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其他城乡社区管理事务支出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99.40</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99.40</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21203</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城乡社区公共设施</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2120399</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其他城乡社区公共设施支出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180.00</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21206</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建设市场管理与监督</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985.12</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141.04</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844.08</w:t>
            </w:r>
          </w:p>
        </w:tc>
      </w:tr>
      <w:tr w:rsidR="006C4DEA">
        <w:trPr>
          <w:trHeight w:val="334"/>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2120601</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建设市场管理与监督</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985.12　</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141.04　</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844.08</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9.15</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9.15</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90"/>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9.15</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9.15</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2210101</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9.04</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9.04</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344"/>
          <w:jc w:val="center"/>
        </w:trPr>
        <w:tc>
          <w:tcPr>
            <w:tcW w:w="1834"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2210203</w:t>
            </w:r>
          </w:p>
        </w:tc>
        <w:tc>
          <w:tcPr>
            <w:tcW w:w="3748" w:type="dxa"/>
            <w:gridSpan w:val="2"/>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购房补贴</w:t>
            </w:r>
          </w:p>
        </w:tc>
        <w:tc>
          <w:tcPr>
            <w:tcW w:w="1559"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0.11</w:t>
            </w:r>
          </w:p>
        </w:tc>
        <w:tc>
          <w:tcPr>
            <w:tcW w:w="159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0.11</w:t>
            </w:r>
          </w:p>
        </w:tc>
        <w:tc>
          <w:tcPr>
            <w:tcW w:w="123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1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20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410"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27"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bl>
    <w:p w:rsidR="006C4DEA" w:rsidRDefault="006C4DEA"/>
    <w:p w:rsidR="006C4DEA" w:rsidRDefault="00EE3F69">
      <w:r>
        <w:rPr>
          <w:rFonts w:hint="eastAsia"/>
        </w:rPr>
        <w:t>注：本表反映部门本年度取得的各项收入情况。</w:t>
      </w:r>
    </w:p>
    <w:p w:rsidR="006C4DEA" w:rsidRDefault="00EE3F69">
      <w:pPr>
        <w:jc w:val="center"/>
      </w:pPr>
      <w:r>
        <w:rPr>
          <w:rFonts w:ascii="方正小标宋简体" w:eastAsia="方正小标宋简体" w:hAnsi="宋体" w:cs="宋体" w:hint="eastAsia"/>
          <w:kern w:val="0"/>
          <w:sz w:val="36"/>
          <w:szCs w:val="36"/>
        </w:rPr>
        <w:lastRenderedPageBreak/>
        <w:t>表三：支出决算表</w:t>
      </w:r>
    </w:p>
    <w:p w:rsidR="006C4DEA" w:rsidRDefault="00EE3F69">
      <w:pPr>
        <w:jc w:val="right"/>
      </w:pPr>
      <w:r>
        <w:rPr>
          <w:rFonts w:hint="eastAsia"/>
          <w:sz w:val="22"/>
          <w:szCs w:val="22"/>
        </w:rPr>
        <w:t>单位：万元</w:t>
      </w:r>
    </w:p>
    <w:tbl>
      <w:tblPr>
        <w:tblW w:w="14424" w:type="dxa"/>
        <w:jc w:val="center"/>
        <w:tblLayout w:type="fixed"/>
        <w:tblLook w:val="04A0"/>
      </w:tblPr>
      <w:tblGrid>
        <w:gridCol w:w="1235"/>
        <w:gridCol w:w="3780"/>
        <w:gridCol w:w="1783"/>
        <w:gridCol w:w="1485"/>
        <w:gridCol w:w="1656"/>
        <w:gridCol w:w="1305"/>
        <w:gridCol w:w="1395"/>
        <w:gridCol w:w="1785"/>
      </w:tblGrid>
      <w:tr w:rsidR="006C4DEA">
        <w:trPr>
          <w:trHeight w:val="288"/>
          <w:jc w:val="center"/>
        </w:trPr>
        <w:tc>
          <w:tcPr>
            <w:tcW w:w="5015" w:type="dxa"/>
            <w:gridSpan w:val="2"/>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485"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656"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395"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6C4DEA">
        <w:trPr>
          <w:trHeight w:val="288"/>
          <w:jc w:val="center"/>
        </w:trPr>
        <w:tc>
          <w:tcPr>
            <w:tcW w:w="1235"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3780"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783"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kern w:val="0"/>
                <w:sz w:val="22"/>
                <w:szCs w:val="22"/>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color w:val="000000"/>
                <w:kern w:val="0"/>
                <w:sz w:val="22"/>
                <w:szCs w:val="22"/>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color w:val="000000"/>
                <w:kern w:val="0"/>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kern w:val="0"/>
                <w:sz w:val="22"/>
                <w:szCs w:val="22"/>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color w:val="000000"/>
                <w:kern w:val="0"/>
                <w:sz w:val="22"/>
                <w:szCs w:val="22"/>
              </w:rPr>
            </w:pPr>
          </w:p>
        </w:tc>
        <w:tc>
          <w:tcPr>
            <w:tcW w:w="1785"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Arial"/>
                <w:kern w:val="0"/>
                <w:sz w:val="22"/>
                <w:szCs w:val="22"/>
              </w:rPr>
            </w:pPr>
          </w:p>
        </w:tc>
      </w:tr>
      <w:tr w:rsidR="006C4DEA">
        <w:trPr>
          <w:trHeight w:val="288"/>
          <w:jc w:val="center"/>
        </w:trPr>
        <w:tc>
          <w:tcPr>
            <w:tcW w:w="5015" w:type="dxa"/>
            <w:gridSpan w:val="2"/>
            <w:tcBorders>
              <w:top w:val="single" w:sz="4" w:space="0" w:color="auto"/>
              <w:left w:val="single" w:sz="4" w:space="0" w:color="auto"/>
              <w:bottom w:val="single" w:sz="4" w:space="0" w:color="auto"/>
              <w:right w:val="single" w:sz="4" w:space="0" w:color="auto"/>
            </w:tcBorders>
          </w:tcPr>
          <w:p w:rsidR="006C4DEA" w:rsidRDefault="00EE3F69">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783" w:type="dxa"/>
            <w:tcBorders>
              <w:top w:val="nil"/>
              <w:left w:val="nil"/>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485" w:type="dxa"/>
            <w:tcBorders>
              <w:top w:val="nil"/>
              <w:left w:val="nil"/>
              <w:bottom w:val="single" w:sz="4" w:space="0" w:color="auto"/>
              <w:right w:val="single" w:sz="4" w:space="0" w:color="auto"/>
            </w:tcBorders>
          </w:tcPr>
          <w:p w:rsidR="006C4DEA" w:rsidRDefault="00EE3F6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656" w:type="dxa"/>
            <w:tcBorders>
              <w:top w:val="nil"/>
              <w:left w:val="nil"/>
              <w:bottom w:val="single" w:sz="4" w:space="0" w:color="auto"/>
              <w:right w:val="single" w:sz="4" w:space="0" w:color="auto"/>
            </w:tcBorders>
          </w:tcPr>
          <w:p w:rsidR="006C4DEA" w:rsidRDefault="00EE3F6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305" w:type="dxa"/>
            <w:tcBorders>
              <w:top w:val="nil"/>
              <w:left w:val="nil"/>
              <w:bottom w:val="single" w:sz="4" w:space="0" w:color="auto"/>
              <w:right w:val="single" w:sz="4" w:space="0" w:color="auto"/>
            </w:tcBorders>
          </w:tcPr>
          <w:p w:rsidR="006C4DEA" w:rsidRDefault="00EE3F69">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395" w:type="dxa"/>
            <w:tcBorders>
              <w:top w:val="nil"/>
              <w:left w:val="nil"/>
              <w:bottom w:val="single" w:sz="4" w:space="0" w:color="auto"/>
              <w:right w:val="single" w:sz="4" w:space="0" w:color="auto"/>
            </w:tcBorders>
          </w:tcPr>
          <w:p w:rsidR="006C4DEA" w:rsidRDefault="00EE3F6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785" w:type="dxa"/>
            <w:tcBorders>
              <w:top w:val="nil"/>
              <w:left w:val="nil"/>
              <w:bottom w:val="single" w:sz="4" w:space="0" w:color="auto"/>
              <w:right w:val="single" w:sz="4" w:space="0" w:color="auto"/>
            </w:tcBorders>
          </w:tcPr>
          <w:p w:rsidR="006C4DEA" w:rsidRDefault="00EE3F69">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6C4DEA">
        <w:trPr>
          <w:trHeight w:val="288"/>
          <w:jc w:val="center"/>
        </w:trPr>
        <w:tc>
          <w:tcPr>
            <w:tcW w:w="5015" w:type="dxa"/>
            <w:gridSpan w:val="2"/>
            <w:tcBorders>
              <w:top w:val="single" w:sz="4" w:space="0" w:color="auto"/>
              <w:left w:val="single" w:sz="4" w:space="0" w:color="auto"/>
              <w:bottom w:val="single" w:sz="4" w:space="0" w:color="auto"/>
              <w:right w:val="single" w:sz="4" w:space="0" w:color="auto"/>
            </w:tcBorders>
          </w:tcPr>
          <w:p w:rsidR="006C4DEA" w:rsidRDefault="00EE3F69">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合计</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1075.14</w:t>
            </w:r>
          </w:p>
        </w:tc>
        <w:tc>
          <w:tcPr>
            <w:tcW w:w="1485"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226.51</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848.63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95"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27.52</w:t>
            </w:r>
          </w:p>
        </w:tc>
        <w:tc>
          <w:tcPr>
            <w:tcW w:w="1485"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27.52</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行政事业单位养老支出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27.52</w:t>
            </w:r>
          </w:p>
        </w:tc>
        <w:tc>
          <w:tcPr>
            <w:tcW w:w="1485"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27.52</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2080502</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事业单位离退休</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1.84</w:t>
            </w:r>
          </w:p>
        </w:tc>
        <w:tc>
          <w:tcPr>
            <w:tcW w:w="1485"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1.84</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2080505</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机关事业单位基本养老保险缴费支出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18.30</w:t>
            </w:r>
          </w:p>
        </w:tc>
        <w:tc>
          <w:tcPr>
            <w:tcW w:w="1485"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18.30</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2080506　</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7.38</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7.38</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卫生健康支出　</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2101102</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事业单位医疗</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8.68</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0.00　</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1029.78</w:t>
            </w:r>
          </w:p>
        </w:tc>
        <w:tc>
          <w:tcPr>
            <w:tcW w:w="14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181.15</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848.63</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21201</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城乡社区管理事务</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92.52</w:t>
            </w:r>
          </w:p>
        </w:tc>
        <w:tc>
          <w:tcPr>
            <w:tcW w:w="1485"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74.38</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18.14</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2120199</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其他城乡社区管理事务支出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92.52</w:t>
            </w:r>
          </w:p>
        </w:tc>
        <w:tc>
          <w:tcPr>
            <w:tcW w:w="14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74.38</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18.14</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21203</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城乡社区公共设施</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164.19</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164.19</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2120399</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其他城乡社区公共设施支出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164.19</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164.19</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21206</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建设市场管理与监督</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773.08</w:t>
            </w:r>
          </w:p>
        </w:tc>
        <w:tc>
          <w:tcPr>
            <w:tcW w:w="14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106.77</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666.30</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2120601</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建设市场管理与监督</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773.08</w:t>
            </w:r>
          </w:p>
        </w:tc>
        <w:tc>
          <w:tcPr>
            <w:tcW w:w="14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106.77</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666.30</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221</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住房保障支出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9.15</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9.15</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住房改革支出</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9.15</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9.15</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2210101</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9.04</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9.04</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0.00</w:t>
            </w:r>
          </w:p>
        </w:tc>
      </w:tr>
      <w:tr w:rsidR="006C4DEA">
        <w:trPr>
          <w:trHeight w:val="288"/>
          <w:jc w:val="center"/>
        </w:trPr>
        <w:tc>
          <w:tcPr>
            <w:tcW w:w="1235" w:type="dxa"/>
            <w:tcBorders>
              <w:top w:val="nil"/>
              <w:left w:val="single" w:sz="4" w:space="0" w:color="auto"/>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2210203</w:t>
            </w:r>
          </w:p>
        </w:tc>
        <w:tc>
          <w:tcPr>
            <w:tcW w:w="3780" w:type="dxa"/>
            <w:tcBorders>
              <w:top w:val="nil"/>
              <w:left w:val="nil"/>
              <w:bottom w:val="single" w:sz="4" w:space="0" w:color="auto"/>
              <w:right w:val="single" w:sz="4" w:space="0" w:color="auto"/>
            </w:tcBorders>
          </w:tcPr>
          <w:p w:rsidR="006C4DEA" w:rsidRDefault="00EE3F69">
            <w:pPr>
              <w:widowControl/>
              <w:jc w:val="left"/>
              <w:rPr>
                <w:rFonts w:ascii="宋体" w:hAnsi="宋体" w:cs="Arial"/>
                <w:color w:val="000000"/>
                <w:kern w:val="0"/>
                <w:sz w:val="22"/>
                <w:szCs w:val="22"/>
              </w:rPr>
            </w:pPr>
            <w:r>
              <w:rPr>
                <w:rFonts w:ascii="宋体" w:hAnsi="宋体" w:cs="Arial" w:hint="eastAsia"/>
                <w:color w:val="000000"/>
                <w:kern w:val="0"/>
                <w:sz w:val="22"/>
                <w:szCs w:val="22"/>
              </w:rPr>
              <w:t>购房补贴</w:t>
            </w:r>
          </w:p>
        </w:tc>
        <w:tc>
          <w:tcPr>
            <w:tcW w:w="1783"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0.11</w:t>
            </w:r>
          </w:p>
        </w:tc>
        <w:tc>
          <w:tcPr>
            <w:tcW w:w="148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0.11</w:t>
            </w:r>
          </w:p>
        </w:tc>
        <w:tc>
          <w:tcPr>
            <w:tcW w:w="1656" w:type="dxa"/>
            <w:tcBorders>
              <w:top w:val="nil"/>
              <w:left w:val="nil"/>
              <w:bottom w:val="single" w:sz="4" w:space="0" w:color="auto"/>
              <w:right w:val="single" w:sz="4" w:space="0" w:color="auto"/>
            </w:tcBorders>
          </w:tcPr>
          <w:p w:rsidR="006C4DEA" w:rsidRDefault="00EE3F69">
            <w:pPr>
              <w:widowControl/>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0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0.00</w:t>
            </w:r>
          </w:p>
        </w:tc>
        <w:tc>
          <w:tcPr>
            <w:tcW w:w="1395" w:type="dxa"/>
            <w:tcBorders>
              <w:top w:val="nil"/>
              <w:left w:val="nil"/>
              <w:bottom w:val="single" w:sz="4" w:space="0" w:color="auto"/>
              <w:right w:val="single" w:sz="4" w:space="0" w:color="auto"/>
            </w:tcBorders>
          </w:tcPr>
          <w:p w:rsidR="006C4DEA" w:rsidRDefault="00EE3F69">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c>
          <w:tcPr>
            <w:tcW w:w="1785" w:type="dxa"/>
            <w:tcBorders>
              <w:top w:val="nil"/>
              <w:left w:val="nil"/>
              <w:bottom w:val="single" w:sz="4" w:space="0" w:color="auto"/>
              <w:right w:val="single" w:sz="4" w:space="0" w:color="auto"/>
            </w:tcBorders>
          </w:tcPr>
          <w:p w:rsidR="006C4DEA" w:rsidRDefault="00EE3F69">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0.00</w:t>
            </w:r>
          </w:p>
        </w:tc>
      </w:tr>
    </w:tbl>
    <w:p w:rsidR="006C4DEA" w:rsidRDefault="006C4DEA">
      <w:pPr>
        <w:jc w:val="right"/>
      </w:pPr>
    </w:p>
    <w:p w:rsidR="006C4DEA" w:rsidRDefault="00EE3F69">
      <w:pPr>
        <w:ind w:firstLineChars="300" w:firstLine="630"/>
      </w:pPr>
      <w:r>
        <w:rPr>
          <w:rFonts w:hint="eastAsia"/>
        </w:rPr>
        <w:t>注：本表反映部门本年度各项支出情况。</w:t>
      </w:r>
    </w:p>
    <w:tbl>
      <w:tblPr>
        <w:tblW w:w="0" w:type="auto"/>
        <w:tblInd w:w="91" w:type="dxa"/>
        <w:tblLayout w:type="fixed"/>
        <w:tblLook w:val="04A0"/>
      </w:tblPr>
      <w:tblGrid>
        <w:gridCol w:w="3076"/>
        <w:gridCol w:w="656"/>
        <w:gridCol w:w="1209"/>
        <w:gridCol w:w="3415"/>
        <w:gridCol w:w="571"/>
        <w:gridCol w:w="1686"/>
        <w:gridCol w:w="1685"/>
        <w:gridCol w:w="1729"/>
        <w:gridCol w:w="1802"/>
      </w:tblGrid>
      <w:tr w:rsidR="006C4DEA">
        <w:trPr>
          <w:trHeight w:val="390"/>
        </w:trPr>
        <w:tc>
          <w:tcPr>
            <w:tcW w:w="15829" w:type="dxa"/>
            <w:gridSpan w:val="9"/>
            <w:tcBorders>
              <w:top w:val="nil"/>
              <w:left w:val="nil"/>
              <w:bottom w:val="nil"/>
              <w:right w:val="nil"/>
            </w:tcBorders>
            <w:shd w:val="clear" w:color="auto" w:fill="auto"/>
            <w:noWrap/>
          </w:tcPr>
          <w:p w:rsidR="006C4DEA" w:rsidRDefault="00EE3F69">
            <w:pPr>
              <w:ind w:firstLineChars="1700" w:firstLine="6120"/>
              <w:rPr>
                <w:rFonts w:ascii="Arial" w:hAnsi="Arial" w:cs="Arial"/>
                <w:b/>
                <w:bCs/>
                <w:color w:val="000000"/>
                <w:sz w:val="20"/>
                <w:szCs w:val="20"/>
              </w:rPr>
            </w:pPr>
            <w:r>
              <w:rPr>
                <w:rFonts w:ascii="方正小标宋简体" w:eastAsia="方正小标宋简体" w:hAnsi="宋体" w:cs="宋体" w:hint="eastAsia"/>
                <w:kern w:val="0"/>
                <w:sz w:val="36"/>
                <w:szCs w:val="36"/>
              </w:rPr>
              <w:lastRenderedPageBreak/>
              <w:t>表四：财政拨款收入支出决算总表</w:t>
            </w:r>
          </w:p>
        </w:tc>
      </w:tr>
      <w:tr w:rsidR="006C4DEA">
        <w:trPr>
          <w:trHeight w:val="255"/>
        </w:trPr>
        <w:tc>
          <w:tcPr>
            <w:tcW w:w="3076" w:type="dxa"/>
            <w:tcBorders>
              <w:top w:val="nil"/>
              <w:left w:val="nil"/>
              <w:bottom w:val="nil"/>
              <w:right w:val="nil"/>
            </w:tcBorders>
            <w:shd w:val="clear" w:color="auto" w:fill="auto"/>
            <w:noWrap/>
            <w:vAlign w:val="bottom"/>
          </w:tcPr>
          <w:p w:rsidR="006C4DEA" w:rsidRDefault="006C4DEA">
            <w:pPr>
              <w:widowControl/>
              <w:jc w:val="left"/>
              <w:textAlignment w:val="bottom"/>
              <w:rPr>
                <w:rFonts w:ascii="宋体" w:hAnsi="宋体" w:cs="宋体"/>
                <w:color w:val="000000"/>
                <w:sz w:val="20"/>
                <w:szCs w:val="20"/>
              </w:rPr>
            </w:pPr>
          </w:p>
        </w:tc>
        <w:tc>
          <w:tcPr>
            <w:tcW w:w="656" w:type="dxa"/>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1209" w:type="dxa"/>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3415" w:type="dxa"/>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571" w:type="dxa"/>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1686" w:type="dxa"/>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1685" w:type="dxa"/>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1729" w:type="dxa"/>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1802" w:type="dxa"/>
            <w:tcBorders>
              <w:top w:val="nil"/>
              <w:left w:val="nil"/>
              <w:bottom w:val="nil"/>
              <w:right w:val="nil"/>
            </w:tcBorders>
            <w:shd w:val="clear" w:color="auto" w:fill="auto"/>
            <w:noWrap/>
            <w:vAlign w:val="bottom"/>
          </w:tcPr>
          <w:p w:rsidR="006C4DEA" w:rsidRDefault="00EE3F69">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单位：万元</w:t>
            </w:r>
          </w:p>
        </w:tc>
      </w:tr>
      <w:tr w:rsidR="006C4DEA">
        <w:trPr>
          <w:cantSplit/>
          <w:trHeight w:val="308"/>
        </w:trPr>
        <w:tc>
          <w:tcPr>
            <w:tcW w:w="494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收     入</w:t>
            </w:r>
          </w:p>
        </w:tc>
        <w:tc>
          <w:tcPr>
            <w:tcW w:w="10888"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支     出</w:t>
            </w:r>
          </w:p>
        </w:tc>
      </w:tr>
      <w:tr w:rsidR="006C4DEA">
        <w:trPr>
          <w:cantSplit/>
          <w:trHeight w:val="312"/>
        </w:trPr>
        <w:tc>
          <w:tcPr>
            <w:tcW w:w="3076" w:type="dxa"/>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656"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209"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3415"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71"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686" w:type="dxa"/>
            <w:vMerge w:val="restart"/>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685"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一般公共预算财政拨款</w:t>
            </w:r>
          </w:p>
        </w:tc>
        <w:tc>
          <w:tcPr>
            <w:tcW w:w="1729"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政府性基金预算财政拨款</w:t>
            </w:r>
          </w:p>
        </w:tc>
        <w:tc>
          <w:tcPr>
            <w:tcW w:w="1802"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国有资本经营预算财政拨款</w:t>
            </w:r>
          </w:p>
        </w:tc>
      </w:tr>
      <w:tr w:rsidR="006C4DEA">
        <w:trPr>
          <w:cantSplit/>
          <w:trHeight w:val="615"/>
        </w:trPr>
        <w:tc>
          <w:tcPr>
            <w:tcW w:w="3076" w:type="dxa"/>
            <w:vMerge/>
            <w:tcBorders>
              <w:top w:val="nil"/>
              <w:left w:val="single" w:sz="4" w:space="0" w:color="000000"/>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656"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1209"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3415"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571"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1686" w:type="dxa"/>
            <w:vMerge/>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center"/>
              <w:rPr>
                <w:rFonts w:ascii="宋体" w:hAnsi="宋体" w:cs="宋体"/>
                <w:color w:val="000000"/>
                <w:sz w:val="22"/>
                <w:szCs w:val="22"/>
              </w:rPr>
            </w:pPr>
          </w:p>
        </w:tc>
        <w:tc>
          <w:tcPr>
            <w:tcW w:w="1685"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1729"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1802"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center"/>
              <w:rPr>
                <w:rFonts w:ascii="宋体" w:hAnsi="宋体" w:cs="宋体"/>
                <w:color w:val="000000"/>
                <w:sz w:val="22"/>
                <w:szCs w:val="22"/>
              </w:rPr>
            </w:pP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center"/>
              <w:rPr>
                <w:rFonts w:ascii="宋体" w:hAnsi="宋体" w:cs="宋体"/>
                <w:color w:val="000000"/>
                <w:sz w:val="22"/>
                <w:szCs w:val="22"/>
              </w:rPr>
            </w:pP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一、一般公共预算财政拨款</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465.80</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一、一般公共服务支出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二、政府性基金预算财政拨款</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二、外交支出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34</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三、国有资本经营财政拨款</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三、国防支出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35</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四、公共安全支出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五、教育支出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37</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六、科学技术支出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38</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七、文化旅游体育与传媒支出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八、社会保障和就业支出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27.52</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27.52</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九、卫生健康支出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41</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十、节能环保支出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42</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十一、城乡社区支出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43</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396.74</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396.74</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十二、农林水支出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44</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十三、交通运输支出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45</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十四、资源勘探工业信息等支出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46</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十五、商业服务业等支出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47</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十六、金融支出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48</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十七、援助其他地区支出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49</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十八、自然资源海洋气象等支出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十九、住房保障支出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51</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9.15</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9.15</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二十、粮油物资储备支出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52</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二十一、国有资本经营预算支出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53</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二十二、灾害防治及应急管理支出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54</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二十三、其他支出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55</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center"/>
              <w:rPr>
                <w:rFonts w:ascii="宋体" w:hAnsi="宋体" w:cs="宋体"/>
                <w:b/>
                <w:bCs/>
                <w:color w:val="000000"/>
                <w:sz w:val="20"/>
                <w:szCs w:val="20"/>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二十四、债务还本支出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56</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0"/>
                <w:szCs w:val="20"/>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二十五、债务付息支出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57</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0"/>
                <w:szCs w:val="20"/>
              </w:rPr>
            </w:pP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二十六、抗疫特别国债安排的支出</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58</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本年收入合计</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465.80</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本年支出合计</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59</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442.09</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442.09</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年初财政拨款结转和结余</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70.21</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年末财政拨款结转和结余</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60</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93.91</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93.91</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一般公共预算财政拨款</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70.21</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61</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政府性基金预算财政拨款</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62</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r>
      <w:tr w:rsidR="006C4DEA">
        <w:trPr>
          <w:cantSplit/>
          <w:trHeight w:val="308"/>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国有资本经营预算财政拨款</w:t>
            </w:r>
          </w:p>
        </w:tc>
        <w:tc>
          <w:tcPr>
            <w:tcW w:w="65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63</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r>
      <w:tr w:rsidR="006C4DEA">
        <w:trPr>
          <w:cantSplit/>
          <w:trHeight w:val="227"/>
        </w:trPr>
        <w:tc>
          <w:tcPr>
            <w:tcW w:w="3076"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w:t>
            </w:r>
          </w:p>
        </w:tc>
        <w:tc>
          <w:tcPr>
            <w:tcW w:w="656" w:type="dxa"/>
            <w:tcBorders>
              <w:top w:val="nil"/>
              <w:left w:val="nil"/>
              <w:bottom w:val="single" w:sz="8"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120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536.00</w:t>
            </w:r>
          </w:p>
        </w:tc>
        <w:tc>
          <w:tcPr>
            <w:tcW w:w="341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w:t>
            </w:r>
          </w:p>
        </w:tc>
        <w:tc>
          <w:tcPr>
            <w:tcW w:w="57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64</w:t>
            </w:r>
          </w:p>
        </w:tc>
        <w:tc>
          <w:tcPr>
            <w:tcW w:w="168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536.00</w:t>
            </w:r>
          </w:p>
        </w:tc>
        <w:tc>
          <w:tcPr>
            <w:tcW w:w="1685"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536.00</w:t>
            </w:r>
          </w:p>
        </w:tc>
        <w:tc>
          <w:tcPr>
            <w:tcW w:w="1729"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1802"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14027" w:type="dxa"/>
            <w:gridSpan w:val="8"/>
            <w:tcBorders>
              <w:top w:val="nil"/>
              <w:left w:val="nil"/>
              <w:bottom w:val="nil"/>
              <w:right w:val="nil"/>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注：本表反映部门本年度一般公共预算财政拨款、政府性基金预算财政拨款和国有资本经营预算财政拨款的总收支和年末结转结余情况。</w:t>
            </w:r>
          </w:p>
        </w:tc>
        <w:tc>
          <w:tcPr>
            <w:tcW w:w="1802" w:type="dxa"/>
            <w:tcBorders>
              <w:top w:val="nil"/>
              <w:left w:val="nil"/>
              <w:bottom w:val="nil"/>
              <w:right w:val="nil"/>
            </w:tcBorders>
            <w:shd w:val="clear" w:color="auto" w:fill="auto"/>
            <w:noWrap/>
            <w:vAlign w:val="center"/>
          </w:tcPr>
          <w:p w:rsidR="006C4DEA" w:rsidRDefault="006C4DEA">
            <w:pPr>
              <w:jc w:val="left"/>
              <w:rPr>
                <w:rFonts w:ascii="宋体" w:hAnsi="宋体" w:cs="宋体"/>
                <w:color w:val="000000"/>
                <w:sz w:val="20"/>
                <w:szCs w:val="20"/>
              </w:rPr>
            </w:pPr>
          </w:p>
        </w:tc>
      </w:tr>
    </w:tbl>
    <w:p w:rsidR="006C4DEA" w:rsidRDefault="006C4DEA">
      <w:pPr>
        <w:ind w:firstLineChars="1700" w:firstLine="6120"/>
        <w:rPr>
          <w:rFonts w:ascii="方正小标宋简体" w:eastAsia="方正小标宋简体" w:hAnsi="宋体" w:cs="宋体"/>
          <w:kern w:val="0"/>
          <w:sz w:val="36"/>
          <w:szCs w:val="36"/>
        </w:rPr>
      </w:pPr>
    </w:p>
    <w:p w:rsidR="006C4DEA" w:rsidRDefault="006C4DEA">
      <w:pPr>
        <w:ind w:firstLineChars="1700" w:firstLine="6120"/>
        <w:rPr>
          <w:rFonts w:ascii="方正小标宋简体" w:eastAsia="方正小标宋简体" w:hAnsi="宋体" w:cs="宋体"/>
          <w:kern w:val="0"/>
          <w:sz w:val="36"/>
          <w:szCs w:val="36"/>
        </w:rPr>
      </w:pPr>
    </w:p>
    <w:p w:rsidR="006C4DEA" w:rsidRDefault="006C4DEA">
      <w:pPr>
        <w:ind w:firstLineChars="1700" w:firstLine="6120"/>
        <w:rPr>
          <w:rFonts w:ascii="方正小标宋简体" w:eastAsia="方正小标宋简体" w:hAnsi="宋体" w:cs="宋体"/>
          <w:kern w:val="0"/>
          <w:sz w:val="36"/>
          <w:szCs w:val="36"/>
        </w:rPr>
      </w:pPr>
    </w:p>
    <w:p w:rsidR="006C4DEA" w:rsidRDefault="006C4DEA">
      <w:pPr>
        <w:ind w:firstLineChars="1700" w:firstLine="6120"/>
        <w:rPr>
          <w:rFonts w:ascii="方正小标宋简体" w:eastAsia="方正小标宋简体" w:hAnsi="宋体" w:cs="宋体"/>
          <w:kern w:val="0"/>
          <w:sz w:val="36"/>
          <w:szCs w:val="36"/>
        </w:rPr>
      </w:pPr>
    </w:p>
    <w:p w:rsidR="006C4DEA" w:rsidRDefault="006C4DEA">
      <w:pPr>
        <w:ind w:firstLineChars="1700" w:firstLine="6120"/>
        <w:rPr>
          <w:rFonts w:ascii="方正小标宋简体" w:eastAsia="方正小标宋简体" w:hAnsi="宋体" w:cs="宋体"/>
          <w:kern w:val="0"/>
          <w:sz w:val="36"/>
          <w:szCs w:val="36"/>
        </w:rPr>
      </w:pPr>
    </w:p>
    <w:p w:rsidR="006C4DEA" w:rsidRDefault="006C4DEA">
      <w:pPr>
        <w:ind w:firstLineChars="1700" w:firstLine="6120"/>
        <w:rPr>
          <w:rFonts w:ascii="方正小标宋简体" w:eastAsia="方正小标宋简体" w:hAnsi="宋体" w:cs="宋体"/>
          <w:kern w:val="0"/>
          <w:sz w:val="36"/>
          <w:szCs w:val="36"/>
        </w:rPr>
      </w:pPr>
    </w:p>
    <w:p w:rsidR="006C4DEA" w:rsidRDefault="006C4DEA">
      <w:pPr>
        <w:ind w:firstLineChars="1700" w:firstLine="6120"/>
        <w:rPr>
          <w:rFonts w:ascii="方正小标宋简体" w:eastAsia="方正小标宋简体" w:hAnsi="宋体" w:cs="宋体"/>
          <w:kern w:val="0"/>
          <w:sz w:val="36"/>
          <w:szCs w:val="36"/>
        </w:rPr>
      </w:pPr>
    </w:p>
    <w:p w:rsidR="006C4DEA" w:rsidRDefault="006C4DEA">
      <w:pPr>
        <w:ind w:firstLineChars="1700" w:firstLine="6120"/>
        <w:rPr>
          <w:rFonts w:ascii="方正小标宋简体" w:eastAsia="方正小标宋简体" w:hAnsi="宋体" w:cs="宋体"/>
          <w:kern w:val="0"/>
          <w:sz w:val="36"/>
          <w:szCs w:val="36"/>
        </w:rPr>
      </w:pPr>
    </w:p>
    <w:p w:rsidR="006C4DEA" w:rsidRDefault="006C4DEA">
      <w:pPr>
        <w:ind w:firstLineChars="1700" w:firstLine="6120"/>
        <w:rPr>
          <w:rFonts w:ascii="方正小标宋简体" w:eastAsia="方正小标宋简体" w:hAnsi="宋体" w:cs="宋体"/>
          <w:kern w:val="0"/>
          <w:sz w:val="36"/>
          <w:szCs w:val="36"/>
        </w:rPr>
      </w:pPr>
    </w:p>
    <w:tbl>
      <w:tblPr>
        <w:tblW w:w="14119" w:type="dxa"/>
        <w:tblInd w:w="1097" w:type="dxa"/>
        <w:tblLayout w:type="fixed"/>
        <w:tblLook w:val="04A0"/>
      </w:tblPr>
      <w:tblGrid>
        <w:gridCol w:w="236"/>
        <w:gridCol w:w="256"/>
        <w:gridCol w:w="929"/>
        <w:gridCol w:w="984"/>
        <w:gridCol w:w="3573"/>
        <w:gridCol w:w="984"/>
        <w:gridCol w:w="1488"/>
        <w:gridCol w:w="641"/>
        <w:gridCol w:w="1601"/>
        <w:gridCol w:w="84"/>
        <w:gridCol w:w="2445"/>
        <w:gridCol w:w="898"/>
      </w:tblGrid>
      <w:tr w:rsidR="006C4DEA">
        <w:trPr>
          <w:gridAfter w:val="1"/>
          <w:wAfter w:w="898" w:type="dxa"/>
          <w:trHeight w:val="390"/>
        </w:trPr>
        <w:tc>
          <w:tcPr>
            <w:tcW w:w="13221" w:type="dxa"/>
            <w:gridSpan w:val="11"/>
            <w:tcBorders>
              <w:top w:val="nil"/>
              <w:left w:val="nil"/>
              <w:bottom w:val="nil"/>
              <w:right w:val="nil"/>
            </w:tcBorders>
            <w:shd w:val="clear" w:color="auto" w:fill="auto"/>
            <w:noWrap/>
            <w:vAlign w:val="bottom"/>
          </w:tcPr>
          <w:p w:rsidR="006C4DEA" w:rsidRDefault="00EE3F69">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6C4DEA" w:rsidRDefault="006C4DEA">
            <w:pPr>
              <w:rPr>
                <w:rFonts w:ascii="Arial" w:hAnsi="Arial" w:cs="Arial"/>
                <w:color w:val="000000"/>
                <w:sz w:val="20"/>
                <w:szCs w:val="20"/>
              </w:rPr>
            </w:pPr>
          </w:p>
        </w:tc>
      </w:tr>
      <w:tr w:rsidR="006C4DEA">
        <w:trPr>
          <w:trHeight w:val="255"/>
        </w:trPr>
        <w:tc>
          <w:tcPr>
            <w:tcW w:w="236" w:type="dxa"/>
            <w:tcBorders>
              <w:top w:val="nil"/>
              <w:left w:val="nil"/>
              <w:bottom w:val="nil"/>
              <w:right w:val="nil"/>
            </w:tcBorders>
            <w:shd w:val="clear" w:color="auto" w:fill="auto"/>
            <w:noWrap/>
            <w:vAlign w:val="bottom"/>
          </w:tcPr>
          <w:p w:rsidR="006C4DEA" w:rsidRDefault="006C4DEA">
            <w:pPr>
              <w:widowControl/>
              <w:jc w:val="left"/>
              <w:textAlignment w:val="bottom"/>
              <w:rPr>
                <w:rFonts w:ascii="宋体" w:hAnsi="宋体" w:cs="宋体"/>
                <w:color w:val="000000"/>
                <w:sz w:val="20"/>
                <w:szCs w:val="20"/>
              </w:rPr>
            </w:pPr>
          </w:p>
        </w:tc>
        <w:tc>
          <w:tcPr>
            <w:tcW w:w="256" w:type="dxa"/>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1913" w:type="dxa"/>
            <w:gridSpan w:val="2"/>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4557" w:type="dxa"/>
            <w:gridSpan w:val="2"/>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2129" w:type="dxa"/>
            <w:gridSpan w:val="2"/>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1685" w:type="dxa"/>
            <w:gridSpan w:val="2"/>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3343" w:type="dxa"/>
            <w:gridSpan w:val="2"/>
            <w:tcBorders>
              <w:top w:val="nil"/>
              <w:left w:val="nil"/>
              <w:bottom w:val="nil"/>
              <w:right w:val="nil"/>
            </w:tcBorders>
            <w:shd w:val="clear" w:color="auto" w:fill="auto"/>
            <w:noWrap/>
            <w:vAlign w:val="bottom"/>
          </w:tcPr>
          <w:p w:rsidR="006C4DEA" w:rsidRDefault="00EE3F69">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 xml:space="preserve">    单位：万元</w:t>
            </w:r>
          </w:p>
        </w:tc>
      </w:tr>
      <w:tr w:rsidR="006C4DEA">
        <w:trPr>
          <w:gridAfter w:val="1"/>
          <w:wAfter w:w="898" w:type="dxa"/>
          <w:trHeight w:val="308"/>
        </w:trPr>
        <w:tc>
          <w:tcPr>
            <w:tcW w:w="5978"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7243" w:type="dxa"/>
            <w:gridSpan w:val="6"/>
            <w:tcBorders>
              <w:top w:val="single" w:sz="4" w:space="0" w:color="000000"/>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6C4DEA">
        <w:trPr>
          <w:gridAfter w:val="1"/>
          <w:wAfter w:w="898" w:type="dxa"/>
          <w:trHeight w:val="312"/>
        </w:trPr>
        <w:tc>
          <w:tcPr>
            <w:tcW w:w="1421"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4557" w:type="dxa"/>
            <w:gridSpan w:val="2"/>
            <w:vMerge w:val="restart"/>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2472" w:type="dxa"/>
            <w:gridSpan w:val="2"/>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2242" w:type="dxa"/>
            <w:gridSpan w:val="2"/>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2529" w:type="dxa"/>
            <w:gridSpan w:val="2"/>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6C4DEA">
        <w:trPr>
          <w:gridAfter w:val="1"/>
          <w:wAfter w:w="898" w:type="dxa"/>
          <w:trHeight w:val="312"/>
        </w:trPr>
        <w:tc>
          <w:tcPr>
            <w:tcW w:w="1421"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4557" w:type="dxa"/>
            <w:gridSpan w:val="2"/>
            <w:vMerge/>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center"/>
              <w:rPr>
                <w:rFonts w:ascii="宋体" w:hAnsi="宋体" w:cs="宋体"/>
                <w:color w:val="000000"/>
                <w:sz w:val="22"/>
                <w:szCs w:val="22"/>
              </w:rPr>
            </w:pPr>
          </w:p>
        </w:tc>
        <w:tc>
          <w:tcPr>
            <w:tcW w:w="2472" w:type="dxa"/>
            <w:gridSpan w:val="2"/>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2242" w:type="dxa"/>
            <w:gridSpan w:val="2"/>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2529" w:type="dxa"/>
            <w:gridSpan w:val="2"/>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r>
      <w:tr w:rsidR="006C4DEA">
        <w:trPr>
          <w:gridAfter w:val="1"/>
          <w:wAfter w:w="898" w:type="dxa"/>
          <w:trHeight w:val="312"/>
        </w:trPr>
        <w:tc>
          <w:tcPr>
            <w:tcW w:w="1421"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4557" w:type="dxa"/>
            <w:gridSpan w:val="2"/>
            <w:vMerge/>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center"/>
              <w:rPr>
                <w:rFonts w:ascii="宋体" w:hAnsi="宋体" w:cs="宋体"/>
                <w:color w:val="000000"/>
                <w:sz w:val="22"/>
                <w:szCs w:val="22"/>
              </w:rPr>
            </w:pPr>
          </w:p>
        </w:tc>
        <w:tc>
          <w:tcPr>
            <w:tcW w:w="2472" w:type="dxa"/>
            <w:gridSpan w:val="2"/>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2242" w:type="dxa"/>
            <w:gridSpan w:val="2"/>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2529" w:type="dxa"/>
            <w:gridSpan w:val="2"/>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r>
      <w:tr w:rsidR="006C4DEA">
        <w:trPr>
          <w:gridAfter w:val="1"/>
          <w:wAfter w:w="898" w:type="dxa"/>
          <w:trHeight w:val="308"/>
        </w:trPr>
        <w:tc>
          <w:tcPr>
            <w:tcW w:w="5978" w:type="dxa"/>
            <w:gridSpan w:val="5"/>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2472" w:type="dxa"/>
            <w:gridSpan w:val="2"/>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2242" w:type="dxa"/>
            <w:gridSpan w:val="2"/>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2529" w:type="dxa"/>
            <w:gridSpan w:val="2"/>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6C4DEA">
        <w:trPr>
          <w:gridAfter w:val="1"/>
          <w:wAfter w:w="898" w:type="dxa"/>
          <w:trHeight w:val="308"/>
        </w:trPr>
        <w:tc>
          <w:tcPr>
            <w:tcW w:w="5978" w:type="dxa"/>
            <w:gridSpan w:val="5"/>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2472" w:type="dxa"/>
            <w:gridSpan w:val="2"/>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b/>
                <w:bCs/>
                <w:color w:val="000000"/>
                <w:sz w:val="22"/>
                <w:szCs w:val="22"/>
              </w:rPr>
            </w:pPr>
            <w:r>
              <w:rPr>
                <w:rFonts w:ascii="宋体" w:hAnsi="宋体" w:cs="宋体" w:hint="eastAsia"/>
                <w:b/>
                <w:bCs/>
                <w:color w:val="000000"/>
                <w:kern w:val="0"/>
                <w:sz w:val="22"/>
                <w:szCs w:val="22"/>
              </w:rPr>
              <w:t>442.09</w:t>
            </w:r>
          </w:p>
        </w:tc>
        <w:tc>
          <w:tcPr>
            <w:tcW w:w="2242" w:type="dxa"/>
            <w:gridSpan w:val="2"/>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b/>
                <w:bCs/>
                <w:color w:val="000000"/>
                <w:sz w:val="22"/>
                <w:szCs w:val="22"/>
              </w:rPr>
            </w:pPr>
            <w:r>
              <w:rPr>
                <w:rFonts w:ascii="宋体" w:hAnsi="宋体" w:cs="宋体" w:hint="eastAsia"/>
                <w:b/>
                <w:bCs/>
                <w:color w:val="000000"/>
                <w:kern w:val="0"/>
                <w:sz w:val="22"/>
                <w:szCs w:val="22"/>
              </w:rPr>
              <w:t>226.51</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b/>
                <w:bCs/>
                <w:color w:val="000000"/>
                <w:sz w:val="22"/>
                <w:szCs w:val="22"/>
              </w:rPr>
            </w:pPr>
            <w:r>
              <w:rPr>
                <w:rFonts w:ascii="宋体" w:hAnsi="宋体" w:cs="宋体" w:hint="eastAsia"/>
                <w:b/>
                <w:bCs/>
                <w:color w:val="000000"/>
                <w:kern w:val="0"/>
                <w:sz w:val="22"/>
                <w:szCs w:val="22"/>
              </w:rPr>
              <w:t>215.59</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4557" w:type="dxa"/>
            <w:gridSpan w:val="2"/>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社会保障和就业支出</w:t>
            </w:r>
          </w:p>
        </w:tc>
        <w:tc>
          <w:tcPr>
            <w:tcW w:w="2472" w:type="dxa"/>
            <w:gridSpan w:val="2"/>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27.52</w:t>
            </w:r>
          </w:p>
        </w:tc>
        <w:tc>
          <w:tcPr>
            <w:tcW w:w="2242" w:type="dxa"/>
            <w:gridSpan w:val="2"/>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27.52</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20805</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行政事业单位养老支出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27.52</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27.52</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2080502</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事业单位离退休</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1.84</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1.84</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2080505</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机关事业单位基本养老保险缴费支出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18.30</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18.30</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2080506</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机关事业单位职业年金缴费支出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7.38</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7.38</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卫生健康支出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21011</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行政事业单位医疗</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2101102</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事业单位医疗</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212</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城乡社区支出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396.74</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181.15</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215.59</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21201</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城乡社区管理事务</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92.52</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74.38</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18.14</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2120199</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其他城乡社区管理事务支出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92.52</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74.38</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18.14</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21203</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城乡社区公共设施</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164.19</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164.19</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2120399</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其他城乡社区公共设施支出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164.19</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164.19</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21206</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建设市场管理与监督</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140.03</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106.77</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33.26</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2120601</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建设市场管理与监督</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140.03</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106.77</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33.26</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住房保障支出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9.15</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9.15</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22102</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住房改革支出</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9.15</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9.15</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2210201</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住房公积金</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9.04</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9.04</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421" w:type="dxa"/>
            <w:gridSpan w:val="3"/>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2210203</w:t>
            </w:r>
          </w:p>
        </w:tc>
        <w:tc>
          <w:tcPr>
            <w:tcW w:w="4557"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购房补贴</w:t>
            </w:r>
          </w:p>
        </w:tc>
        <w:tc>
          <w:tcPr>
            <w:tcW w:w="247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0.11</w:t>
            </w:r>
          </w:p>
        </w:tc>
        <w:tc>
          <w:tcPr>
            <w:tcW w:w="2242"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0.11</w:t>
            </w:r>
          </w:p>
        </w:tc>
        <w:tc>
          <w:tcPr>
            <w:tcW w:w="2529" w:type="dxa"/>
            <w:gridSpan w:val="2"/>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gridAfter w:val="1"/>
          <w:wAfter w:w="898" w:type="dxa"/>
          <w:trHeight w:val="308"/>
        </w:trPr>
        <w:tc>
          <w:tcPr>
            <w:tcW w:w="13221" w:type="dxa"/>
            <w:gridSpan w:val="11"/>
            <w:tcBorders>
              <w:top w:val="nil"/>
              <w:left w:val="nil"/>
              <w:bottom w:val="nil"/>
              <w:right w:val="nil"/>
            </w:tcBorders>
            <w:shd w:val="clear" w:color="auto" w:fill="auto"/>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注：本表反映部门本年度一般公共预算财政拨款支出情况。</w:t>
            </w:r>
          </w:p>
        </w:tc>
      </w:tr>
    </w:tbl>
    <w:p w:rsidR="006C4DEA" w:rsidRDefault="006C4DEA"/>
    <w:tbl>
      <w:tblPr>
        <w:tblW w:w="0" w:type="auto"/>
        <w:tblInd w:w="93" w:type="dxa"/>
        <w:shd w:val="clear" w:color="auto" w:fill="FFFFFF" w:themeFill="background1"/>
        <w:tblLayout w:type="fixed"/>
        <w:tblLook w:val="04A0"/>
      </w:tblPr>
      <w:tblGrid>
        <w:gridCol w:w="969"/>
        <w:gridCol w:w="3516"/>
        <w:gridCol w:w="876"/>
        <w:gridCol w:w="970"/>
        <w:gridCol w:w="2416"/>
        <w:gridCol w:w="876"/>
        <w:gridCol w:w="970"/>
        <w:gridCol w:w="4261"/>
        <w:gridCol w:w="973"/>
      </w:tblGrid>
      <w:tr w:rsidR="006C4DEA">
        <w:trPr>
          <w:trHeight w:val="390"/>
        </w:trPr>
        <w:tc>
          <w:tcPr>
            <w:tcW w:w="14854" w:type="dxa"/>
            <w:gridSpan w:val="8"/>
            <w:tcBorders>
              <w:top w:val="nil"/>
              <w:left w:val="nil"/>
              <w:bottom w:val="nil"/>
              <w:right w:val="nil"/>
            </w:tcBorders>
            <w:shd w:val="clear" w:color="auto" w:fill="FFFFFF" w:themeFill="background1"/>
            <w:noWrap/>
            <w:vAlign w:val="bottom"/>
          </w:tcPr>
          <w:p w:rsidR="006C4DEA" w:rsidRDefault="00EE3F69">
            <w:pPr>
              <w:jc w:val="center"/>
              <w:rPr>
                <w:rFonts w:ascii="Arial" w:hAnsi="Arial" w:cs="Arial"/>
                <w:color w:val="000000"/>
                <w:sz w:val="20"/>
                <w:szCs w:val="20"/>
              </w:rPr>
            </w:pPr>
            <w:r>
              <w:rPr>
                <w:rFonts w:ascii="方正小标宋简体" w:eastAsia="方正小标宋简体" w:hAnsi="宋体" w:cs="宋体" w:hint="eastAsia"/>
                <w:kern w:val="0"/>
                <w:sz w:val="36"/>
                <w:szCs w:val="36"/>
              </w:rPr>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tc>
        <w:tc>
          <w:tcPr>
            <w:tcW w:w="973" w:type="dxa"/>
            <w:tcBorders>
              <w:top w:val="nil"/>
              <w:left w:val="nil"/>
              <w:bottom w:val="nil"/>
              <w:right w:val="nil"/>
            </w:tcBorders>
            <w:shd w:val="clear" w:color="auto" w:fill="FFFFFF" w:themeFill="background1"/>
            <w:noWrap/>
            <w:vAlign w:val="bottom"/>
          </w:tcPr>
          <w:p w:rsidR="006C4DEA" w:rsidRDefault="006C4DEA">
            <w:pPr>
              <w:rPr>
                <w:rFonts w:ascii="Arial" w:hAnsi="Arial" w:cs="Arial"/>
                <w:color w:val="000000"/>
                <w:sz w:val="20"/>
                <w:szCs w:val="20"/>
              </w:rPr>
            </w:pPr>
          </w:p>
        </w:tc>
      </w:tr>
      <w:tr w:rsidR="006C4DEA">
        <w:trPr>
          <w:trHeight w:val="255"/>
        </w:trPr>
        <w:tc>
          <w:tcPr>
            <w:tcW w:w="969" w:type="dxa"/>
            <w:tcBorders>
              <w:top w:val="nil"/>
              <w:left w:val="nil"/>
              <w:bottom w:val="nil"/>
              <w:right w:val="nil"/>
            </w:tcBorders>
            <w:shd w:val="clear" w:color="auto" w:fill="FFFFFF" w:themeFill="background1"/>
            <w:noWrap/>
            <w:vAlign w:val="bottom"/>
          </w:tcPr>
          <w:p w:rsidR="006C4DEA" w:rsidRDefault="006C4DEA">
            <w:pPr>
              <w:rPr>
                <w:rFonts w:ascii="Arial" w:hAnsi="Arial" w:cs="Arial"/>
                <w:color w:val="000000"/>
                <w:sz w:val="20"/>
                <w:szCs w:val="20"/>
              </w:rPr>
            </w:pPr>
          </w:p>
        </w:tc>
        <w:tc>
          <w:tcPr>
            <w:tcW w:w="3516" w:type="dxa"/>
            <w:tcBorders>
              <w:top w:val="nil"/>
              <w:left w:val="nil"/>
              <w:bottom w:val="nil"/>
              <w:right w:val="nil"/>
            </w:tcBorders>
            <w:shd w:val="clear" w:color="auto" w:fill="FFFFFF" w:themeFill="background1"/>
            <w:noWrap/>
            <w:vAlign w:val="bottom"/>
          </w:tcPr>
          <w:p w:rsidR="006C4DEA" w:rsidRDefault="006C4DEA">
            <w:pPr>
              <w:rPr>
                <w:rFonts w:ascii="Arial" w:hAnsi="Arial" w:cs="Arial"/>
                <w:color w:val="000000"/>
                <w:sz w:val="20"/>
                <w:szCs w:val="20"/>
              </w:rPr>
            </w:pPr>
          </w:p>
        </w:tc>
        <w:tc>
          <w:tcPr>
            <w:tcW w:w="876" w:type="dxa"/>
            <w:tcBorders>
              <w:top w:val="nil"/>
              <w:left w:val="nil"/>
              <w:bottom w:val="nil"/>
              <w:right w:val="nil"/>
            </w:tcBorders>
            <w:shd w:val="clear" w:color="auto" w:fill="FFFFFF" w:themeFill="background1"/>
            <w:noWrap/>
            <w:vAlign w:val="bottom"/>
          </w:tcPr>
          <w:p w:rsidR="006C4DEA" w:rsidRDefault="006C4DEA">
            <w:pPr>
              <w:rPr>
                <w:rFonts w:ascii="Arial" w:hAnsi="Arial" w:cs="Arial"/>
                <w:color w:val="000000"/>
                <w:sz w:val="20"/>
                <w:szCs w:val="20"/>
              </w:rPr>
            </w:pPr>
          </w:p>
        </w:tc>
        <w:tc>
          <w:tcPr>
            <w:tcW w:w="970" w:type="dxa"/>
            <w:tcBorders>
              <w:top w:val="nil"/>
              <w:left w:val="nil"/>
              <w:bottom w:val="nil"/>
              <w:right w:val="nil"/>
            </w:tcBorders>
            <w:shd w:val="clear" w:color="auto" w:fill="FFFFFF" w:themeFill="background1"/>
            <w:noWrap/>
            <w:vAlign w:val="bottom"/>
          </w:tcPr>
          <w:p w:rsidR="006C4DEA" w:rsidRDefault="006C4DEA">
            <w:pPr>
              <w:rPr>
                <w:rFonts w:ascii="Arial" w:hAnsi="Arial" w:cs="Arial"/>
                <w:color w:val="000000"/>
                <w:sz w:val="20"/>
                <w:szCs w:val="20"/>
              </w:rPr>
            </w:pPr>
          </w:p>
        </w:tc>
        <w:tc>
          <w:tcPr>
            <w:tcW w:w="2416" w:type="dxa"/>
            <w:tcBorders>
              <w:top w:val="nil"/>
              <w:left w:val="nil"/>
              <w:bottom w:val="nil"/>
              <w:right w:val="nil"/>
            </w:tcBorders>
            <w:shd w:val="clear" w:color="auto" w:fill="FFFFFF" w:themeFill="background1"/>
            <w:noWrap/>
            <w:vAlign w:val="bottom"/>
          </w:tcPr>
          <w:p w:rsidR="006C4DEA" w:rsidRDefault="006C4DEA">
            <w:pPr>
              <w:rPr>
                <w:rFonts w:ascii="Arial" w:hAnsi="Arial" w:cs="Arial"/>
                <w:color w:val="000000"/>
                <w:sz w:val="20"/>
                <w:szCs w:val="20"/>
              </w:rPr>
            </w:pPr>
          </w:p>
        </w:tc>
        <w:tc>
          <w:tcPr>
            <w:tcW w:w="876" w:type="dxa"/>
            <w:tcBorders>
              <w:top w:val="nil"/>
              <w:left w:val="nil"/>
              <w:bottom w:val="nil"/>
              <w:right w:val="nil"/>
            </w:tcBorders>
            <w:shd w:val="clear" w:color="auto" w:fill="FFFFFF" w:themeFill="background1"/>
            <w:noWrap/>
            <w:vAlign w:val="bottom"/>
          </w:tcPr>
          <w:p w:rsidR="006C4DEA" w:rsidRDefault="006C4DEA">
            <w:pPr>
              <w:rPr>
                <w:rFonts w:ascii="Arial" w:hAnsi="Arial" w:cs="Arial"/>
                <w:color w:val="000000"/>
                <w:sz w:val="20"/>
                <w:szCs w:val="20"/>
              </w:rPr>
            </w:pPr>
          </w:p>
        </w:tc>
        <w:tc>
          <w:tcPr>
            <w:tcW w:w="970" w:type="dxa"/>
            <w:tcBorders>
              <w:top w:val="nil"/>
              <w:left w:val="nil"/>
              <w:bottom w:val="nil"/>
              <w:right w:val="nil"/>
            </w:tcBorders>
            <w:shd w:val="clear" w:color="auto" w:fill="FFFFFF" w:themeFill="background1"/>
            <w:noWrap/>
            <w:vAlign w:val="bottom"/>
          </w:tcPr>
          <w:p w:rsidR="006C4DEA" w:rsidRDefault="006C4DEA">
            <w:pPr>
              <w:rPr>
                <w:rFonts w:ascii="Arial" w:hAnsi="Arial" w:cs="Arial"/>
                <w:color w:val="000000"/>
                <w:sz w:val="20"/>
                <w:szCs w:val="20"/>
              </w:rPr>
            </w:pPr>
          </w:p>
        </w:tc>
        <w:tc>
          <w:tcPr>
            <w:tcW w:w="4261" w:type="dxa"/>
            <w:tcBorders>
              <w:top w:val="nil"/>
              <w:left w:val="nil"/>
              <w:bottom w:val="nil"/>
              <w:right w:val="nil"/>
            </w:tcBorders>
            <w:shd w:val="clear" w:color="auto" w:fill="FFFFFF" w:themeFill="background1"/>
            <w:noWrap/>
            <w:vAlign w:val="bottom"/>
          </w:tcPr>
          <w:p w:rsidR="006C4DEA" w:rsidRDefault="00EE3F69">
            <w:pPr>
              <w:jc w:val="right"/>
              <w:rPr>
                <w:rFonts w:ascii="Arial" w:hAnsi="Arial" w:cs="Arial"/>
                <w:color w:val="000000"/>
                <w:sz w:val="20"/>
                <w:szCs w:val="20"/>
              </w:rPr>
            </w:pPr>
            <w:r>
              <w:rPr>
                <w:rFonts w:ascii="宋体" w:hAnsi="宋体" w:cs="宋体" w:hint="eastAsia"/>
                <w:color w:val="000000"/>
                <w:kern w:val="0"/>
                <w:sz w:val="20"/>
                <w:szCs w:val="20"/>
              </w:rPr>
              <w:t>单位：万元</w:t>
            </w:r>
          </w:p>
        </w:tc>
        <w:tc>
          <w:tcPr>
            <w:tcW w:w="973" w:type="dxa"/>
            <w:tcBorders>
              <w:top w:val="nil"/>
              <w:left w:val="nil"/>
              <w:bottom w:val="nil"/>
              <w:right w:val="nil"/>
            </w:tcBorders>
            <w:shd w:val="clear" w:color="auto" w:fill="FFFFFF" w:themeFill="background1"/>
            <w:noWrap/>
            <w:vAlign w:val="bottom"/>
          </w:tcPr>
          <w:p w:rsidR="006C4DEA" w:rsidRDefault="006C4DEA">
            <w:pPr>
              <w:widowControl/>
              <w:jc w:val="right"/>
              <w:textAlignment w:val="bottom"/>
              <w:rPr>
                <w:rFonts w:ascii="宋体" w:hAnsi="宋体" w:cs="宋体"/>
                <w:color w:val="000000"/>
                <w:sz w:val="18"/>
                <w:szCs w:val="18"/>
              </w:rPr>
            </w:pPr>
          </w:p>
        </w:tc>
      </w:tr>
      <w:tr w:rsidR="006C4DEA">
        <w:trPr>
          <w:trHeight w:val="308"/>
        </w:trPr>
        <w:tc>
          <w:tcPr>
            <w:tcW w:w="5361"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人员经费</w:t>
            </w:r>
          </w:p>
        </w:tc>
        <w:tc>
          <w:tcPr>
            <w:tcW w:w="10466"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公用经费</w:t>
            </w:r>
          </w:p>
        </w:tc>
      </w:tr>
      <w:tr w:rsidR="006C4DEA">
        <w:trPr>
          <w:trHeight w:val="312"/>
        </w:trPr>
        <w:tc>
          <w:tcPr>
            <w:tcW w:w="969" w:type="dxa"/>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科目编码</w:t>
            </w:r>
          </w:p>
        </w:tc>
        <w:tc>
          <w:tcPr>
            <w:tcW w:w="3516"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876"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决算数</w:t>
            </w:r>
          </w:p>
        </w:tc>
        <w:tc>
          <w:tcPr>
            <w:tcW w:w="970"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科目编码</w:t>
            </w:r>
          </w:p>
        </w:tc>
        <w:tc>
          <w:tcPr>
            <w:tcW w:w="2416"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876"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决算数</w:t>
            </w:r>
          </w:p>
        </w:tc>
        <w:tc>
          <w:tcPr>
            <w:tcW w:w="970"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科目编码</w:t>
            </w:r>
          </w:p>
        </w:tc>
        <w:tc>
          <w:tcPr>
            <w:tcW w:w="4261"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973" w:type="dxa"/>
            <w:vMerge w:val="restart"/>
            <w:tcBorders>
              <w:top w:val="nil"/>
              <w:left w:val="nil"/>
              <w:bottom w:val="single" w:sz="4" w:space="0" w:color="000000"/>
              <w:right w:val="single" w:sz="4" w:space="0" w:color="000000"/>
            </w:tcBorders>
            <w:shd w:val="clear" w:color="auto" w:fill="FFFFFF" w:themeFill="background1"/>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决算数</w:t>
            </w:r>
          </w:p>
        </w:tc>
      </w:tr>
      <w:tr w:rsidR="006C4DEA">
        <w:trPr>
          <w:trHeight w:val="312"/>
        </w:trPr>
        <w:tc>
          <w:tcPr>
            <w:tcW w:w="969" w:type="dxa"/>
            <w:vMerge/>
            <w:tcBorders>
              <w:top w:val="nil"/>
              <w:left w:val="single" w:sz="4" w:space="0" w:color="000000"/>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3516"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876"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970"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2416"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876"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970"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4261"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c>
          <w:tcPr>
            <w:tcW w:w="973" w:type="dxa"/>
            <w:vMerge/>
            <w:tcBorders>
              <w:top w:val="nil"/>
              <w:left w:val="nil"/>
              <w:bottom w:val="single" w:sz="4" w:space="0" w:color="000000"/>
              <w:right w:val="single" w:sz="4" w:space="0" w:color="000000"/>
            </w:tcBorders>
            <w:shd w:val="clear" w:color="auto" w:fill="FFFFFF" w:themeFill="background1"/>
            <w:vAlign w:val="center"/>
          </w:tcPr>
          <w:p w:rsidR="006C4DEA" w:rsidRDefault="006C4DEA">
            <w:pPr>
              <w:jc w:val="center"/>
              <w:rPr>
                <w:rFonts w:ascii="宋体" w:hAnsi="宋体" w:cs="宋体"/>
                <w:color w:val="000000"/>
                <w:sz w:val="22"/>
                <w:szCs w:val="22"/>
              </w:rPr>
            </w:pP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工资福利支出</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204.65</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商品和服务支出</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19.64</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307</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债务利息及费用支出</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30101</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基本工资</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50.29</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30201</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办公费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30701</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国内债务付息</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30102</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津贴补贴</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1.98</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30202</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印刷费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0.08</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30702</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国外债务付息</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30103</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奖金</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2.80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30203</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咨询费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资本性支出</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30106</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伙食补助费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1.88</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30204</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手续费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31001</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房屋建筑物购建</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30107</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绩效工资</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70.06</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30205</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水费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0.26</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31002</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办公设备购置</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30108</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机关事业单位基本养老保险缴费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21.57</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30206</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电费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0.84</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31003</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专用设备购置</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30109</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职业年金缴费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7.38</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30207</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邮电费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0.45</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31005</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基础设施建设</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30110</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职工基本医疗保险缴费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8.68</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30208</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取暖费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31006</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大型修缮</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30111</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公务员医疗补助缴费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30209</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物业管理费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0.40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31007</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信息网络及软件购置更新</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30112</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其他社会保障缴费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1.92</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30211</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差旅费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3.97</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31008</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物资储备</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30113</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住房公积金</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14.16</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30212</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因公出国（境）费用</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31009</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土地补偿</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30114</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医疗费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3.45</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30213</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维修（护）费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0.42</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31010</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安置补助</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30199</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其他工资福利支出</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20.48</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30214</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租赁费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31011</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地上附着物和青苗补偿</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对个人和家庭的补助</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30215</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会议费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31012</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拆迁补偿</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30301</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离休费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30216</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培训费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0.23</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31013</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公务用车购置</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30302</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退休费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1.81</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30217</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公务接待费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0.15</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31019</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其他交通工具购置</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30303</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退职（役）费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30218</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专用材料费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31021</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文物和陈列品购置</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30304</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抚恤金</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30224</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被装购置费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31022</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无形资产购置</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30305</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生活补助</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0.37</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30225</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专用燃料费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31099</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其他资本性支出</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30306</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救济费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30226</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劳务费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其他支出</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30307</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医疗费补助</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30227</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委托业务费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39906</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赠与</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30308</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助学金</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30228</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工会经费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5.07</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39907</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国家赔偿费用支出</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30309</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奖励金</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30229</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福利费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39908</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对民间非营利组织和群众性自治组织补贴</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30310</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个人农业生产补贴</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30231</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公务用车运行维护费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39999</w:t>
            </w: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其他支出</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30311</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代缴社会保险费</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30239</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其他交通费用</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0.02</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30399</w:t>
            </w: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其他对个人和家庭的补助</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0.03</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30240</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税金及附加费用</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r>
      <w:tr w:rsidR="006C4DEA">
        <w:trPr>
          <w:trHeight w:val="308"/>
        </w:trPr>
        <w:tc>
          <w:tcPr>
            <w:tcW w:w="96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3516"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30299</w:t>
            </w:r>
          </w:p>
        </w:tc>
        <w:tc>
          <w:tcPr>
            <w:tcW w:w="241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其他商品和服务支出</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2.48</w:t>
            </w:r>
          </w:p>
        </w:tc>
        <w:tc>
          <w:tcPr>
            <w:tcW w:w="970"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4261"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left"/>
              <w:rPr>
                <w:rFonts w:ascii="宋体" w:hAnsi="宋体" w:cs="宋体"/>
                <w:color w:val="000000"/>
                <w:sz w:val="22"/>
                <w:szCs w:val="22"/>
              </w:rPr>
            </w:pP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6C4DEA">
            <w:pPr>
              <w:jc w:val="right"/>
              <w:rPr>
                <w:rFonts w:ascii="宋体" w:hAnsi="宋体" w:cs="宋体"/>
                <w:color w:val="000000"/>
                <w:sz w:val="22"/>
                <w:szCs w:val="22"/>
              </w:rPr>
            </w:pPr>
          </w:p>
        </w:tc>
      </w:tr>
      <w:tr w:rsidR="006C4DEA">
        <w:trPr>
          <w:trHeight w:val="308"/>
        </w:trPr>
        <w:tc>
          <w:tcPr>
            <w:tcW w:w="4485"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人员经费合计</w:t>
            </w:r>
          </w:p>
        </w:tc>
        <w:tc>
          <w:tcPr>
            <w:tcW w:w="876"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206.86</w:t>
            </w:r>
          </w:p>
        </w:tc>
        <w:tc>
          <w:tcPr>
            <w:tcW w:w="9493" w:type="dxa"/>
            <w:gridSpan w:val="5"/>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公用经费合计</w:t>
            </w:r>
          </w:p>
        </w:tc>
        <w:tc>
          <w:tcPr>
            <w:tcW w:w="973" w:type="dxa"/>
            <w:tcBorders>
              <w:top w:val="nil"/>
              <w:left w:val="nil"/>
              <w:bottom w:val="single" w:sz="4" w:space="0" w:color="000000"/>
              <w:right w:val="single" w:sz="4" w:space="0" w:color="000000"/>
            </w:tcBorders>
            <w:shd w:val="clear" w:color="auto" w:fill="FFFFFF" w:themeFill="background1"/>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19.64</w:t>
            </w:r>
          </w:p>
        </w:tc>
      </w:tr>
      <w:tr w:rsidR="006C4DEA">
        <w:trPr>
          <w:trHeight w:val="308"/>
        </w:trPr>
        <w:tc>
          <w:tcPr>
            <w:tcW w:w="15827" w:type="dxa"/>
            <w:gridSpan w:val="9"/>
            <w:tcBorders>
              <w:top w:val="nil"/>
              <w:left w:val="nil"/>
              <w:bottom w:val="nil"/>
              <w:right w:val="nil"/>
            </w:tcBorders>
            <w:shd w:val="clear" w:color="auto" w:fill="FFFFFF" w:themeFill="background1"/>
            <w:noWrap/>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注：本表反映部门本年度一般公共预算财政拨款基本支出明细情况。</w:t>
            </w:r>
          </w:p>
        </w:tc>
      </w:tr>
    </w:tbl>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p w:rsidR="006C4DEA" w:rsidRDefault="006C4DEA"/>
    <w:tbl>
      <w:tblPr>
        <w:tblW w:w="0" w:type="auto"/>
        <w:tblInd w:w="93" w:type="dxa"/>
        <w:tblLook w:val="04A0"/>
      </w:tblPr>
      <w:tblGrid>
        <w:gridCol w:w="750"/>
        <w:gridCol w:w="1813"/>
        <w:gridCol w:w="749"/>
        <w:gridCol w:w="1547"/>
        <w:gridCol w:w="1542"/>
        <w:gridCol w:w="1234"/>
        <w:gridCol w:w="749"/>
        <w:gridCol w:w="1790"/>
        <w:gridCol w:w="749"/>
        <w:gridCol w:w="1531"/>
        <w:gridCol w:w="1528"/>
        <w:gridCol w:w="1845"/>
      </w:tblGrid>
      <w:tr w:rsidR="006C4DEA">
        <w:trPr>
          <w:trHeight w:val="540"/>
        </w:trPr>
        <w:tc>
          <w:tcPr>
            <w:tcW w:w="0" w:type="auto"/>
            <w:gridSpan w:val="12"/>
            <w:tcBorders>
              <w:top w:val="nil"/>
              <w:left w:val="nil"/>
              <w:bottom w:val="nil"/>
              <w:right w:val="nil"/>
            </w:tcBorders>
            <w:shd w:val="clear" w:color="auto" w:fill="auto"/>
            <w:noWrap/>
            <w:vAlign w:val="bottom"/>
          </w:tcPr>
          <w:p w:rsidR="006C4DEA" w:rsidRDefault="00EE3F69">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6C4DEA" w:rsidRDefault="006C4DEA">
            <w:pPr>
              <w:rPr>
                <w:rFonts w:ascii="Arial" w:hAnsi="Arial" w:cs="Arial"/>
                <w:color w:val="000000"/>
                <w:sz w:val="20"/>
                <w:szCs w:val="20"/>
              </w:rPr>
            </w:pPr>
          </w:p>
        </w:tc>
      </w:tr>
      <w:tr w:rsidR="006C4DEA">
        <w:trPr>
          <w:trHeight w:val="255"/>
        </w:trPr>
        <w:tc>
          <w:tcPr>
            <w:tcW w:w="0" w:type="auto"/>
            <w:tcBorders>
              <w:top w:val="nil"/>
              <w:left w:val="nil"/>
              <w:bottom w:val="nil"/>
              <w:right w:val="nil"/>
            </w:tcBorders>
            <w:shd w:val="clear" w:color="auto" w:fill="auto"/>
            <w:noWrap/>
            <w:vAlign w:val="bottom"/>
          </w:tcPr>
          <w:p w:rsidR="006C4DEA" w:rsidRDefault="006C4DEA">
            <w:pPr>
              <w:widowControl/>
              <w:jc w:val="left"/>
              <w:textAlignment w:val="bottom"/>
              <w:rPr>
                <w:rFonts w:ascii="宋体" w:hAnsi="宋体" w:cs="宋体"/>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6C4DEA">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6C4DEA" w:rsidRDefault="00EE3F69">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6C4DEA">
        <w:trPr>
          <w:trHeight w:val="308"/>
        </w:trPr>
        <w:tc>
          <w:tcPr>
            <w:tcW w:w="0" w:type="auto"/>
            <w:gridSpan w:val="6"/>
            <w:tcBorders>
              <w:top w:val="single" w:sz="4" w:space="0" w:color="000000"/>
              <w:left w:val="single" w:sz="4" w:space="0" w:color="000000"/>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预算数</w:t>
            </w:r>
          </w:p>
        </w:tc>
        <w:tc>
          <w:tcPr>
            <w:tcW w:w="0" w:type="auto"/>
            <w:gridSpan w:val="6"/>
            <w:tcBorders>
              <w:top w:val="single" w:sz="4" w:space="0" w:color="000000"/>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决算数</w:t>
            </w:r>
          </w:p>
        </w:tc>
      </w:tr>
      <w:tr w:rsidR="006C4DEA">
        <w:trPr>
          <w:trHeight w:val="308"/>
        </w:trPr>
        <w:tc>
          <w:tcPr>
            <w:tcW w:w="0" w:type="auto"/>
            <w:vMerge w:val="restart"/>
            <w:tcBorders>
              <w:top w:val="nil"/>
              <w:left w:val="single" w:sz="4" w:space="0" w:color="000000"/>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0" w:type="auto"/>
            <w:vMerge w:val="restart"/>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因公出国（境）费</w:t>
            </w:r>
          </w:p>
        </w:tc>
        <w:tc>
          <w:tcPr>
            <w:tcW w:w="0" w:type="auto"/>
            <w:gridSpan w:val="3"/>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公务用车购置及运行费</w:t>
            </w:r>
          </w:p>
        </w:tc>
        <w:tc>
          <w:tcPr>
            <w:tcW w:w="0" w:type="auto"/>
            <w:vMerge w:val="restart"/>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公务接待费</w:t>
            </w:r>
          </w:p>
        </w:tc>
        <w:tc>
          <w:tcPr>
            <w:tcW w:w="0" w:type="auto"/>
            <w:vMerge w:val="restart"/>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0" w:type="auto"/>
            <w:vMerge w:val="restart"/>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因公出国（境）费</w:t>
            </w:r>
          </w:p>
        </w:tc>
        <w:tc>
          <w:tcPr>
            <w:tcW w:w="0" w:type="auto"/>
            <w:gridSpan w:val="3"/>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公务用车购置及运行费</w:t>
            </w:r>
          </w:p>
        </w:tc>
        <w:tc>
          <w:tcPr>
            <w:tcW w:w="0" w:type="auto"/>
            <w:vMerge w:val="restart"/>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公务接待费</w:t>
            </w:r>
          </w:p>
        </w:tc>
      </w:tr>
      <w:tr w:rsidR="006C4DEA">
        <w:trPr>
          <w:trHeight w:val="615"/>
        </w:trPr>
        <w:tc>
          <w:tcPr>
            <w:tcW w:w="0" w:type="auto"/>
            <w:vMerge/>
            <w:tcBorders>
              <w:top w:val="nil"/>
              <w:left w:val="single" w:sz="4" w:space="0" w:color="000000"/>
              <w:bottom w:val="single" w:sz="4" w:space="0" w:color="000000"/>
              <w:right w:val="single" w:sz="4" w:space="0" w:color="000000"/>
            </w:tcBorders>
            <w:shd w:val="clear" w:color="FFFFFF" w:fill="auto"/>
            <w:vAlign w:val="center"/>
          </w:tcPr>
          <w:p w:rsidR="006C4DEA" w:rsidRDefault="006C4DEA">
            <w:pPr>
              <w:jc w:val="center"/>
              <w:rPr>
                <w:rFonts w:ascii="宋体" w:hAnsi="宋体" w:cs="宋体"/>
                <w:color w:val="000000"/>
                <w:sz w:val="22"/>
                <w:szCs w:val="22"/>
              </w:rPr>
            </w:pPr>
          </w:p>
        </w:tc>
        <w:tc>
          <w:tcPr>
            <w:tcW w:w="0" w:type="auto"/>
            <w:vMerge/>
            <w:tcBorders>
              <w:top w:val="nil"/>
              <w:left w:val="nil"/>
              <w:bottom w:val="single" w:sz="4" w:space="0" w:color="000000"/>
              <w:right w:val="single" w:sz="4" w:space="0" w:color="000000"/>
            </w:tcBorders>
            <w:shd w:val="clear" w:color="FFFFFF" w:fill="auto"/>
            <w:vAlign w:val="center"/>
          </w:tcPr>
          <w:p w:rsidR="006C4DEA" w:rsidRDefault="006C4DEA">
            <w:pPr>
              <w:jc w:val="center"/>
              <w:rPr>
                <w:rFonts w:ascii="宋体" w:hAnsi="宋体" w:cs="宋体"/>
                <w:color w:val="000000"/>
                <w:sz w:val="22"/>
                <w:szCs w:val="22"/>
              </w:rPr>
            </w:pP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公务用车购置费</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公务用车运行费</w:t>
            </w:r>
          </w:p>
        </w:tc>
        <w:tc>
          <w:tcPr>
            <w:tcW w:w="0" w:type="auto"/>
            <w:vMerge/>
            <w:tcBorders>
              <w:top w:val="nil"/>
              <w:left w:val="nil"/>
              <w:bottom w:val="single" w:sz="4" w:space="0" w:color="000000"/>
              <w:right w:val="single" w:sz="4" w:space="0" w:color="000000"/>
            </w:tcBorders>
            <w:shd w:val="clear" w:color="FFFFFF" w:fill="auto"/>
            <w:vAlign w:val="center"/>
          </w:tcPr>
          <w:p w:rsidR="006C4DEA" w:rsidRDefault="006C4DEA">
            <w:pPr>
              <w:jc w:val="center"/>
              <w:rPr>
                <w:rFonts w:ascii="宋体" w:hAnsi="宋体" w:cs="宋体"/>
                <w:color w:val="000000"/>
                <w:sz w:val="22"/>
                <w:szCs w:val="22"/>
              </w:rPr>
            </w:pPr>
          </w:p>
        </w:tc>
        <w:tc>
          <w:tcPr>
            <w:tcW w:w="0" w:type="auto"/>
            <w:vMerge/>
            <w:tcBorders>
              <w:top w:val="nil"/>
              <w:left w:val="nil"/>
              <w:bottom w:val="single" w:sz="4" w:space="0" w:color="000000"/>
              <w:right w:val="single" w:sz="4" w:space="0" w:color="000000"/>
            </w:tcBorders>
            <w:shd w:val="clear" w:color="FFFFFF" w:fill="auto"/>
            <w:vAlign w:val="center"/>
          </w:tcPr>
          <w:p w:rsidR="006C4DEA" w:rsidRDefault="006C4DEA">
            <w:pPr>
              <w:jc w:val="center"/>
              <w:rPr>
                <w:rFonts w:ascii="宋体" w:hAnsi="宋体" w:cs="宋体"/>
                <w:color w:val="000000"/>
                <w:sz w:val="22"/>
                <w:szCs w:val="22"/>
              </w:rPr>
            </w:pPr>
          </w:p>
        </w:tc>
        <w:tc>
          <w:tcPr>
            <w:tcW w:w="0" w:type="auto"/>
            <w:vMerge/>
            <w:tcBorders>
              <w:top w:val="nil"/>
              <w:left w:val="nil"/>
              <w:bottom w:val="single" w:sz="4" w:space="0" w:color="000000"/>
              <w:right w:val="single" w:sz="4" w:space="0" w:color="000000"/>
            </w:tcBorders>
            <w:shd w:val="clear" w:color="FFFFFF" w:fill="auto"/>
            <w:vAlign w:val="center"/>
          </w:tcPr>
          <w:p w:rsidR="006C4DEA" w:rsidRDefault="006C4DEA">
            <w:pPr>
              <w:jc w:val="center"/>
              <w:rPr>
                <w:rFonts w:ascii="宋体" w:hAnsi="宋体" w:cs="宋体"/>
                <w:color w:val="000000"/>
                <w:sz w:val="22"/>
                <w:szCs w:val="22"/>
              </w:rPr>
            </w:pP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公务用车购置费</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公务用车运行费</w:t>
            </w:r>
          </w:p>
        </w:tc>
        <w:tc>
          <w:tcPr>
            <w:tcW w:w="0" w:type="auto"/>
            <w:vMerge/>
            <w:tcBorders>
              <w:top w:val="nil"/>
              <w:left w:val="nil"/>
              <w:bottom w:val="single" w:sz="4" w:space="0" w:color="000000"/>
              <w:right w:val="single" w:sz="4" w:space="0" w:color="000000"/>
            </w:tcBorders>
            <w:shd w:val="clear" w:color="FFFFFF" w:fill="auto"/>
            <w:vAlign w:val="center"/>
          </w:tcPr>
          <w:p w:rsidR="006C4DEA" w:rsidRDefault="006C4DEA">
            <w:pPr>
              <w:jc w:val="center"/>
              <w:rPr>
                <w:rFonts w:ascii="宋体" w:hAnsi="宋体" w:cs="宋体"/>
                <w:color w:val="000000"/>
                <w:sz w:val="22"/>
                <w:szCs w:val="22"/>
              </w:rPr>
            </w:pPr>
          </w:p>
        </w:tc>
      </w:tr>
      <w:tr w:rsidR="006C4DEA">
        <w:trPr>
          <w:trHeight w:val="308"/>
        </w:trPr>
        <w:tc>
          <w:tcPr>
            <w:tcW w:w="0" w:type="auto"/>
            <w:tcBorders>
              <w:top w:val="nil"/>
              <w:left w:val="single" w:sz="4" w:space="0" w:color="000000"/>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0" w:type="auto"/>
            <w:tcBorders>
              <w:top w:val="nil"/>
              <w:left w:val="nil"/>
              <w:bottom w:val="single" w:sz="4" w:space="0" w:color="000000"/>
              <w:right w:val="single" w:sz="4" w:space="0" w:color="000000"/>
            </w:tcBorders>
            <w:shd w:val="clear" w:color="FFFFFF" w:fill="auto"/>
            <w:vAlign w:val="center"/>
          </w:tcPr>
          <w:p w:rsidR="006C4DEA" w:rsidRDefault="00EE3F69">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r>
      <w:tr w:rsidR="006C4DEA">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3.49</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3.35</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3.35</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0.15</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3.49</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3.35</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0.00</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3.35</w:t>
            </w:r>
          </w:p>
        </w:tc>
        <w:tc>
          <w:tcPr>
            <w:tcW w:w="0" w:type="auto"/>
            <w:tcBorders>
              <w:top w:val="nil"/>
              <w:left w:val="nil"/>
              <w:bottom w:val="single" w:sz="4" w:space="0" w:color="000000"/>
              <w:right w:val="single" w:sz="4" w:space="0" w:color="000000"/>
            </w:tcBorders>
            <w:shd w:val="clear" w:color="auto" w:fill="auto"/>
            <w:noWrap/>
            <w:vAlign w:val="center"/>
          </w:tcPr>
          <w:p w:rsidR="006C4DEA" w:rsidRDefault="00EE3F6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0.15</w:t>
            </w:r>
          </w:p>
        </w:tc>
      </w:tr>
      <w:tr w:rsidR="006C4DEA">
        <w:trPr>
          <w:trHeight w:val="615"/>
        </w:trPr>
        <w:tc>
          <w:tcPr>
            <w:tcW w:w="0" w:type="auto"/>
            <w:gridSpan w:val="12"/>
            <w:tcBorders>
              <w:top w:val="nil"/>
              <w:left w:val="nil"/>
              <w:bottom w:val="nil"/>
              <w:right w:val="nil"/>
            </w:tcBorders>
            <w:shd w:val="clear" w:color="auto" w:fill="auto"/>
            <w:vAlign w:val="center"/>
          </w:tcPr>
          <w:p w:rsidR="006C4DEA" w:rsidRDefault="00EE3F69">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6C4DEA" w:rsidRDefault="006C4DEA">
      <w:pPr>
        <w:sectPr w:rsidR="006C4DEA">
          <w:footerReference w:type="even" r:id="rId14"/>
          <w:footerReference w:type="default" r:id="rId15"/>
          <w:pgSz w:w="16838" w:h="11906" w:orient="landscape"/>
          <w:pgMar w:top="567" w:right="567" w:bottom="567" w:left="567" w:header="851" w:footer="992" w:gutter="0"/>
          <w:pgNumType w:fmt="numberInDash"/>
          <w:cols w:space="0"/>
          <w:docGrid w:type="lines" w:linePitch="312"/>
        </w:sectPr>
      </w:pPr>
    </w:p>
    <w:tbl>
      <w:tblPr>
        <w:tblpPr w:leftFromText="180" w:rightFromText="180" w:vertAnchor="text" w:horzAnchor="page" w:tblpX="2200" w:tblpY="490"/>
        <w:tblOverlap w:val="never"/>
        <w:tblW w:w="12480" w:type="dxa"/>
        <w:tblLayout w:type="fixed"/>
        <w:tblLook w:val="04A0"/>
      </w:tblPr>
      <w:tblGrid>
        <w:gridCol w:w="1040"/>
        <w:gridCol w:w="1385"/>
        <w:gridCol w:w="765"/>
        <w:gridCol w:w="1040"/>
        <w:gridCol w:w="1040"/>
        <w:gridCol w:w="1040"/>
        <w:gridCol w:w="1040"/>
        <w:gridCol w:w="1040"/>
        <w:gridCol w:w="1040"/>
        <w:gridCol w:w="1040"/>
        <w:gridCol w:w="1020"/>
        <w:gridCol w:w="990"/>
      </w:tblGrid>
      <w:tr w:rsidR="006C4DEA">
        <w:trPr>
          <w:trHeight w:val="570"/>
        </w:trPr>
        <w:tc>
          <w:tcPr>
            <w:tcW w:w="12480" w:type="dxa"/>
            <w:gridSpan w:val="12"/>
            <w:tcBorders>
              <w:top w:val="nil"/>
              <w:left w:val="nil"/>
              <w:bottom w:val="nil"/>
              <w:right w:val="nil"/>
            </w:tcBorders>
            <w:vAlign w:val="bottom"/>
          </w:tcPr>
          <w:p w:rsidR="006C4DEA" w:rsidRDefault="00EE3F69">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表八：政府性基金预算财政拨款收入支出决算表</w:t>
            </w:r>
          </w:p>
        </w:tc>
      </w:tr>
      <w:tr w:rsidR="006C4DEA">
        <w:trPr>
          <w:trHeight w:val="285"/>
        </w:trPr>
        <w:tc>
          <w:tcPr>
            <w:tcW w:w="1040"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1385"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765"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1040"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1040"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1040"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1040"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1040"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1040"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1040" w:type="dxa"/>
            <w:tcBorders>
              <w:top w:val="nil"/>
              <w:left w:val="nil"/>
              <w:bottom w:val="nil"/>
              <w:right w:val="nil"/>
            </w:tcBorders>
            <w:vAlign w:val="bottom"/>
          </w:tcPr>
          <w:p w:rsidR="006C4DEA" w:rsidRDefault="006C4DEA">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6C4DEA" w:rsidRDefault="00EE3F69">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6C4DEA">
        <w:trPr>
          <w:trHeight w:val="405"/>
        </w:trPr>
        <w:tc>
          <w:tcPr>
            <w:tcW w:w="1040" w:type="dxa"/>
            <w:vMerge w:val="restart"/>
            <w:tcBorders>
              <w:top w:val="single" w:sz="4" w:space="0" w:color="auto"/>
              <w:left w:val="single" w:sz="4" w:space="0" w:color="auto"/>
              <w:bottom w:val="nil"/>
              <w:right w:val="nil"/>
            </w:tcBorders>
            <w:shd w:val="clear" w:color="auto" w:fill="auto"/>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6C4DEA">
        <w:trPr>
          <w:trHeight w:val="312"/>
        </w:trPr>
        <w:tc>
          <w:tcPr>
            <w:tcW w:w="1040" w:type="dxa"/>
            <w:vMerge/>
            <w:tcBorders>
              <w:top w:val="single" w:sz="4" w:space="0" w:color="auto"/>
              <w:left w:val="single" w:sz="4" w:space="0" w:color="auto"/>
              <w:bottom w:val="nil"/>
              <w:right w:val="nil"/>
            </w:tcBorders>
            <w:shd w:val="clear" w:color="auto" w:fill="auto"/>
            <w:vAlign w:val="center"/>
          </w:tcPr>
          <w:p w:rsidR="006C4DEA" w:rsidRDefault="006C4DEA">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4DEA" w:rsidRDefault="006C4DEA">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6C4DEA" w:rsidRDefault="006C4DEA">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C4DEA" w:rsidRDefault="00EE3F69">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6C4DEA">
        <w:trPr>
          <w:trHeight w:val="312"/>
        </w:trPr>
        <w:tc>
          <w:tcPr>
            <w:tcW w:w="1040" w:type="dxa"/>
            <w:vMerge/>
            <w:tcBorders>
              <w:top w:val="single" w:sz="4" w:space="0" w:color="auto"/>
              <w:left w:val="single" w:sz="4" w:space="0" w:color="auto"/>
              <w:bottom w:val="nil"/>
              <w:right w:val="nil"/>
            </w:tcBorders>
            <w:vAlign w:val="center"/>
          </w:tcPr>
          <w:p w:rsidR="006C4DEA" w:rsidRDefault="006C4DEA">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6C4DEA" w:rsidRDefault="006C4DEA">
            <w:pPr>
              <w:widowControl/>
              <w:jc w:val="left"/>
              <w:rPr>
                <w:rFonts w:ascii="宋体" w:hAnsi="宋体" w:cs="宋体"/>
                <w:color w:val="000000"/>
                <w:kern w:val="0"/>
                <w:sz w:val="22"/>
                <w:szCs w:val="22"/>
              </w:rPr>
            </w:pPr>
          </w:p>
        </w:tc>
      </w:tr>
      <w:tr w:rsidR="006C4DEA">
        <w:trPr>
          <w:trHeight w:val="285"/>
        </w:trPr>
        <w:tc>
          <w:tcPr>
            <w:tcW w:w="2425" w:type="dxa"/>
            <w:gridSpan w:val="2"/>
            <w:tcBorders>
              <w:top w:val="single" w:sz="4" w:space="0" w:color="auto"/>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C4DEA">
        <w:trPr>
          <w:trHeight w:val="285"/>
        </w:trPr>
        <w:tc>
          <w:tcPr>
            <w:tcW w:w="1040" w:type="dxa"/>
            <w:tcBorders>
              <w:top w:val="nil"/>
              <w:left w:val="single" w:sz="4" w:space="0" w:color="auto"/>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C4DEA" w:rsidRDefault="00EE3F69">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C4DEA" w:rsidRDefault="00EE3F69">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6C4DEA" w:rsidRDefault="006C4DEA">
      <w:pPr>
        <w:rPr>
          <w:rFonts w:ascii="方正小标宋简体" w:eastAsia="方正小标宋简体" w:hAnsi="宋体" w:cs="宋体"/>
          <w:kern w:val="0"/>
          <w:sz w:val="36"/>
          <w:szCs w:val="36"/>
        </w:rPr>
      </w:pPr>
    </w:p>
    <w:p w:rsidR="006C4DEA" w:rsidRDefault="006C4DEA"/>
    <w:p w:rsidR="006C4DEA" w:rsidRDefault="006C4DEA"/>
    <w:p w:rsidR="006C4DEA" w:rsidRDefault="00EE3F69">
      <w:pPr>
        <w:spacing w:line="560" w:lineRule="exact"/>
        <w:ind w:firstLine="420"/>
      </w:pPr>
      <w:r>
        <w:rPr>
          <w:rFonts w:hint="eastAsia"/>
        </w:rPr>
        <w:t>注：本单位没有政府性基金预算财政拨款收入，也没有政府性基金预算财政拨款安排的支出，故本表无数据。</w:t>
      </w:r>
    </w:p>
    <w:p w:rsidR="006C4DEA" w:rsidRDefault="006C4DEA">
      <w:pPr>
        <w:spacing w:line="560" w:lineRule="exact"/>
        <w:ind w:firstLine="420"/>
      </w:pPr>
    </w:p>
    <w:p w:rsidR="006C4DEA" w:rsidRDefault="006C4DEA">
      <w:pPr>
        <w:spacing w:line="560" w:lineRule="exact"/>
        <w:ind w:firstLine="420"/>
      </w:pP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6C4DEA">
        <w:trPr>
          <w:trHeight w:val="768"/>
        </w:trPr>
        <w:tc>
          <w:tcPr>
            <w:tcW w:w="13520" w:type="dxa"/>
            <w:gridSpan w:val="6"/>
            <w:shd w:val="clear" w:color="auto" w:fill="FFFFFF"/>
            <w:vAlign w:val="center"/>
          </w:tcPr>
          <w:p w:rsidR="006C4DEA" w:rsidRDefault="00EE3F69">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表九：国有资本经营预算财政拨款支出决算表</w:t>
            </w:r>
          </w:p>
        </w:tc>
      </w:tr>
      <w:tr w:rsidR="006C4DEA">
        <w:trPr>
          <w:trHeight w:val="350"/>
        </w:trPr>
        <w:tc>
          <w:tcPr>
            <w:tcW w:w="1318" w:type="dxa"/>
            <w:shd w:val="clear" w:color="auto" w:fill="FFFFFF"/>
            <w:vAlign w:val="center"/>
          </w:tcPr>
          <w:p w:rsidR="006C4DEA" w:rsidRDefault="00EE3F6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292" w:type="dxa"/>
            <w:shd w:val="clear" w:color="auto" w:fill="FFFFFF"/>
            <w:vAlign w:val="center"/>
          </w:tcPr>
          <w:p w:rsidR="006C4DEA" w:rsidRDefault="006C4DEA">
            <w:pPr>
              <w:jc w:val="center"/>
              <w:rPr>
                <w:rFonts w:ascii="宋体" w:hAnsi="宋体" w:cs="宋体"/>
                <w:color w:val="000000"/>
                <w:sz w:val="20"/>
                <w:szCs w:val="20"/>
              </w:rPr>
            </w:pPr>
          </w:p>
        </w:tc>
        <w:tc>
          <w:tcPr>
            <w:tcW w:w="2249" w:type="dxa"/>
            <w:shd w:val="clear" w:color="auto" w:fill="FFFFFF"/>
            <w:vAlign w:val="center"/>
          </w:tcPr>
          <w:p w:rsidR="006C4DEA" w:rsidRDefault="006C4DEA">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6C4DEA" w:rsidRDefault="006C4DEA">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6C4DEA" w:rsidRDefault="006C4DEA">
            <w:pPr>
              <w:rPr>
                <w:rFonts w:ascii="宋体" w:hAnsi="宋体" w:cs="宋体"/>
                <w:color w:val="000000"/>
                <w:sz w:val="20"/>
                <w:szCs w:val="20"/>
              </w:rPr>
            </w:pPr>
          </w:p>
        </w:tc>
        <w:tc>
          <w:tcPr>
            <w:tcW w:w="4075" w:type="dxa"/>
            <w:shd w:val="clear" w:color="auto" w:fill="FFFFFF"/>
            <w:vAlign w:val="center"/>
          </w:tcPr>
          <w:p w:rsidR="006C4DEA" w:rsidRDefault="00EE3F6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6C4DEA">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11"/>
                <w:rFonts w:hint="default"/>
              </w:rPr>
              <w:t xml:space="preserve">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6C4DEA">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6C4DEA">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r>
      <w:tr w:rsidR="006C4DEA">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r>
      <w:tr w:rsidR="006C4DEA">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6C4DEA">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6C4DEA" w:rsidRDefault="00EE3F69">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r>
      <w:tr w:rsidR="006C4DEA">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r>
      <w:tr w:rsidR="006C4DEA">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r>
      <w:tr w:rsidR="006C4DEA">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r>
      <w:tr w:rsidR="006C4DEA">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r>
      <w:tr w:rsidR="006C4DEA">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r>
      <w:tr w:rsidR="006C4DEA">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C4DEA" w:rsidRDefault="006C4DEA">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C4DEA" w:rsidRDefault="006C4DEA">
            <w:pPr>
              <w:rPr>
                <w:rFonts w:ascii="宋体" w:hAnsi="宋体" w:cs="宋体"/>
                <w:color w:val="000000"/>
                <w:sz w:val="24"/>
              </w:rPr>
            </w:pPr>
          </w:p>
        </w:tc>
      </w:tr>
      <w:tr w:rsidR="006C4DEA">
        <w:trPr>
          <w:trHeight w:val="798"/>
        </w:trPr>
        <w:tc>
          <w:tcPr>
            <w:tcW w:w="13520" w:type="dxa"/>
            <w:gridSpan w:val="6"/>
            <w:tcBorders>
              <w:top w:val="single" w:sz="12" w:space="0" w:color="000000"/>
            </w:tcBorders>
            <w:shd w:val="clear" w:color="auto" w:fill="auto"/>
            <w:vAlign w:val="center"/>
          </w:tcPr>
          <w:p w:rsidR="006C4DEA" w:rsidRDefault="00EE3F69">
            <w:pPr>
              <w:widowControl/>
              <w:jc w:val="left"/>
              <w:textAlignment w:val="center"/>
              <w:rPr>
                <w:rFonts w:ascii="宋体" w:hAnsi="宋体" w:cs="宋体"/>
                <w:color w:val="000000"/>
                <w:sz w:val="24"/>
              </w:rPr>
            </w:pPr>
            <w:r>
              <w:rPr>
                <w:rFonts w:ascii="宋体" w:hAnsi="宋体" w:cs="宋体" w:hint="eastAsia"/>
                <w:color w:val="000000"/>
                <w:kern w:val="0"/>
                <w:sz w:val="24"/>
              </w:rPr>
              <w:t>注：本单位没有国有资本经营预算财政拨款安排的支出，故本表无数据。</w:t>
            </w:r>
          </w:p>
        </w:tc>
      </w:tr>
    </w:tbl>
    <w:p w:rsidR="006C4DEA" w:rsidRDefault="006C4DEA">
      <w:pPr>
        <w:spacing w:line="560" w:lineRule="exact"/>
        <w:ind w:firstLine="420"/>
        <w:sectPr w:rsidR="006C4DEA">
          <w:pgSz w:w="16838" w:h="11906" w:orient="landscape"/>
          <w:pgMar w:top="1797" w:right="1440" w:bottom="1797" w:left="1440" w:header="851" w:footer="992" w:gutter="0"/>
          <w:pgNumType w:fmt="numberInDash"/>
          <w:cols w:space="720"/>
          <w:docGrid w:type="lines" w:linePitch="312"/>
        </w:sectPr>
      </w:pPr>
    </w:p>
    <w:p w:rsidR="006C4DEA" w:rsidRDefault="00EE3F69">
      <w:pPr>
        <w:spacing w:line="580" w:lineRule="exact"/>
        <w:jc w:val="center"/>
        <w:rPr>
          <w:rFonts w:ascii="仿宋_GB2312" w:eastAsia="仿宋_GB2312"/>
          <w:b/>
          <w:sz w:val="32"/>
          <w:szCs w:val="32"/>
        </w:rPr>
      </w:pPr>
      <w:r>
        <w:rPr>
          <w:rFonts w:ascii="仿宋_GB2312" w:eastAsia="仿宋_GB2312" w:hint="eastAsia"/>
          <w:b/>
          <w:sz w:val="32"/>
          <w:szCs w:val="32"/>
        </w:rPr>
        <w:lastRenderedPageBreak/>
        <w:t>第三部分：柳州市建设工程技术服务中心2020年度决算情况说明</w:t>
      </w:r>
    </w:p>
    <w:p w:rsidR="006C4DEA" w:rsidRDefault="00EE3F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2020年度收入总计1,782.22万元，支出总计1,782.22万元，与2019年相比，收、支分别增加416.23万元、416.23万元；分别增加30.47%、30.47%。（由于改革前原旧城处是非预算单位，2019年决算数据均不含旧城处数据，下同）</w:t>
      </w:r>
    </w:p>
    <w:p w:rsidR="006C4DEA" w:rsidRDefault="00EE3F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6C4DEA" w:rsidRDefault="00EE3F6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本年收入总计1,309.88万元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，其中：一般公共预算财政拨款收入465.8万元；占比35.56%</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；政府基金预算财政拨款收入0万元；占比0%；上级补助收入0万元，占比0%；事业收入0万元，占比0%；事业单位经营收入0万元，占比0%；附属单位上缴收入0万元，占比0%；其他收入844.08万元，占比64.44%。</w:t>
      </w:r>
    </w:p>
    <w:p w:rsidR="006C4DEA" w:rsidRDefault="00EE3F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本年支出合计1,075.14万元，其中：基本支出226.51万元，占21.07%；项目支出848.63万元，占78.93%；上缴上级支出0万元，占0%；经营支出0万元，占0%。</w:t>
      </w:r>
    </w:p>
    <w:p w:rsidR="006C4DEA" w:rsidRDefault="00EE3F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本单位2020年度财政拨款收、支总决算536.00万元、536.00万元。与2019年相比，财政拨款收、支总计各减少178.32万元、178.32万元，分别减少24.96%、24.96%。</w:t>
      </w:r>
    </w:p>
    <w:p w:rsidR="006C4DEA" w:rsidRDefault="00EE3F69">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本单位2020年度财政拨款支出442.09万元，占本年支出合计的41.12%。与2019年相比，财政拨款支出减少173.47万元，减少28.18%。</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6C4DEA" w:rsidRDefault="00EE3F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财政拨款支出442.09万元，主要用于以下方面：社会保障和就业（类）支出27.52万元，占6.22%；卫生健康（类）支出8.68万元，占1.96%；城乡社区（类）支出396.74万元，占89.75%；住房保障（类）支出9.15万元，占2.07%。</w:t>
      </w:r>
    </w:p>
    <w:p w:rsidR="006C4DEA" w:rsidRDefault="00EE3F69">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color w:val="000000" w:themeColor="text1"/>
          <w:kern w:val="0"/>
          <w:sz w:val="32"/>
          <w:szCs w:val="32"/>
        </w:rPr>
        <w:t>（三）财政拨款支出决算具体情况</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color w:val="000000" w:themeColor="text1"/>
          <w:kern w:val="0"/>
          <w:sz w:val="32"/>
          <w:szCs w:val="32"/>
        </w:rPr>
        <w:t xml:space="preserve"> 2020年度财政拨款支出年初预算为465.80万元</w:t>
      </w:r>
      <w:r>
        <w:rPr>
          <w:rFonts w:ascii="仿宋_GB2312" w:eastAsia="仿宋_GB2312" w:cs="仿宋_GB2312" w:hint="eastAsia"/>
          <w:bCs/>
          <w:kern w:val="0"/>
          <w:sz w:val="32"/>
          <w:szCs w:val="32"/>
        </w:rPr>
        <w:t>，支出决算为442.09万元，完成年初预算的94.9%。其中：</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1.社会保障和就业支出（类）行政事业单位养老支出（款）事业单位离退休（项）。年初预算为1.84万元，支出决算为1.84万元，完成年初预算的100%。</w:t>
      </w:r>
    </w:p>
    <w:p w:rsidR="006C4DEA" w:rsidRDefault="00EE3F69">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color w:val="000000" w:themeColor="text1"/>
          <w:kern w:val="0"/>
          <w:sz w:val="32"/>
          <w:szCs w:val="32"/>
        </w:rPr>
        <w:t xml:space="preserve">2.社会保障和就业支出（类）行政事业单位养老支出（款）机关事业单位基本养老保险缴费支出（项）。年初预算为18.3万元，支出决算为18.3万元，完成年初预算的100%。 </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3.社会保障和就业支出（类）行政事业单位养老支出（款）机关事业单位职业年金缴费支出（项）。年初预算为 7.38万元，支出决算为7.38万元，完成年初预算的100%。</w:t>
      </w:r>
    </w:p>
    <w:p w:rsidR="006C4DEA" w:rsidRDefault="00EE3F69">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color w:val="000000" w:themeColor="text1"/>
          <w:kern w:val="0"/>
          <w:sz w:val="32"/>
          <w:szCs w:val="32"/>
        </w:rPr>
        <w:t>4.卫生健康支出（类）行政事业单位医疗（款）事业单位医疗（项）。年初预算为8.68万元，支出决算为8.68万元，完成年初预算的100%。</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5.城乡社区支出（类）城乡社区管理事务（款）其他城乡社区管理事务支出（项）。年初预算为99.4万元，支出决算为92.52万元，完成年初预算的93.08%。</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6.城乡社区支出（类）城乡社区公共设施（款）其他城乡社区管理事务支出（项）。年初预算为180万元，支出决算为164.19万元，完成年初预算的91.22%。</w:t>
      </w:r>
    </w:p>
    <w:p w:rsidR="006C4DEA" w:rsidRDefault="00EE3F69">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color w:val="000000" w:themeColor="text1"/>
          <w:kern w:val="0"/>
          <w:sz w:val="32"/>
          <w:szCs w:val="32"/>
        </w:rPr>
        <w:t>7.城乡社区支出（类）建设市场管理与监督（款）建设市场管理与监督（项）。年初预算为141.04万元，支出决算为140.03万元，完成年初预算的99.28%。</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8.住房保障支出（类）住房改革支出（款）住房公积金（项）。年初预算为9.04万元，支出决算为9.04万元，完成年初预算的100%。</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9.住房保障支出（类）住房改革支出（款）购房补贴（项）。年初预算为0.11万元，支出决算为0.11万元，完成年初预算的100%。</w:t>
      </w:r>
    </w:p>
    <w:p w:rsidR="006C4DEA" w:rsidRDefault="00EE3F69">
      <w:pPr>
        <w:autoSpaceDE w:val="0"/>
        <w:autoSpaceDN w:val="0"/>
        <w:adjustRightInd w:val="0"/>
        <w:spacing w:line="580" w:lineRule="exact"/>
        <w:ind w:firstLineChars="100" w:firstLine="320"/>
        <w:jc w:val="left"/>
        <w:rPr>
          <w:rFonts w:ascii="仿宋_GB2312" w:eastAsia="仿宋_GB2312" w:cs="仿宋_GB2312"/>
          <w:b/>
          <w:kern w:val="0"/>
          <w:sz w:val="32"/>
          <w:szCs w:val="32"/>
        </w:rPr>
      </w:pPr>
      <w:r>
        <w:rPr>
          <w:rFonts w:ascii="仿宋_GB2312" w:eastAsia="仿宋_GB2312" w:cs="仿宋_GB2312" w:hint="eastAsia"/>
          <w:bCs/>
          <w:kern w:val="0"/>
          <w:sz w:val="32"/>
          <w:szCs w:val="32"/>
        </w:rPr>
        <w:t xml:space="preserve"> 六、</w:t>
      </w:r>
      <w:r>
        <w:rPr>
          <w:rFonts w:ascii="仿宋_GB2312" w:eastAsia="仿宋_GB2312" w:cs="仿宋_GB2312" w:hint="eastAsia"/>
          <w:b/>
          <w:kern w:val="0"/>
          <w:sz w:val="32"/>
          <w:szCs w:val="32"/>
        </w:rPr>
        <w:t>2020年度一般公共预算财政拨款基本支出决算情况</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2020年度财政拨款基本支出226.50万元，其中：</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人员经费206.86万元，主要包括：基本工资、津贴补贴、 奖金、伙食补助费、绩效工资、机关事业单位基本养老保险缴费、职业年金缴费、职工基本医疗保险缴费、其他社会保障缴费、住房公积金、医疗费、其他工资福利支出、退休费、生活补助。</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公用经费19.64万元，主要包括：办公费、印刷费、水费、电费、邮电费、物业管理费、差旅费、维修（护）费、</w:t>
      </w:r>
      <w:r>
        <w:rPr>
          <w:rFonts w:ascii="仿宋_GB2312" w:eastAsia="仿宋_GB2312" w:cs="仿宋_GB2312" w:hint="eastAsia"/>
          <w:bCs/>
          <w:kern w:val="0"/>
          <w:sz w:val="32"/>
          <w:szCs w:val="32"/>
        </w:rPr>
        <w:lastRenderedPageBreak/>
        <w:t>培训费、公务接待费、工会经费、公务用车运行维护费、其他交通费用、其他商品和服务支出。</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6C4DEA" w:rsidRDefault="00EE3F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6C4DEA" w:rsidRDefault="00EE3F69">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color w:val="000000" w:themeColor="text1"/>
          <w:kern w:val="0"/>
          <w:sz w:val="32"/>
          <w:szCs w:val="32"/>
        </w:rPr>
        <w:t>2020 年度“三公”经费财政拨款支出预算为3.49万元，支出决算为3.49万元，完成预算的100%，其中：公务用车运行费3.35万元，完成预算的100%，公务接待费支出决算为0.15万元，完成预算的100%。2020年度“三公”经费支出决算数等于预算数的主要原因是认真贯彻落实中央“八项规定”精神和厉行节约要求，进一步从严控制“三公”经费开支，全年实际支出与预算相符。</w:t>
      </w:r>
    </w:p>
    <w:p w:rsidR="006C4DEA" w:rsidRDefault="00EE3F69">
      <w:pPr>
        <w:autoSpaceDE w:val="0"/>
        <w:autoSpaceDN w:val="0"/>
        <w:adjustRightInd w:val="0"/>
        <w:spacing w:line="580" w:lineRule="exact"/>
        <w:ind w:firstLineChars="200" w:firstLine="640"/>
        <w:jc w:val="left"/>
        <w:rPr>
          <w:rFonts w:ascii="仿宋_GB2312" w:eastAsia="仿宋_GB2312" w:cs="仿宋_GB2312"/>
          <w:bCs/>
          <w:color w:val="0000FF"/>
          <w:kern w:val="0"/>
          <w:sz w:val="32"/>
          <w:szCs w:val="32"/>
        </w:rPr>
      </w:pPr>
      <w:r>
        <w:rPr>
          <w:rFonts w:ascii="仿宋_GB2312" w:eastAsia="仿宋_GB2312" w:cs="仿宋_GB2312" w:hint="eastAsia"/>
          <w:bCs/>
          <w:kern w:val="0"/>
          <w:sz w:val="32"/>
          <w:szCs w:val="32"/>
        </w:rPr>
        <w:t>2020年度“三公”经费财政拨款支出决算数比2019年增加1.52万元，增加77.16%，其中：公务用车购置及运行费支出决算增加1.47万元，增加78.61%；公务接待费支出决算增加0.05万元，增加50%。</w:t>
      </w:r>
    </w:p>
    <w:p w:rsidR="006C4DEA" w:rsidRDefault="00EE3F69">
      <w:pPr>
        <w:autoSpaceDE w:val="0"/>
        <w:autoSpaceDN w:val="0"/>
        <w:adjustRightInd w:val="0"/>
        <w:spacing w:line="580" w:lineRule="exact"/>
        <w:jc w:val="left"/>
        <w:rPr>
          <w:rFonts w:ascii="仿宋_GB2312" w:eastAsia="仿宋_GB2312" w:cs="仿宋_GB2312"/>
          <w:bCs/>
          <w:color w:val="0000FF"/>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color w:val="000000" w:themeColor="text1"/>
          <w:kern w:val="0"/>
          <w:sz w:val="32"/>
          <w:szCs w:val="32"/>
        </w:rPr>
        <w:t>公务用车购置及运行费、公务接待费支出增加的主要原因是我单位2020年机构改革前原旧城处是非预算单位，2019年度的三公经费中不含旧城处数据，改革合并后包含了旧城处数据，而且新单位业务调整，公务用车及接待费有所增加</w:t>
      </w:r>
      <w:r>
        <w:rPr>
          <w:rFonts w:ascii="仿宋_GB2312" w:eastAsia="仿宋_GB2312" w:cs="仿宋_GB2312" w:hint="eastAsia"/>
          <w:bCs/>
          <w:color w:val="0000FF"/>
          <w:kern w:val="0"/>
          <w:sz w:val="32"/>
          <w:szCs w:val="32"/>
        </w:rPr>
        <w:t>。</w:t>
      </w:r>
    </w:p>
    <w:p w:rsidR="006C4DEA" w:rsidRDefault="00EE3F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6C4DEA" w:rsidRDefault="00EE3F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2020年度“三公”经费财政拨款支出决算中，因公出国（境）费支出决算0万元，占0%；公务用车购置及运行费支出决算3.35万元，占95.99%；公务接待费支出决算0.15万</w:t>
      </w:r>
      <w:r>
        <w:rPr>
          <w:rFonts w:ascii="仿宋_GB2312" w:eastAsia="仿宋_GB2312" w:cs="仿宋_GB2312" w:hint="eastAsia"/>
          <w:bCs/>
          <w:kern w:val="0"/>
          <w:sz w:val="32"/>
          <w:szCs w:val="32"/>
        </w:rPr>
        <w:lastRenderedPageBreak/>
        <w:t xml:space="preserve">元，占4.01%。具体情况如下：  </w:t>
      </w:r>
    </w:p>
    <w:p w:rsidR="006C4DEA" w:rsidRDefault="00EE3F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1.公务用车购置及运行费支出3.35万元。其中：公务用车购置支出为0万元。公务用车运行支出3.35万元。主要用于车辆维修、购买车辆保险费等。2020年，</w:t>
      </w:r>
      <w:bookmarkStart w:id="0" w:name="_GoBack"/>
      <w:bookmarkEnd w:id="0"/>
      <w:r>
        <w:rPr>
          <w:rFonts w:ascii="仿宋_GB2312" w:eastAsia="仿宋_GB2312" w:cs="仿宋_GB2312" w:hint="eastAsia"/>
          <w:bCs/>
          <w:kern w:val="0"/>
          <w:sz w:val="32"/>
          <w:szCs w:val="32"/>
        </w:rPr>
        <w:t>单位开支财政拨款的公务用车保有量为2辆。</w:t>
      </w:r>
    </w:p>
    <w:p w:rsidR="006C4DEA" w:rsidRDefault="00EE3F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2.公务接待费支出0.15万元。其中：</w:t>
      </w:r>
    </w:p>
    <w:p w:rsidR="006C4DEA" w:rsidRDefault="00EE3F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国内公务接待支出0.15万元。主要用于接待餐费。2020 年共接待国内来访团组2个、来宾7人次。</w:t>
      </w:r>
    </w:p>
    <w:p w:rsidR="006C4DEA" w:rsidRDefault="00EE3F69">
      <w:pPr>
        <w:autoSpaceDE w:val="0"/>
        <w:autoSpaceDN w:val="0"/>
        <w:adjustRightInd w:val="0"/>
        <w:spacing w:line="580" w:lineRule="exact"/>
        <w:jc w:val="left"/>
        <w:rPr>
          <w:rFonts w:ascii="仿宋_GB2312" w:eastAsia="仿宋_GB2312" w:cs="仿宋_GB2312"/>
          <w:b/>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2020年度政府性基金预算财政拨款收入支出决算情况说明 </w:t>
      </w:r>
    </w:p>
    <w:p w:rsidR="006C4DEA" w:rsidRDefault="00EE3F69">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ascii="仿宋_GB2312" w:eastAsia="仿宋_GB2312" w:cs="仿宋_GB2312" w:hint="eastAsia"/>
          <w:bCs/>
          <w:kern w:val="0"/>
          <w:sz w:val="32"/>
          <w:szCs w:val="32"/>
        </w:rPr>
        <w:t xml:space="preserve">    </w:t>
      </w:r>
      <w:r>
        <w:rPr>
          <w:rFonts w:ascii="仿宋_GB2312" w:eastAsia="仿宋_GB2312" w:cs="仿宋_GB2312" w:hint="eastAsia"/>
          <w:bCs/>
          <w:color w:val="000000" w:themeColor="text1"/>
          <w:kern w:val="0"/>
          <w:sz w:val="32"/>
          <w:szCs w:val="32"/>
        </w:rPr>
        <w:t>本单位2020年度无政府基金预算财政拨款收入、支出。</w:t>
      </w:r>
    </w:p>
    <w:p w:rsidR="006C4DEA" w:rsidRDefault="00EE3F69">
      <w:pPr>
        <w:numPr>
          <w:ilvl w:val="0"/>
          <w:numId w:val="1"/>
        </w:numPr>
        <w:autoSpaceDE w:val="0"/>
        <w:autoSpaceDN w:val="0"/>
        <w:adjustRightInd w:val="0"/>
        <w:spacing w:line="580" w:lineRule="exact"/>
        <w:ind w:firstLineChars="200" w:firstLine="643"/>
        <w:jc w:val="left"/>
        <w:rPr>
          <w:rFonts w:ascii="仿宋_GB2312" w:eastAsia="仿宋_GB2312" w:cs="仿宋_GB2312"/>
          <w:b/>
          <w:color w:val="000000" w:themeColor="text1"/>
          <w:kern w:val="0"/>
          <w:sz w:val="32"/>
          <w:szCs w:val="32"/>
        </w:rPr>
      </w:pPr>
      <w:r>
        <w:rPr>
          <w:rFonts w:ascii="仿宋_GB2312" w:eastAsia="仿宋_GB2312" w:cs="仿宋_GB2312" w:hint="eastAsia"/>
          <w:b/>
          <w:color w:val="000000" w:themeColor="text1"/>
          <w:kern w:val="0"/>
          <w:sz w:val="32"/>
          <w:szCs w:val="32"/>
        </w:rPr>
        <w:t>国有资本经营预算财政拨款支出情况说明</w:t>
      </w:r>
    </w:p>
    <w:p w:rsidR="006C4DEA" w:rsidRDefault="00EE3F69">
      <w:pPr>
        <w:autoSpaceDE w:val="0"/>
        <w:autoSpaceDN w:val="0"/>
        <w:adjustRightInd w:val="0"/>
        <w:spacing w:line="580" w:lineRule="exact"/>
        <w:jc w:val="left"/>
        <w:rPr>
          <w:rFonts w:ascii="仿宋_GB2312" w:eastAsia="仿宋_GB2312" w:cs="仿宋_GB2312"/>
          <w:bCs/>
          <w:color w:val="000000" w:themeColor="text1"/>
          <w:kern w:val="0"/>
          <w:sz w:val="32"/>
          <w:szCs w:val="32"/>
        </w:rPr>
      </w:pPr>
      <w:r>
        <w:rPr>
          <w:rFonts w:ascii="仿宋_GB2312" w:eastAsia="仿宋_GB2312" w:cs="仿宋_GB2312" w:hint="eastAsia"/>
          <w:b/>
          <w:color w:val="000000" w:themeColor="text1"/>
          <w:kern w:val="0"/>
          <w:sz w:val="32"/>
          <w:szCs w:val="32"/>
        </w:rPr>
        <w:t xml:space="preserve">    </w:t>
      </w:r>
      <w:r>
        <w:rPr>
          <w:rFonts w:ascii="仿宋_GB2312" w:eastAsia="仿宋_GB2312" w:cs="仿宋_GB2312" w:hint="eastAsia"/>
          <w:bCs/>
          <w:color w:val="000000" w:themeColor="text1"/>
          <w:kern w:val="0"/>
          <w:sz w:val="32"/>
          <w:szCs w:val="32"/>
        </w:rPr>
        <w:t>本单位2020年度无国有资本经营预算财政拨款本年支出 。</w:t>
      </w:r>
    </w:p>
    <w:p w:rsidR="006C4DEA" w:rsidRDefault="00EE3F69">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年度预算绩效情况说明</w:t>
      </w:r>
    </w:p>
    <w:p w:rsidR="006C4DEA" w:rsidRDefault="00EE3F69">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6C4DEA" w:rsidRDefault="00EE3F6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根据财政预算管理要求，我单位对2020年度一般公共预算项目支出全面开展绩效自评。其中，一级项目一个，共涉及预算资金485.19万元，自评覆盖率达到100%。</w:t>
      </w:r>
    </w:p>
    <w:p w:rsidR="006C4DEA" w:rsidRDefault="00EE3F69">
      <w:pPr>
        <w:numPr>
          <w:ilvl w:val="0"/>
          <w:numId w:val="2"/>
        </w:num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color w:val="000000" w:themeColor="text1"/>
          <w:kern w:val="0"/>
          <w:sz w:val="32"/>
          <w:szCs w:val="32"/>
        </w:rPr>
        <w:t>部门决算中项目绩效自评结果。</w:t>
      </w:r>
    </w:p>
    <w:p w:rsidR="006C4DEA" w:rsidRDefault="00EE3F69">
      <w:pPr>
        <w:autoSpaceDE w:val="0"/>
        <w:autoSpaceDN w:val="0"/>
        <w:adjustRightInd w:val="0"/>
        <w:spacing w:line="58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color w:val="000000" w:themeColor="text1"/>
          <w:kern w:val="0"/>
          <w:sz w:val="32"/>
          <w:szCs w:val="32"/>
        </w:rPr>
        <w:t>我单位根据年初设定的绩效目标，白蚁防治经费项目自评得分为96.98分。其中绩效目标执行情况得分99.12分（按70%换算为69.38分），绩效目标审核得分为92分（按30%换算为27.6分），主要原因是绩效目标、绩效指标、预期绩效</w:t>
      </w:r>
      <w:r>
        <w:rPr>
          <w:rFonts w:ascii="仿宋_GB2312" w:eastAsia="仿宋_GB2312" w:cs="仿宋_GB2312" w:hint="eastAsia"/>
          <w:color w:val="000000" w:themeColor="text1"/>
          <w:kern w:val="0"/>
          <w:sz w:val="32"/>
          <w:szCs w:val="32"/>
        </w:rPr>
        <w:lastRenderedPageBreak/>
        <w:t>等设置还不够细化、充分，需要进一步完善。</w:t>
      </w:r>
    </w:p>
    <w:p w:rsidR="006C4DEA" w:rsidRDefault="00EE3F69">
      <w:pPr>
        <w:autoSpaceDE w:val="0"/>
        <w:autoSpaceDN w:val="0"/>
        <w:adjustRightInd w:val="0"/>
        <w:spacing w:line="580" w:lineRule="exact"/>
        <w:ind w:firstLineChars="300" w:firstLine="964"/>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6C4DEA" w:rsidRDefault="00EE3F69">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（一）政府采购支出情况。2020年度部门政府采购支出总额192.28万元，其中：货物支出174.56万元、工程支出0万元、服务支出17.72万元。</w:t>
      </w:r>
    </w:p>
    <w:p w:rsidR="006C4DEA" w:rsidRDefault="00EE3F69">
      <w:pPr>
        <w:autoSpaceDE w:val="0"/>
        <w:autoSpaceDN w:val="0"/>
        <w:adjustRightInd w:val="0"/>
        <w:spacing w:line="580" w:lineRule="exact"/>
        <w:ind w:firstLineChars="196" w:firstLine="627"/>
        <w:jc w:val="left"/>
        <w:rPr>
          <w:rFonts w:ascii="仿宋_GB2312" w:eastAsia="仿宋_GB2312" w:cs="仿宋_GB2312"/>
          <w:color w:val="000000" w:themeColor="text1"/>
          <w:kern w:val="0"/>
          <w:sz w:val="32"/>
          <w:szCs w:val="32"/>
        </w:rPr>
      </w:pPr>
      <w:r>
        <w:rPr>
          <w:rFonts w:ascii="仿宋_GB2312" w:eastAsia="仿宋_GB2312" w:cs="仿宋_GB2312" w:hint="eastAsia"/>
          <w:kern w:val="0"/>
          <w:sz w:val="32"/>
          <w:szCs w:val="32"/>
        </w:rPr>
        <w:t>（二）国有资产占用情况。截至年末部门共有车辆13辆，其中：公务用车2辆；执法执勤用车0辆；专业技术用车11辆；</w:t>
      </w:r>
      <w:r>
        <w:rPr>
          <w:rFonts w:ascii="仿宋_GB2312" w:eastAsia="仿宋_GB2312" w:cs="仿宋_GB2312" w:hint="eastAsia"/>
          <w:color w:val="000000" w:themeColor="text1"/>
          <w:kern w:val="0"/>
          <w:sz w:val="32"/>
          <w:szCs w:val="32"/>
        </w:rPr>
        <w:t xml:space="preserve">无单价50万元以上通用设备，无单价100万元以上专用设备。 </w:t>
      </w:r>
    </w:p>
    <w:p w:rsidR="006C4DEA" w:rsidRDefault="00EE3F69">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其他收入：指除上述“财政拨款收入”、“事业收入”、“经营收入”等以外的收入。主要是：利息收入、白蚁防治收入（归集资金）。</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w:t>
      </w:r>
      <w:r>
        <w:rPr>
          <w:rFonts w:ascii="仿宋_GB2312" w:eastAsia="仿宋_GB2312" w:hint="eastAsia"/>
          <w:bCs/>
          <w:sz w:val="32"/>
          <w:szCs w:val="32"/>
        </w:rPr>
        <w:lastRenderedPageBreak/>
        <w:t>本年按规定继续使用的资金。</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6C4DEA" w:rsidRDefault="00EE3F69">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C4DEA" w:rsidRDefault="00EE3F69">
      <w:pPr>
        <w:numPr>
          <w:ilvl w:val="0"/>
          <w:numId w:val="3"/>
        </w:numPr>
        <w:spacing w:line="580" w:lineRule="exact"/>
        <w:ind w:firstLine="645"/>
      </w:pPr>
      <w:r>
        <w:rPr>
          <w:rFonts w:ascii="仿宋_GB2312" w:eastAsia="仿宋_GB2312" w:hint="eastAsia"/>
          <w:bCs/>
          <w:sz w:val="32"/>
          <w:szCs w:val="32"/>
        </w:rPr>
        <w:t>机关运行经费：为保障行政单位（含参照公务员法管理的事业）运行用于购买货物和服务的各项资金，</w:t>
      </w:r>
      <w:r>
        <w:rPr>
          <w:rFonts w:ascii="仿宋_GB2312" w:eastAsia="仿宋_GB2312" w:hint="eastAsia"/>
          <w:bCs/>
          <w:sz w:val="32"/>
          <w:szCs w:val="32"/>
        </w:rPr>
        <w:lastRenderedPageBreak/>
        <w:t>包括办公及印刷费、邮电费、差旅费、会议费、福利费、日常维修费、专用材料及一般设备购置费、办公用房物业管理费、公务用车运行维护费以及其他费用。</w:t>
      </w:r>
    </w:p>
    <w:sectPr w:rsidR="006C4DEA" w:rsidSect="006C4DEA">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DEA" w:rsidRDefault="006C4DEA" w:rsidP="006C4DEA">
      <w:r>
        <w:separator/>
      </w:r>
    </w:p>
  </w:endnote>
  <w:endnote w:type="continuationSeparator" w:id="0">
    <w:p w:rsidR="006C4DEA" w:rsidRDefault="006C4DEA" w:rsidP="006C4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EA" w:rsidRDefault="006C4DE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EA" w:rsidRDefault="00EE3F69">
    <w:pPr>
      <w:pStyle w:val="a4"/>
      <w:ind w:firstLine="480"/>
      <w:jc w:val="center"/>
      <w:rPr>
        <w:rFonts w:ascii="宋体" w:hAnsi="宋体"/>
        <w:sz w:val="24"/>
        <w:szCs w:val="24"/>
      </w:rPr>
    </w:pPr>
    <w:r>
      <w:rPr>
        <w:rFonts w:ascii="宋体" w:hAnsi="宋体" w:hint="eastAsia"/>
        <w:sz w:val="24"/>
        <w:szCs w:val="24"/>
      </w:rPr>
      <w:t xml:space="preserve">- </w:t>
    </w:r>
    <w:r w:rsidR="00873C73">
      <w:rPr>
        <w:rFonts w:ascii="宋体" w:hAnsi="宋体"/>
        <w:sz w:val="24"/>
        <w:szCs w:val="24"/>
      </w:rPr>
      <w:fldChar w:fldCharType="begin"/>
    </w:r>
    <w:r>
      <w:rPr>
        <w:rFonts w:ascii="宋体" w:hAnsi="宋体"/>
        <w:sz w:val="24"/>
        <w:szCs w:val="24"/>
      </w:rPr>
      <w:instrText>PAGE   \* MERGEFORMAT</w:instrText>
    </w:r>
    <w:r w:rsidR="00873C73">
      <w:rPr>
        <w:rFonts w:ascii="宋体" w:hAnsi="宋体"/>
        <w:sz w:val="24"/>
        <w:szCs w:val="24"/>
      </w:rPr>
      <w:fldChar w:fldCharType="separate"/>
    </w:r>
    <w:r w:rsidR="000D00F2" w:rsidRPr="000D00F2">
      <w:rPr>
        <w:rFonts w:ascii="宋体" w:hAnsi="宋体"/>
        <w:noProof/>
        <w:sz w:val="24"/>
        <w:szCs w:val="24"/>
        <w:lang w:val="zh-CN"/>
      </w:rPr>
      <w:t>5</w:t>
    </w:r>
    <w:r w:rsidR="00873C73">
      <w:rPr>
        <w:rFonts w:ascii="宋体" w:hAnsi="宋体"/>
        <w:sz w:val="24"/>
        <w:szCs w:val="24"/>
      </w:rPr>
      <w:fldChar w:fldCharType="end"/>
    </w:r>
    <w:r>
      <w:rPr>
        <w:rFonts w:ascii="宋体" w:hAnsi="宋体" w:hint="eastAsia"/>
        <w:sz w:val="24"/>
        <w:szCs w:val="24"/>
      </w:rPr>
      <w:t xml:space="preserve"> -</w:t>
    </w:r>
  </w:p>
  <w:p w:rsidR="006C4DEA" w:rsidRDefault="006C4DE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EA" w:rsidRDefault="006C4DEA">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EA" w:rsidRDefault="00873C73">
    <w:pPr>
      <w:pStyle w:val="a4"/>
      <w:framePr w:wrap="around" w:vAnchor="text" w:hAnchor="margin" w:xAlign="center" w:y="1"/>
      <w:rPr>
        <w:rStyle w:val="a6"/>
      </w:rPr>
    </w:pPr>
    <w:r>
      <w:fldChar w:fldCharType="begin"/>
    </w:r>
    <w:r w:rsidR="00EE3F69">
      <w:rPr>
        <w:rStyle w:val="a6"/>
      </w:rPr>
      <w:instrText xml:space="preserve">PAGE  </w:instrText>
    </w:r>
    <w:r>
      <w:fldChar w:fldCharType="end"/>
    </w:r>
  </w:p>
  <w:p w:rsidR="006C4DEA" w:rsidRDefault="006C4DE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EA" w:rsidRDefault="00873C73">
    <w:pPr>
      <w:pStyle w:val="a4"/>
      <w:framePr w:wrap="around" w:vAnchor="text" w:hAnchor="margin" w:xAlign="center" w:y="1"/>
      <w:rPr>
        <w:rStyle w:val="a6"/>
        <w:sz w:val="30"/>
        <w:szCs w:val="30"/>
      </w:rPr>
    </w:pPr>
    <w:r>
      <w:rPr>
        <w:sz w:val="30"/>
        <w:szCs w:val="30"/>
      </w:rPr>
      <w:fldChar w:fldCharType="begin"/>
    </w:r>
    <w:r w:rsidR="00EE3F69">
      <w:rPr>
        <w:rStyle w:val="a6"/>
        <w:sz w:val="30"/>
        <w:szCs w:val="30"/>
      </w:rPr>
      <w:instrText xml:space="preserve">PAGE  </w:instrText>
    </w:r>
    <w:r>
      <w:rPr>
        <w:sz w:val="30"/>
        <w:szCs w:val="30"/>
      </w:rPr>
      <w:fldChar w:fldCharType="separate"/>
    </w:r>
    <w:r w:rsidR="000D00F2">
      <w:rPr>
        <w:rStyle w:val="a6"/>
        <w:noProof/>
        <w:sz w:val="30"/>
        <w:szCs w:val="30"/>
      </w:rPr>
      <w:t>- 14 -</w:t>
    </w:r>
    <w:r>
      <w:rPr>
        <w:sz w:val="30"/>
        <w:szCs w:val="30"/>
      </w:rPr>
      <w:fldChar w:fldCharType="end"/>
    </w:r>
  </w:p>
  <w:p w:rsidR="006C4DEA" w:rsidRDefault="006C4D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DEA" w:rsidRDefault="006C4DEA" w:rsidP="006C4DEA">
      <w:r>
        <w:separator/>
      </w:r>
    </w:p>
  </w:footnote>
  <w:footnote w:type="continuationSeparator" w:id="0">
    <w:p w:rsidR="006C4DEA" w:rsidRDefault="006C4DEA" w:rsidP="006C4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EA" w:rsidRDefault="006C4DEA">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EA" w:rsidRDefault="006C4DEA">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DEA" w:rsidRDefault="006C4DEA">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pPr>
        <w:ind w:left="405"/>
      </w:pPr>
      <w:rPr>
        <w:rFonts w:ascii="仿宋" w:eastAsia="仿宋" w:hAnsi="仿宋" w:cs="仿宋" w:hint="eastAsia"/>
        <w:sz w:val="32"/>
        <w:szCs w:val="32"/>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defaultTabStop w:val="420"/>
  <w:drawingGridVerticalSpacing w:val="156"/>
  <w:noPunctuationKerning/>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30B5"/>
    <w:rsid w:val="00066CA3"/>
    <w:rsid w:val="000D00F2"/>
    <w:rsid w:val="000F353E"/>
    <w:rsid w:val="00224CE0"/>
    <w:rsid w:val="00411CD8"/>
    <w:rsid w:val="00440852"/>
    <w:rsid w:val="004E2E08"/>
    <w:rsid w:val="00667388"/>
    <w:rsid w:val="006C1367"/>
    <w:rsid w:val="006C4DEA"/>
    <w:rsid w:val="00715385"/>
    <w:rsid w:val="00873C73"/>
    <w:rsid w:val="008A1615"/>
    <w:rsid w:val="00AB5121"/>
    <w:rsid w:val="00B74B10"/>
    <w:rsid w:val="00B95ACB"/>
    <w:rsid w:val="00BC653E"/>
    <w:rsid w:val="00C327CF"/>
    <w:rsid w:val="00D2619F"/>
    <w:rsid w:val="00EB0910"/>
    <w:rsid w:val="00EB4F0F"/>
    <w:rsid w:val="00EE3F69"/>
    <w:rsid w:val="00F21146"/>
    <w:rsid w:val="00F31007"/>
    <w:rsid w:val="00F66C5B"/>
    <w:rsid w:val="05014432"/>
    <w:rsid w:val="06632D1B"/>
    <w:rsid w:val="077F51A6"/>
    <w:rsid w:val="08D11E30"/>
    <w:rsid w:val="0C2C01D8"/>
    <w:rsid w:val="0C370116"/>
    <w:rsid w:val="0E074DDF"/>
    <w:rsid w:val="0FCA1DA5"/>
    <w:rsid w:val="113444AD"/>
    <w:rsid w:val="11C10B35"/>
    <w:rsid w:val="124204B5"/>
    <w:rsid w:val="12787F83"/>
    <w:rsid w:val="14BB5039"/>
    <w:rsid w:val="15576AEA"/>
    <w:rsid w:val="16DF76E4"/>
    <w:rsid w:val="182962AB"/>
    <w:rsid w:val="182A5AD8"/>
    <w:rsid w:val="19790378"/>
    <w:rsid w:val="19D073EB"/>
    <w:rsid w:val="1B56743D"/>
    <w:rsid w:val="1B882240"/>
    <w:rsid w:val="1CC31F67"/>
    <w:rsid w:val="211D0042"/>
    <w:rsid w:val="216554E2"/>
    <w:rsid w:val="22897312"/>
    <w:rsid w:val="246A7E4F"/>
    <w:rsid w:val="24D337DC"/>
    <w:rsid w:val="26460DBA"/>
    <w:rsid w:val="2728191E"/>
    <w:rsid w:val="27376D74"/>
    <w:rsid w:val="28802F4A"/>
    <w:rsid w:val="28B966D2"/>
    <w:rsid w:val="2B5E53C8"/>
    <w:rsid w:val="2B6E2258"/>
    <w:rsid w:val="2B6F74EB"/>
    <w:rsid w:val="2C3B3E2D"/>
    <w:rsid w:val="2C4219FE"/>
    <w:rsid w:val="2D3738B5"/>
    <w:rsid w:val="2E0E6640"/>
    <w:rsid w:val="2E787DCC"/>
    <w:rsid w:val="2F19492B"/>
    <w:rsid w:val="2FDF4761"/>
    <w:rsid w:val="31152D31"/>
    <w:rsid w:val="335777D4"/>
    <w:rsid w:val="33A52911"/>
    <w:rsid w:val="33B32314"/>
    <w:rsid w:val="33CD6619"/>
    <w:rsid w:val="34020F86"/>
    <w:rsid w:val="35DF4B0A"/>
    <w:rsid w:val="366A0C84"/>
    <w:rsid w:val="384065DF"/>
    <w:rsid w:val="392A3A90"/>
    <w:rsid w:val="39A63F06"/>
    <w:rsid w:val="3B5D7A41"/>
    <w:rsid w:val="3BC9305B"/>
    <w:rsid w:val="3C673CCB"/>
    <w:rsid w:val="3ED1439F"/>
    <w:rsid w:val="42973B41"/>
    <w:rsid w:val="42E641D3"/>
    <w:rsid w:val="43FD02A2"/>
    <w:rsid w:val="48374EDC"/>
    <w:rsid w:val="486E10E0"/>
    <w:rsid w:val="4A673976"/>
    <w:rsid w:val="4BCB2256"/>
    <w:rsid w:val="4BE34270"/>
    <w:rsid w:val="4BE5724B"/>
    <w:rsid w:val="4C256E3D"/>
    <w:rsid w:val="4CA021AA"/>
    <w:rsid w:val="4CB52F0F"/>
    <w:rsid w:val="4E361437"/>
    <w:rsid w:val="4FE44A7C"/>
    <w:rsid w:val="51583C74"/>
    <w:rsid w:val="52CE1718"/>
    <w:rsid w:val="53186A4C"/>
    <w:rsid w:val="532F1F9A"/>
    <w:rsid w:val="53B344A9"/>
    <w:rsid w:val="53C466F6"/>
    <w:rsid w:val="5686551C"/>
    <w:rsid w:val="57046A7F"/>
    <w:rsid w:val="578C1AA5"/>
    <w:rsid w:val="58F86E0C"/>
    <w:rsid w:val="5965328D"/>
    <w:rsid w:val="59805361"/>
    <w:rsid w:val="5A8C0C31"/>
    <w:rsid w:val="5B0D0977"/>
    <w:rsid w:val="5BFE07A2"/>
    <w:rsid w:val="5E1E5FB7"/>
    <w:rsid w:val="5E995A3E"/>
    <w:rsid w:val="60E4518D"/>
    <w:rsid w:val="61FD707E"/>
    <w:rsid w:val="62163194"/>
    <w:rsid w:val="624D024D"/>
    <w:rsid w:val="628F0335"/>
    <w:rsid w:val="62D12C50"/>
    <w:rsid w:val="650E086A"/>
    <w:rsid w:val="657C741D"/>
    <w:rsid w:val="666C25D4"/>
    <w:rsid w:val="67793747"/>
    <w:rsid w:val="677D780F"/>
    <w:rsid w:val="67AC3CED"/>
    <w:rsid w:val="67E11F84"/>
    <w:rsid w:val="6A0F6F4F"/>
    <w:rsid w:val="6A3E1E32"/>
    <w:rsid w:val="6BAA0708"/>
    <w:rsid w:val="6BF676C2"/>
    <w:rsid w:val="6C5434CD"/>
    <w:rsid w:val="6CB0148B"/>
    <w:rsid w:val="6E964497"/>
    <w:rsid w:val="6EBA11B1"/>
    <w:rsid w:val="71255E98"/>
    <w:rsid w:val="717F3F17"/>
    <w:rsid w:val="720F5F0B"/>
    <w:rsid w:val="76165639"/>
    <w:rsid w:val="76AB293E"/>
    <w:rsid w:val="76D8168B"/>
    <w:rsid w:val="785F50FA"/>
    <w:rsid w:val="787128B7"/>
    <w:rsid w:val="799953C4"/>
    <w:rsid w:val="7A007339"/>
    <w:rsid w:val="7A257CD1"/>
    <w:rsid w:val="7B5E42D6"/>
    <w:rsid w:val="7D1E7134"/>
    <w:rsid w:val="7DDA5DF6"/>
    <w:rsid w:val="7F7E08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D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C4DEA"/>
    <w:rPr>
      <w:sz w:val="18"/>
      <w:szCs w:val="18"/>
    </w:rPr>
  </w:style>
  <w:style w:type="paragraph" w:styleId="a4">
    <w:name w:val="footer"/>
    <w:basedOn w:val="a"/>
    <w:qFormat/>
    <w:rsid w:val="006C4DEA"/>
    <w:pPr>
      <w:tabs>
        <w:tab w:val="center" w:pos="4153"/>
        <w:tab w:val="right" w:pos="8306"/>
      </w:tabs>
      <w:snapToGrid w:val="0"/>
      <w:jc w:val="left"/>
    </w:pPr>
    <w:rPr>
      <w:sz w:val="18"/>
      <w:szCs w:val="18"/>
    </w:rPr>
  </w:style>
  <w:style w:type="paragraph" w:styleId="a5">
    <w:name w:val="header"/>
    <w:basedOn w:val="a"/>
    <w:qFormat/>
    <w:rsid w:val="006C4DEA"/>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6C4DEA"/>
  </w:style>
  <w:style w:type="character" w:customStyle="1" w:styleId="Char">
    <w:name w:val="批注框文本 Char"/>
    <w:basedOn w:val="a0"/>
    <w:link w:val="a3"/>
    <w:qFormat/>
    <w:rsid w:val="006C4DEA"/>
    <w:rPr>
      <w:kern w:val="2"/>
      <w:sz w:val="18"/>
      <w:szCs w:val="18"/>
    </w:rPr>
  </w:style>
  <w:style w:type="character" w:customStyle="1" w:styleId="font11">
    <w:name w:val="font11"/>
    <w:basedOn w:val="a0"/>
    <w:qFormat/>
    <w:rsid w:val="006C4DEA"/>
    <w:rPr>
      <w:rFonts w:ascii="宋体" w:eastAsia="宋体" w:hAnsi="宋体" w:cs="宋体" w:hint="eastAsia"/>
      <w:color w:val="000000"/>
      <w:sz w:val="22"/>
      <w:szCs w:val="22"/>
      <w:u w:val="none"/>
    </w:rPr>
  </w:style>
  <w:style w:type="character" w:customStyle="1" w:styleId="font01">
    <w:name w:val="font01"/>
    <w:basedOn w:val="a0"/>
    <w:qFormat/>
    <w:rsid w:val="006C4DEA"/>
    <w:rPr>
      <w:rFonts w:ascii="宋体" w:eastAsia="宋体" w:hAnsi="宋体" w:cs="宋体" w:hint="eastAsia"/>
      <w:color w:val="000000"/>
      <w:sz w:val="24"/>
      <w:szCs w:val="24"/>
      <w:u w:val="none"/>
    </w:rPr>
  </w:style>
  <w:style w:type="paragraph" w:customStyle="1" w:styleId="1">
    <w:name w:val="正文1"/>
    <w:basedOn w:val="a"/>
    <w:uiPriority w:val="3"/>
    <w:qFormat/>
    <w:rsid w:val="006C4DEA"/>
    <w:pPr>
      <w:widowControl/>
    </w:pPr>
    <w:rPr>
      <w:rFonts w:eastAsia="Times New Roman"/>
      <w:kern w:val="0"/>
      <w:szCs w:val="20"/>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7810</Words>
  <Characters>5522</Characters>
  <Application>Microsoft Office Word</Application>
  <DocSecurity>0</DocSecurity>
  <Lines>46</Lines>
  <Paragraphs>26</Paragraphs>
  <ScaleCrop>false</ScaleCrop>
  <Company>微软中国</Company>
  <LinksUpToDate>false</LinksUpToDate>
  <CharactersWithSpaces>13306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刘慧春</cp:lastModifiedBy>
  <cp:revision>2</cp:revision>
  <cp:lastPrinted>2021-07-07T01:10:00Z</cp:lastPrinted>
  <dcterms:created xsi:type="dcterms:W3CDTF">2021-08-17T09:44:00Z</dcterms:created>
  <dcterms:modified xsi:type="dcterms:W3CDTF">2021-08-17T09:44:00Z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06B98C0DE73B44E0B33728BB1A5D088B</vt:lpwstr>
  </property>
</Properties>
</file>