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val="en-US" w:eastAsia="zh-CN"/>
        </w:rPr>
      </w:pPr>
      <w:r>
        <w:rPr>
          <w:rFonts w:hint="eastAsia" w:ascii="黑体" w:eastAsia="黑体" w:cs="ArialUnicodeMS"/>
          <w:kern w:val="0"/>
          <w:sz w:val="52"/>
          <w:szCs w:val="52"/>
        </w:rPr>
        <w:t>柳州市</w:t>
      </w:r>
      <w:r>
        <w:rPr>
          <w:rFonts w:hint="eastAsia" w:ascii="黑体" w:eastAsia="黑体" w:cs="ArialUnicodeMS"/>
          <w:kern w:val="0"/>
          <w:sz w:val="52"/>
          <w:szCs w:val="52"/>
          <w:lang w:eastAsia="zh-CN"/>
        </w:rPr>
        <w:t>爱国卫生服务所</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柳州市爱国卫生服务所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柳州市爱国卫生服务所</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柳州市爱国卫生服务所</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柳州市爱国卫生服务所</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Helvetica" w:eastAsia="仿宋_GB2312" w:cs="仿宋_GB2312"/>
          <w:i w:val="0"/>
          <w:caps w:val="0"/>
          <w:color w:val="333333"/>
          <w:spacing w:val="0"/>
          <w:sz w:val="31"/>
          <w:szCs w:val="31"/>
          <w:highlight w:val="none"/>
          <w:shd w:val="clear" w:fill="FFFFFF"/>
        </w:rPr>
      </w:pPr>
      <w:r>
        <w:rPr>
          <w:rFonts w:ascii="仿宋_GB2312" w:hAnsi="Helvetica" w:eastAsia="仿宋_GB2312" w:cs="仿宋_GB2312"/>
          <w:i w:val="0"/>
          <w:caps w:val="0"/>
          <w:color w:val="333333"/>
          <w:spacing w:val="0"/>
          <w:sz w:val="31"/>
          <w:szCs w:val="31"/>
          <w:highlight w:val="none"/>
          <w:shd w:val="clear" w:fill="FFFFFF"/>
        </w:rPr>
        <w:t>（</w:t>
      </w:r>
      <w:r>
        <w:rPr>
          <w:rFonts w:hint="eastAsia" w:ascii="仿宋_GB2312" w:hAnsi="Helvetica" w:eastAsia="仿宋_GB2312" w:cs="仿宋_GB2312"/>
          <w:i w:val="0"/>
          <w:caps w:val="0"/>
          <w:color w:val="333333"/>
          <w:spacing w:val="0"/>
          <w:sz w:val="31"/>
          <w:szCs w:val="31"/>
          <w:highlight w:val="none"/>
          <w:shd w:val="clear" w:fill="FFFFFF"/>
        </w:rPr>
        <w:t>一）为市民身体健康提供爱国卫生服务及虫害防治保障。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Helvetica" w:hAnsi="Helvetica" w:eastAsia="Helvetica" w:cs="Helvetica"/>
          <w:i w:val="0"/>
          <w:caps w:val="0"/>
          <w:color w:val="333333"/>
          <w:spacing w:val="0"/>
          <w:sz w:val="21"/>
          <w:szCs w:val="21"/>
        </w:rPr>
      </w:pPr>
      <w:r>
        <w:rPr>
          <w:rFonts w:hint="eastAsia" w:ascii="仿宋_GB2312" w:hAnsi="Helvetica" w:eastAsia="仿宋_GB2312" w:cs="仿宋_GB2312"/>
          <w:i w:val="0"/>
          <w:caps w:val="0"/>
          <w:color w:val="333333"/>
          <w:spacing w:val="0"/>
          <w:sz w:val="31"/>
          <w:szCs w:val="31"/>
          <w:highlight w:val="none"/>
          <w:shd w:val="clear" w:fill="FFFFFF"/>
        </w:rPr>
        <w:t>（二）落实爱国卫生运动有关政策，承担市级爱国卫生事务性工作，开展虫害防治服务、信息统计及对策研究工作。</w:t>
      </w:r>
    </w:p>
    <w:p>
      <w:pPr>
        <w:ind w:firstLine="646"/>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ind w:firstLine="646"/>
        <w:rPr>
          <w:rFonts w:hint="default" w:ascii="Helvetica" w:hAnsi="Helvetica" w:eastAsia="Helvetica" w:cs="Helvetica"/>
          <w:i w:val="0"/>
          <w:caps w:val="0"/>
          <w:color w:val="333333"/>
          <w:spacing w:val="0"/>
          <w:sz w:val="21"/>
          <w:szCs w:val="21"/>
          <w:highlight w:val="none"/>
        </w:rPr>
      </w:pPr>
      <w:r>
        <w:rPr>
          <w:rFonts w:hint="eastAsia" w:ascii="仿宋_GB2312" w:hAnsi="Helvetica" w:eastAsia="仿宋_GB2312" w:cs="仿宋_GB2312"/>
          <w:i w:val="0"/>
          <w:caps w:val="0"/>
          <w:color w:val="333333"/>
          <w:spacing w:val="0"/>
          <w:sz w:val="31"/>
          <w:szCs w:val="31"/>
          <w:highlight w:val="none"/>
          <w:shd w:val="clear" w:fill="FFFFFF"/>
        </w:rPr>
        <w:t>本单位为柳州市财政预算编审中心为财政局管理的正科级公益一类全额拨款事业单位。</w:t>
      </w: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柳州市爱国卫生服务所</w:t>
      </w:r>
      <w:r>
        <w:rPr>
          <w:rFonts w:hint="eastAsia" w:ascii="仿宋_GB2312" w:eastAsia="仿宋_GB2312"/>
          <w:b/>
          <w:sz w:val="32"/>
          <w:szCs w:val="32"/>
        </w:rPr>
        <w:t xml:space="preserve"> 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spacing w:line="580" w:lineRule="exact"/>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该部分表格详见附件</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柳州市爱国卫生服务所</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hAnsi="黑体" w:eastAsia="仿宋_GB2312"/>
          <w:b/>
          <w:bCs/>
          <w:color w:val="000000"/>
          <w:sz w:val="32"/>
          <w:szCs w:val="32"/>
          <w:u w:val="none"/>
          <w:lang w:eastAsia="zh-CN"/>
        </w:rPr>
        <w:t>一、2020年度收入</w:t>
      </w:r>
      <w:r>
        <w:rPr>
          <w:rFonts w:hint="eastAsia" w:ascii="仿宋_GB2312" w:eastAsia="仿宋_GB2312" w:cs="仿宋_GB2312"/>
          <w:b/>
          <w:kern w:val="0"/>
          <w:sz w:val="32"/>
          <w:szCs w:val="32"/>
        </w:rPr>
        <w:t>支出决算总体情况</w:t>
      </w:r>
    </w:p>
    <w:p>
      <w:pPr>
        <w:autoSpaceDE w:val="0"/>
        <w:autoSpaceDN w:val="0"/>
        <w:adjustRightInd w:val="0"/>
        <w:spacing w:line="580" w:lineRule="exact"/>
        <w:ind w:firstLine="643"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highlight w:val="none"/>
          <w:lang w:val="en-US" w:eastAsia="zh-CN"/>
        </w:rPr>
        <w:t>176.29</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highlight w:val="none"/>
          <w:lang w:val="en-US" w:eastAsia="zh-CN"/>
        </w:rPr>
        <w:t>176.29</w:t>
      </w:r>
      <w:r>
        <w:rPr>
          <w:rFonts w:hint="eastAsia" w:ascii="仿宋_GB2312" w:eastAsia="仿宋_GB2312" w:cs="仿宋_GB2312"/>
          <w:bCs/>
          <w:kern w:val="0"/>
          <w:sz w:val="32"/>
          <w:szCs w:val="32"/>
        </w:rPr>
        <w:t>万元，与2019年相比，收、支分别</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highlight w:val="none"/>
          <w:lang w:val="en-US" w:eastAsia="zh-CN"/>
        </w:rPr>
        <w:t>7.55</w:t>
      </w:r>
      <w:r>
        <w:rPr>
          <w:rFonts w:hint="eastAsia" w:ascii="仿宋_GB2312" w:eastAsia="仿宋_GB2312" w:cs="仿宋_GB2312"/>
          <w:bCs/>
          <w:kern w:val="0"/>
          <w:sz w:val="32"/>
          <w:szCs w:val="32"/>
          <w:lang w:val="en-US" w:eastAsia="zh-CN"/>
        </w:rPr>
        <w:t>万元、</w:t>
      </w:r>
      <w:r>
        <w:rPr>
          <w:rFonts w:hint="eastAsia" w:ascii="仿宋_GB2312" w:eastAsia="仿宋_GB2312" w:cs="仿宋_GB2312"/>
          <w:bCs/>
          <w:kern w:val="0"/>
          <w:sz w:val="32"/>
          <w:szCs w:val="32"/>
          <w:highlight w:val="none"/>
          <w:lang w:val="en-US" w:eastAsia="zh-CN"/>
        </w:rPr>
        <w:t>7.55</w:t>
      </w:r>
      <w:r>
        <w:rPr>
          <w:rFonts w:hint="eastAsia" w:ascii="仿宋_GB2312" w:eastAsia="仿宋_GB2312" w:cs="仿宋_GB2312"/>
          <w:bCs/>
          <w:kern w:val="0"/>
          <w:sz w:val="32"/>
          <w:szCs w:val="32"/>
          <w:lang w:val="en-US" w:eastAsia="zh-CN"/>
        </w:rPr>
        <w:t>万元</w:t>
      </w:r>
      <w:r>
        <w:rPr>
          <w:rFonts w:hint="eastAsia" w:ascii="仿宋_GB2312" w:eastAsia="仿宋_GB2312" w:cs="仿宋_GB2312"/>
          <w:bCs/>
          <w:kern w:val="0"/>
          <w:sz w:val="32"/>
          <w:szCs w:val="32"/>
        </w:rPr>
        <w:t>；分别</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highlight w:val="none"/>
          <w:lang w:val="en-US" w:eastAsia="zh-CN"/>
        </w:rPr>
        <w:t>4.11</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lang w:val="en-US" w:eastAsia="zh-CN"/>
        </w:rPr>
        <w:t>4.11%。</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hAnsi="黑体" w:eastAsia="仿宋_GB2312"/>
          <w:b/>
          <w:bCs/>
          <w:color w:val="000000"/>
          <w:sz w:val="32"/>
          <w:szCs w:val="32"/>
          <w:u w:val="none"/>
          <w:lang w:eastAsia="zh-CN"/>
        </w:rPr>
        <w:t>二、2020年度收</w:t>
      </w:r>
      <w:r>
        <w:rPr>
          <w:rFonts w:hint="eastAsia" w:ascii="仿宋_GB2312" w:eastAsia="仿宋_GB2312" w:cs="仿宋_GB2312"/>
          <w:b/>
          <w:kern w:val="0"/>
          <w:sz w:val="32"/>
          <w:szCs w:val="32"/>
        </w:rPr>
        <w:t>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highlight w:val="none"/>
          <w:lang w:val="en-US" w:eastAsia="zh-CN"/>
        </w:rPr>
        <w:t>157.93</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highlight w:val="none"/>
          <w:lang w:val="en-US" w:eastAsia="zh-CN"/>
        </w:rPr>
        <w:t>157.93</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w:t>
      </w:r>
    </w:p>
    <w:p>
      <w:pPr>
        <w:autoSpaceDE w:val="0"/>
        <w:autoSpaceDN w:val="0"/>
        <w:adjustRightInd w:val="0"/>
        <w:spacing w:line="580" w:lineRule="exact"/>
        <w:ind w:firstLine="643" w:firstLineChars="200"/>
        <w:jc w:val="left"/>
        <w:rPr>
          <w:rFonts w:hint="eastAsia" w:ascii="仿宋_GB2312" w:hAnsi="黑体" w:eastAsia="仿宋_GB2312"/>
          <w:b/>
          <w:bCs/>
          <w:color w:val="000000"/>
          <w:sz w:val="32"/>
          <w:szCs w:val="32"/>
          <w:u w:val="none"/>
          <w:lang w:eastAsia="zh-CN"/>
        </w:rPr>
      </w:pPr>
      <w:r>
        <w:rPr>
          <w:rFonts w:hint="eastAsia" w:ascii="仿宋_GB2312" w:hAnsi="黑体" w:eastAsia="仿宋_GB2312"/>
          <w:b/>
          <w:bCs/>
          <w:color w:val="000000"/>
          <w:sz w:val="32"/>
          <w:szCs w:val="32"/>
          <w:u w:val="none"/>
          <w:lang w:eastAsia="zh-CN"/>
        </w:rPr>
        <w:t>三、2020年度支出决算情况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highlight w:val="none"/>
          <w:lang w:val="en-US" w:eastAsia="zh-CN"/>
        </w:rPr>
        <w:t>169.57</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lang w:val="en-US" w:eastAsia="zh-CN"/>
        </w:rPr>
        <w:t>98.02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highlight w:val="none"/>
          <w:lang w:val="en-US" w:eastAsia="zh-CN"/>
        </w:rPr>
        <w:t>57.80</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highlight w:val="none"/>
          <w:lang w:val="en-US" w:eastAsia="zh-CN"/>
        </w:rPr>
        <w:t>71.56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highlight w:val="none"/>
          <w:lang w:val="en-US" w:eastAsia="zh-CN"/>
        </w:rPr>
        <w:t>42.20</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hAnsi="黑体" w:eastAsia="仿宋_GB2312"/>
          <w:b/>
          <w:bCs/>
          <w:color w:val="000000"/>
          <w:sz w:val="32"/>
          <w:szCs w:val="32"/>
          <w:u w:val="none"/>
          <w:lang w:eastAsia="zh-CN"/>
        </w:rPr>
        <w:t>四、2020年度财政拨款收入支出决算情况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2020年度财政拨款收、支总决算</w:t>
      </w:r>
      <w:r>
        <w:rPr>
          <w:rFonts w:hint="eastAsia" w:ascii="仿宋_GB2312" w:eastAsia="仿宋_GB2312" w:cs="仿宋_GB2312"/>
          <w:bCs/>
          <w:kern w:val="0"/>
          <w:sz w:val="32"/>
          <w:szCs w:val="32"/>
          <w:highlight w:val="none"/>
          <w:lang w:val="en-US" w:eastAsia="zh-CN"/>
        </w:rPr>
        <w:t>176.28</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highlight w:val="none"/>
          <w:lang w:val="en-US" w:eastAsia="zh-CN"/>
        </w:rPr>
        <w:t>176.28</w:t>
      </w:r>
      <w:r>
        <w:rPr>
          <w:rFonts w:hint="eastAsia" w:ascii="仿宋_GB2312" w:eastAsia="仿宋_GB2312" w:cs="仿宋_GB2312"/>
          <w:bCs/>
          <w:kern w:val="0"/>
          <w:sz w:val="32"/>
          <w:szCs w:val="32"/>
        </w:rPr>
        <w:t>万元。与 2019 年相比，财政拨款收、支总计各</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7.56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4.11</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hAnsi="黑体" w:eastAsia="仿宋_GB2312"/>
          <w:b/>
          <w:bCs/>
          <w:color w:val="000000"/>
          <w:sz w:val="32"/>
          <w:szCs w:val="32"/>
          <w:u w:val="none"/>
          <w:lang w:eastAsia="zh-CN"/>
        </w:rPr>
        <w:t>五、2020年度一般公共预算财政拨款支出决算情况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 xml:space="preserve"> 2020年度财政拨款支出</w:t>
      </w:r>
      <w:r>
        <w:rPr>
          <w:rFonts w:hint="eastAsia" w:ascii="仿宋_GB2312" w:eastAsia="仿宋_GB2312" w:cs="仿宋_GB2312"/>
          <w:bCs/>
          <w:kern w:val="0"/>
          <w:sz w:val="32"/>
          <w:szCs w:val="32"/>
          <w:highlight w:val="none"/>
          <w:lang w:val="en-US" w:eastAsia="zh-CN"/>
        </w:rPr>
        <w:t>169.57</w:t>
      </w:r>
      <w:r>
        <w:rPr>
          <w:rFonts w:hint="eastAsia" w:ascii="仿宋_GB2312" w:eastAsia="仿宋_GB2312" w:cs="仿宋_GB2312"/>
          <w:bCs/>
          <w:kern w:val="0"/>
          <w:sz w:val="32"/>
          <w:szCs w:val="32"/>
        </w:rPr>
        <w:t xml:space="preserve">万元，占本年支出合计的 </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%。与 2019 年相比，财政拨款支出增</w:t>
      </w:r>
      <w:r>
        <w:rPr>
          <w:rFonts w:hint="eastAsia" w:ascii="仿宋_GB2312" w:eastAsia="仿宋_GB2312" w:cs="仿宋_GB2312"/>
          <w:bCs/>
          <w:kern w:val="0"/>
          <w:sz w:val="32"/>
          <w:szCs w:val="32"/>
          <w:lang w:eastAsia="zh-CN"/>
        </w:rPr>
        <w:t>加</w:t>
      </w:r>
      <w:r>
        <w:rPr>
          <w:rFonts w:hint="eastAsia" w:ascii="仿宋_GB2312" w:eastAsia="仿宋_GB2312" w:cs="仿宋_GB2312"/>
          <w:bCs/>
          <w:kern w:val="0"/>
          <w:sz w:val="32"/>
          <w:szCs w:val="32"/>
          <w:lang w:val="en-US" w:eastAsia="zh-CN"/>
        </w:rPr>
        <w:t>15.48</w:t>
      </w:r>
      <w:r>
        <w:rPr>
          <w:rFonts w:hint="eastAsia" w:ascii="仿宋_GB2312" w:eastAsia="仿宋_GB2312" w:cs="仿宋_GB2312"/>
          <w:bCs/>
          <w:kern w:val="0"/>
          <w:sz w:val="32"/>
          <w:szCs w:val="32"/>
        </w:rPr>
        <w:t>万元，增加</w:t>
      </w:r>
      <w:r>
        <w:rPr>
          <w:rFonts w:hint="eastAsia" w:ascii="仿宋_GB2312" w:eastAsia="仿宋_GB2312" w:cs="仿宋_GB2312"/>
          <w:bCs/>
          <w:kern w:val="0"/>
          <w:sz w:val="32"/>
          <w:szCs w:val="32"/>
          <w:lang w:val="en-US" w:eastAsia="zh-CN"/>
        </w:rPr>
        <w:t>10.05</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2020 年度财政拨款支出</w:t>
      </w:r>
      <w:r>
        <w:rPr>
          <w:rFonts w:hint="eastAsia" w:ascii="仿宋_GB2312" w:eastAsia="仿宋_GB2312" w:cs="仿宋_GB2312"/>
          <w:bCs/>
          <w:kern w:val="0"/>
          <w:sz w:val="32"/>
          <w:szCs w:val="32"/>
          <w:highlight w:val="none"/>
          <w:lang w:val="en-US" w:eastAsia="zh-CN"/>
        </w:rPr>
        <w:t>169.57</w:t>
      </w:r>
      <w:r>
        <w:rPr>
          <w:rFonts w:hint="eastAsia" w:ascii="仿宋_GB2312" w:eastAsia="仿宋_GB2312" w:cs="仿宋_GB2312"/>
          <w:bCs/>
          <w:kern w:val="0"/>
          <w:sz w:val="32"/>
          <w:szCs w:val="32"/>
        </w:rPr>
        <w:t>万元，主要用于以下方面：社会保障和就业（类）支出</w:t>
      </w:r>
      <w:r>
        <w:rPr>
          <w:rFonts w:hint="eastAsia" w:ascii="仿宋_GB2312" w:eastAsia="仿宋_GB2312" w:cs="仿宋_GB2312"/>
          <w:bCs/>
          <w:kern w:val="0"/>
          <w:sz w:val="32"/>
          <w:szCs w:val="32"/>
          <w:highlight w:val="none"/>
          <w:lang w:val="en-US" w:eastAsia="zh-CN"/>
        </w:rPr>
        <w:t>9.93</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5.86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卫生健康（类）支出</w:t>
      </w:r>
      <w:r>
        <w:rPr>
          <w:rFonts w:hint="eastAsia" w:ascii="仿宋_GB2312" w:eastAsia="仿宋_GB2312" w:cs="仿宋_GB2312"/>
          <w:bCs/>
          <w:kern w:val="0"/>
          <w:sz w:val="32"/>
          <w:szCs w:val="32"/>
          <w:highlight w:val="none"/>
          <w:lang w:val="en-US" w:eastAsia="zh-CN"/>
        </w:rPr>
        <w:t>153.92</w:t>
      </w:r>
      <w:r>
        <w:rPr>
          <w:rFonts w:hint="eastAsia" w:ascii="仿宋_GB2312" w:eastAsia="仿宋_GB2312" w:cs="仿宋_GB2312"/>
          <w:bCs/>
          <w:kern w:val="0"/>
          <w:sz w:val="32"/>
          <w:szCs w:val="32"/>
          <w:lang w:val="en-US" w:eastAsia="zh-CN"/>
        </w:rPr>
        <w:t>万元，占90.77%；</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highlight w:val="none"/>
          <w:lang w:val="en-US" w:eastAsia="zh-CN"/>
        </w:rPr>
        <w:t>5.72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3.37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w:t>
      </w:r>
      <w:r>
        <w:rPr>
          <w:rFonts w:hint="eastAsia" w:ascii="仿宋_GB2312" w:eastAsia="仿宋_GB2312" w:cs="仿宋_GB2312"/>
          <w:bCs/>
          <w:kern w:val="0"/>
          <w:sz w:val="32"/>
          <w:szCs w:val="32"/>
          <w:highlight w:val="none"/>
          <w:lang w:val="en-US" w:eastAsia="zh-CN"/>
        </w:rPr>
        <w:t>171.01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highlight w:val="none"/>
          <w:lang w:val="en-US" w:eastAsia="zh-CN"/>
        </w:rPr>
        <w:t>169.57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99.16</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w:t>
      </w:r>
      <w:r>
        <w:rPr>
          <w:rFonts w:hint="eastAsia" w:ascii="仿宋_GB2312" w:eastAsia="仿宋_GB2312" w:cs="仿宋_GB2312"/>
          <w:bCs/>
          <w:kern w:val="0"/>
          <w:sz w:val="32"/>
          <w:szCs w:val="32"/>
          <w:lang w:val="en-US" w:eastAsia="zh-CN"/>
        </w:rPr>
        <w:t>一是人员增减变动；二是项目存在跨年度支付。</w:t>
      </w:r>
      <w:r>
        <w:rPr>
          <w:rFonts w:hint="eastAsia" w:ascii="仿宋_GB2312" w:eastAsia="仿宋_GB2312" w:cs="仿宋_GB2312"/>
          <w:bCs/>
          <w:kern w:val="0"/>
          <w:sz w:val="32"/>
          <w:szCs w:val="32"/>
        </w:rPr>
        <w:t>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机关事业单位基本养老保险缴费支出</w:t>
      </w:r>
      <w:r>
        <w:rPr>
          <w:rFonts w:hint="eastAsia" w:ascii="仿宋_GB2312" w:eastAsia="仿宋_GB2312" w:cs="仿宋_GB2312"/>
          <w:bCs/>
          <w:kern w:val="0"/>
          <w:sz w:val="32"/>
          <w:szCs w:val="32"/>
        </w:rPr>
        <w:t>（项）。 年初预算为</w:t>
      </w:r>
      <w:r>
        <w:rPr>
          <w:rFonts w:hint="eastAsia" w:ascii="仿宋_GB2312" w:eastAsia="仿宋_GB2312" w:cs="仿宋_GB2312"/>
          <w:bCs/>
          <w:kern w:val="0"/>
          <w:sz w:val="32"/>
          <w:szCs w:val="32"/>
          <w:highlight w:val="none"/>
          <w:lang w:val="en-US" w:eastAsia="zh-CN"/>
        </w:rPr>
        <w:t>9.16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highlight w:val="none"/>
          <w:lang w:val="en-US" w:eastAsia="zh-CN"/>
        </w:rPr>
        <w:t>7.06</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77.07</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w:t>
      </w:r>
      <w:r>
        <w:rPr>
          <w:rFonts w:hint="eastAsia" w:ascii="仿宋_GB2312" w:eastAsia="仿宋_GB2312" w:cs="仿宋_GB2312"/>
          <w:bCs/>
          <w:kern w:val="0"/>
          <w:sz w:val="32"/>
          <w:szCs w:val="32"/>
          <w:lang w:eastAsia="zh-CN"/>
        </w:rPr>
        <w:t>是</w:t>
      </w:r>
      <w:r>
        <w:rPr>
          <w:rFonts w:hint="eastAsia" w:ascii="仿宋_GB2312" w:hAnsi="仿宋_GB2312" w:eastAsia="仿宋_GB2312" w:cs="仿宋_GB2312"/>
          <w:color w:val="auto"/>
          <w:sz w:val="32"/>
          <w:szCs w:val="32"/>
          <w:highlight w:val="none"/>
          <w:lang w:val="en-US" w:eastAsia="zh-CN"/>
        </w:rPr>
        <w:t>人员增减变动</w:t>
      </w:r>
      <w:r>
        <w:rPr>
          <w:rFonts w:hint="eastAsia" w:ascii="仿宋" w:hAnsi="仿宋" w:eastAsia="仿宋" w:cs="仿宋"/>
          <w:color w:val="auto"/>
          <w:sz w:val="32"/>
          <w:szCs w:val="32"/>
          <w:highlight w:val="none"/>
          <w:lang w:val="en-US"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yellow"/>
        </w:rPr>
      </w:pPr>
      <w:r>
        <w:rPr>
          <w:rFonts w:hint="eastAsia" w:ascii="仿宋_GB2312" w:eastAsia="仿宋_GB2312" w:cs="仿宋_GB2312"/>
          <w:bCs/>
          <w:kern w:val="0"/>
          <w:sz w:val="32"/>
          <w:szCs w:val="32"/>
        </w:rPr>
        <w:t>2.</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行政事业单位养老支出（款）机关事业单位职业年金缴费支出</w:t>
      </w:r>
      <w:r>
        <w:rPr>
          <w:rFonts w:hint="eastAsia" w:ascii="仿宋_GB2312" w:eastAsia="仿宋_GB2312" w:cs="仿宋_GB2312"/>
          <w:bCs/>
          <w:kern w:val="0"/>
          <w:sz w:val="32"/>
          <w:szCs w:val="32"/>
        </w:rPr>
        <w:t xml:space="preserve">（项）。年初预算为 </w:t>
      </w:r>
      <w:r>
        <w:rPr>
          <w:rFonts w:hint="eastAsia" w:ascii="仿宋_GB2312" w:eastAsia="仿宋_GB2312" w:cs="仿宋_GB2312"/>
          <w:bCs/>
          <w:kern w:val="0"/>
          <w:sz w:val="32"/>
          <w:szCs w:val="32"/>
          <w:highlight w:val="none"/>
          <w:lang w:val="en-US" w:eastAsia="zh-CN"/>
        </w:rPr>
        <w:t>4.58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highlight w:val="none"/>
          <w:lang w:val="en-US" w:eastAsia="zh-CN"/>
        </w:rPr>
        <w:t>2.87</w:t>
      </w:r>
      <w:r>
        <w:rPr>
          <w:rFonts w:hint="eastAsia" w:ascii="仿宋_GB2312" w:eastAsia="仿宋_GB2312" w:cs="仿宋_GB2312"/>
          <w:bCs/>
          <w:kern w:val="0"/>
          <w:sz w:val="32"/>
          <w:szCs w:val="32"/>
        </w:rPr>
        <w:t xml:space="preserve"> 万元，完成年初预算的 </w:t>
      </w:r>
      <w:r>
        <w:rPr>
          <w:rFonts w:hint="eastAsia" w:ascii="仿宋_GB2312" w:eastAsia="仿宋_GB2312" w:cs="仿宋_GB2312"/>
          <w:bCs/>
          <w:kern w:val="0"/>
          <w:sz w:val="32"/>
          <w:szCs w:val="32"/>
          <w:lang w:val="en-US" w:eastAsia="zh-CN"/>
        </w:rPr>
        <w:t>62.66</w:t>
      </w:r>
      <w:r>
        <w:rPr>
          <w:rFonts w:hint="eastAsia" w:ascii="仿宋_GB2312" w:eastAsia="仿宋_GB2312" w:cs="仿宋_GB2312"/>
          <w:bCs/>
          <w:kern w:val="0"/>
          <w:sz w:val="32"/>
          <w:szCs w:val="32"/>
        </w:rPr>
        <w:t xml:space="preserve"> %。决算数小于预算数的主要原因是</w:t>
      </w:r>
      <w:r>
        <w:rPr>
          <w:rFonts w:hint="eastAsia" w:ascii="仿宋_GB2312" w:hAnsi="仿宋_GB2312" w:eastAsia="仿宋_GB2312" w:cs="仿宋_GB2312"/>
          <w:color w:val="auto"/>
          <w:sz w:val="32"/>
          <w:szCs w:val="32"/>
          <w:highlight w:val="none"/>
          <w:lang w:val="en-US" w:eastAsia="zh-CN"/>
        </w:rPr>
        <w:t>人员增减变动</w:t>
      </w:r>
      <w:r>
        <w:rPr>
          <w:rFonts w:hint="eastAsia" w:ascii="仿宋_GB2312" w:eastAsia="仿宋_GB2312" w:cs="仿宋_GB2312"/>
          <w:bCs/>
          <w:kern w:val="0"/>
          <w:sz w:val="32"/>
          <w:szCs w:val="32"/>
          <w:highlight w:val="none"/>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rPr>
        <w:t>3.</w:t>
      </w:r>
      <w:r>
        <w:rPr>
          <w:rFonts w:hint="eastAsia" w:ascii="仿宋_GB2312" w:eastAsia="仿宋_GB2312" w:cs="仿宋_GB2312"/>
          <w:bCs/>
          <w:kern w:val="0"/>
          <w:sz w:val="32"/>
          <w:szCs w:val="32"/>
          <w:lang w:eastAsia="zh-CN"/>
        </w:rPr>
        <w:t>卫生健康支出（类）卫生健康管理事务（款）其他卫生健康管理事务支出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highlight w:val="none"/>
          <w:lang w:val="en-US" w:eastAsia="zh-CN"/>
        </w:rPr>
        <w:t>146.07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151.53</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103.74</w:t>
      </w:r>
      <w:r>
        <w:rPr>
          <w:rFonts w:hint="eastAsia" w:ascii="仿宋_GB2312" w:eastAsia="仿宋_GB2312" w:cs="仿宋_GB2312"/>
          <w:bCs/>
          <w:kern w:val="0"/>
          <w:sz w:val="32"/>
          <w:szCs w:val="32"/>
        </w:rPr>
        <w:t>%。决算数大于预算数的主要原因是</w:t>
      </w:r>
      <w:r>
        <w:rPr>
          <w:rFonts w:hint="eastAsia" w:ascii="仿宋" w:hAnsi="仿宋" w:eastAsia="仿宋" w:cs="仿宋"/>
          <w:color w:val="auto"/>
          <w:sz w:val="32"/>
          <w:szCs w:val="32"/>
          <w:highlight w:val="none"/>
          <w:lang w:val="en-US" w:eastAsia="zh-CN"/>
        </w:rPr>
        <w:t>年中下达年初未下达预算</w:t>
      </w:r>
      <w:r>
        <w:rPr>
          <w:rFonts w:hint="eastAsia" w:ascii="仿宋" w:hAnsi="仿宋" w:eastAsia="仿宋" w:cs="仿宋"/>
          <w:b w:val="0"/>
          <w:bCs w:val="0"/>
          <w:color w:val="auto"/>
          <w:sz w:val="32"/>
          <w:szCs w:val="32"/>
          <w:highlight w:val="none"/>
          <w:lang w:val="en-US"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lang w:eastAsia="zh-CN"/>
        </w:rPr>
        <w:t>卫生健康支出（类）行政事业单位医疗（款）事业单位医疗</w:t>
      </w:r>
      <w:r>
        <w:rPr>
          <w:rFonts w:hint="eastAsia" w:ascii="仿宋_GB2312" w:eastAsia="仿宋_GB2312" w:cs="仿宋_GB2312"/>
          <w:bCs/>
          <w:kern w:val="0"/>
          <w:sz w:val="32"/>
          <w:szCs w:val="32"/>
          <w:lang w:val="en-US" w:eastAsia="zh-CN"/>
        </w:rPr>
        <w:t>(项)。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4.34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2.39</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55.07</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val="en-US" w:eastAsia="zh-CN"/>
        </w:rPr>
        <w:t>项目存在跨年度支付。</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5.住房保障支出（类）住房改革支出（款）住房公积金</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6.87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5.72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83.26</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val="en-US" w:eastAsia="zh-CN"/>
        </w:rPr>
        <w:t>项目存在跨年度支付。</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六、2020年度一般公共预算财政拨款基本支出决算情况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highlight w:val="none"/>
          <w:lang w:val="en-US" w:eastAsia="zh-CN"/>
        </w:rPr>
        <w:t>98.02</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rPr>
        <w:t xml:space="preserve"> 人员经费</w:t>
      </w:r>
      <w:r>
        <w:rPr>
          <w:rFonts w:hint="eastAsia" w:ascii="仿宋_GB2312" w:eastAsia="仿宋_GB2312" w:cs="仿宋_GB2312"/>
          <w:bCs/>
          <w:kern w:val="0"/>
          <w:sz w:val="32"/>
          <w:szCs w:val="32"/>
          <w:highlight w:val="none"/>
          <w:lang w:val="en-US" w:eastAsia="zh-CN"/>
        </w:rPr>
        <w:t>92.89</w:t>
      </w:r>
      <w:r>
        <w:rPr>
          <w:rFonts w:hint="eastAsia" w:ascii="仿宋_GB2312" w:eastAsia="仿宋_GB2312" w:cs="仿宋_GB2312"/>
          <w:bCs/>
          <w:kern w:val="0"/>
          <w:sz w:val="32"/>
          <w:szCs w:val="32"/>
        </w:rPr>
        <w:t>万元，主要包括：</w:t>
      </w:r>
      <w:r>
        <w:rPr>
          <w:rFonts w:hint="eastAsia" w:ascii="仿宋_GB2312" w:eastAsia="仿宋_GB2312" w:cs="仿宋_GB2312"/>
          <w:bCs/>
          <w:kern w:val="0"/>
          <w:sz w:val="32"/>
          <w:szCs w:val="32"/>
          <w:highlight w:val="none"/>
        </w:rPr>
        <w:t>基本工资、津贴补贴、 绩效工资、机关事业单位基本养老保险缴费、职业年金缴费、</w:t>
      </w:r>
      <w:r>
        <w:rPr>
          <w:rFonts w:hint="eastAsia" w:ascii="仿宋_GB2312" w:eastAsia="仿宋_GB2312" w:cs="仿宋_GB2312"/>
          <w:bCs/>
          <w:kern w:val="0"/>
          <w:sz w:val="32"/>
          <w:szCs w:val="32"/>
          <w:highlight w:val="none"/>
          <w:lang w:eastAsia="zh-CN"/>
        </w:rPr>
        <w:t>职工基本医疗保险缴费、</w:t>
      </w:r>
      <w:r>
        <w:rPr>
          <w:rFonts w:hint="eastAsia" w:ascii="仿宋_GB2312" w:eastAsia="仿宋_GB2312" w:cs="仿宋_GB2312"/>
          <w:bCs/>
          <w:kern w:val="0"/>
          <w:sz w:val="32"/>
          <w:szCs w:val="32"/>
          <w:highlight w:val="none"/>
        </w:rPr>
        <w:t>其他社会保障缴费、其他工资福利支出、退休费、奖励金</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住房公积金</w:t>
      </w:r>
      <w:r>
        <w:rPr>
          <w:rFonts w:hint="eastAsia" w:ascii="仿宋_GB2312" w:eastAsia="仿宋_GB2312" w:cs="仿宋_GB2312"/>
          <w:bCs/>
          <w:kern w:val="0"/>
          <w:sz w:val="32"/>
          <w:szCs w:val="32"/>
          <w:highlight w:val="none"/>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highlight w:val="none"/>
          <w:lang w:val="en-US" w:eastAsia="zh-CN"/>
        </w:rPr>
        <w:t>5.13</w:t>
      </w:r>
      <w:r>
        <w:rPr>
          <w:rFonts w:hint="eastAsia" w:ascii="仿宋_GB2312" w:eastAsia="仿宋_GB2312" w:cs="仿宋_GB2312"/>
          <w:bCs/>
          <w:kern w:val="0"/>
          <w:sz w:val="32"/>
          <w:szCs w:val="32"/>
          <w:highlight w:val="none"/>
        </w:rPr>
        <w:t>万元，主要 包括：办公费、手续费、工会经费、其他商品和服务支出</w:t>
      </w:r>
      <w:r>
        <w:rPr>
          <w:rFonts w:hint="eastAsia" w:ascii="仿宋_GB2312" w:eastAsia="仿宋_GB2312" w:cs="仿宋_GB2312"/>
          <w:bCs/>
          <w:kern w:val="0"/>
          <w:sz w:val="32"/>
          <w:szCs w:val="32"/>
          <w:highlight w:val="none"/>
          <w:lang w:eastAsia="zh-CN"/>
        </w:rPr>
        <w:t>。</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七、2020年度一般公共预算财政拨款“三公” 经费支出决算情况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 年度“三公”经费财政拨款支出预算为</w:t>
      </w:r>
      <w:r>
        <w:rPr>
          <w:rFonts w:hint="eastAsia" w:ascii="仿宋_GB2312" w:eastAsia="仿宋_GB2312" w:cs="仿宋_GB2312"/>
          <w:bCs/>
          <w:kern w:val="0"/>
          <w:sz w:val="32"/>
          <w:szCs w:val="32"/>
          <w:highlight w:val="none"/>
          <w:lang w:val="en-US" w:eastAsia="zh-CN"/>
        </w:rPr>
        <w:t>0.21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万元；公务接待费支出决算为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2020年度“三公”经费财政拨款支出决算数</w:t>
      </w:r>
      <w:r>
        <w:rPr>
          <w:rFonts w:hint="eastAsia" w:ascii="仿宋_GB2312" w:eastAsia="仿宋_GB2312" w:cs="仿宋_GB2312"/>
          <w:bCs/>
          <w:kern w:val="0"/>
          <w:sz w:val="32"/>
          <w:szCs w:val="32"/>
          <w:lang w:eastAsia="zh-CN"/>
        </w:rPr>
        <w:t>与</w:t>
      </w:r>
      <w:r>
        <w:rPr>
          <w:rFonts w:hint="eastAsia" w:ascii="仿宋_GB2312" w:eastAsia="仿宋_GB2312" w:cs="仿宋_GB2312"/>
          <w:bCs/>
          <w:kern w:val="0"/>
          <w:sz w:val="32"/>
          <w:szCs w:val="32"/>
        </w:rPr>
        <w:t>2019年</w:t>
      </w:r>
      <w:r>
        <w:rPr>
          <w:rFonts w:hint="eastAsia" w:ascii="仿宋_GB2312" w:eastAsia="仿宋_GB2312" w:cs="仿宋_GB2312"/>
          <w:bCs/>
          <w:kern w:val="0"/>
          <w:sz w:val="32"/>
          <w:szCs w:val="32"/>
          <w:lang w:eastAsia="zh-CN"/>
        </w:rPr>
        <w:t>相同。</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万元；公务接待费支出决算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万元。具体情况如下：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 （境）团组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人次。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万元。2020年，机关所属单位开支财政拨款的公务用车保有量为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 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 年共接待国内来访团组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autoSpaceDE w:val="0"/>
        <w:autoSpaceDN w:val="0"/>
        <w:adjustRightInd w:val="0"/>
        <w:spacing w:line="580" w:lineRule="exact"/>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
          <w:kern w:val="0"/>
          <w:sz w:val="32"/>
          <w:szCs w:val="32"/>
        </w:rPr>
        <w:t xml:space="preserve">八、2020 年度政府性基金预算财政拨款收入支出决算情况说明 </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 xml:space="preserve"> 2020年度政府基金预算财政拨款收、支总决算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万元。与2019年相</w:t>
      </w:r>
      <w:r>
        <w:rPr>
          <w:rFonts w:hint="eastAsia" w:ascii="仿宋_GB2312" w:eastAsia="仿宋_GB2312" w:cs="仿宋_GB2312"/>
          <w:bCs/>
          <w:kern w:val="0"/>
          <w:sz w:val="32"/>
          <w:szCs w:val="32"/>
          <w:lang w:eastAsia="zh-CN"/>
        </w:rPr>
        <w:t>同。</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2020年基金拨款年初预算为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p>
    <w:p>
      <w:pPr>
        <w:numPr>
          <w:ilvl w:val="0"/>
          <w:numId w:val="0"/>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九、国有资本经营预算财政拨款支出情况说明</w:t>
      </w:r>
    </w:p>
    <w:p>
      <w:pPr>
        <w:numPr>
          <w:ilvl w:val="0"/>
          <w:numId w:val="0"/>
        </w:num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2020年度国有资本经营预算财政拨款本年支出0万元。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年度预算绩效情况说明</w:t>
      </w:r>
    </w:p>
    <w:p>
      <w:pPr>
        <w:numPr>
          <w:ilvl w:val="0"/>
          <w:numId w:val="1"/>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lang w:eastAsia="zh-CN"/>
        </w:rPr>
        <w:t>无</w:t>
      </w:r>
    </w:p>
    <w:p>
      <w:pPr>
        <w:numPr>
          <w:ilvl w:val="0"/>
          <w:numId w:val="1"/>
        </w:numPr>
        <w:autoSpaceDE w:val="0"/>
        <w:autoSpaceDN w:val="0"/>
        <w:adjustRightInd w:val="0"/>
        <w:spacing w:line="58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决算中项目绩效自评结果</w:t>
      </w:r>
      <w:bookmarkStart w:id="0" w:name="_GoBack"/>
      <w:bookmarkEnd w:id="0"/>
    </w:p>
    <w:p>
      <w:pPr>
        <w:numPr>
          <w:numId w:val="0"/>
        </w:numPr>
        <w:autoSpaceDE w:val="0"/>
        <w:autoSpaceDN w:val="0"/>
        <w:adjustRightInd w:val="0"/>
        <w:spacing w:line="580" w:lineRule="exact"/>
        <w:ind w:leftChars="200" w:firstLine="320" w:firstLineChars="1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无</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（一）机关运行经费支出情况。2020年度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机关运行经费支出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与</w:t>
      </w:r>
      <w:r>
        <w:rPr>
          <w:rFonts w:hint="eastAsia" w:ascii="仿宋_GB2312" w:eastAsia="仿宋_GB2312" w:cs="仿宋_GB2312"/>
          <w:kern w:val="0"/>
          <w:sz w:val="32"/>
          <w:szCs w:val="32"/>
        </w:rPr>
        <w:t>2019年</w:t>
      </w:r>
      <w:r>
        <w:rPr>
          <w:rFonts w:hint="eastAsia" w:ascii="仿宋_GB2312" w:eastAsia="仿宋_GB2312" w:cs="仿宋_GB2312"/>
          <w:kern w:val="0"/>
          <w:sz w:val="32"/>
          <w:szCs w:val="32"/>
          <w:lang w:eastAsia="zh-CN"/>
        </w:rPr>
        <w:t>相同。</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政府采购支出总额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r>
        <w:rPr>
          <w:rFonts w:hint="eastAsia" w:ascii="仿宋_GB2312" w:eastAsia="仿宋_GB2312"/>
          <w:bCs/>
          <w:sz w:val="32"/>
          <w:szCs w:val="32"/>
          <w:lang w:val="en-US" w:eastAsia="zh-CN"/>
        </w:rPr>
        <w:t xml:space="preserve"> </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1576EAD"/>
    <w:rsid w:val="0C0C5901"/>
    <w:rsid w:val="0C871987"/>
    <w:rsid w:val="0DA86951"/>
    <w:rsid w:val="0E074DDF"/>
    <w:rsid w:val="11EA290C"/>
    <w:rsid w:val="124204B5"/>
    <w:rsid w:val="12C65405"/>
    <w:rsid w:val="17F41317"/>
    <w:rsid w:val="182962AB"/>
    <w:rsid w:val="19D073EB"/>
    <w:rsid w:val="1BE40D33"/>
    <w:rsid w:val="1CC31F67"/>
    <w:rsid w:val="1E5821A9"/>
    <w:rsid w:val="24D337DC"/>
    <w:rsid w:val="26460DBA"/>
    <w:rsid w:val="2B6F74EB"/>
    <w:rsid w:val="2C2750D4"/>
    <w:rsid w:val="2C4219FE"/>
    <w:rsid w:val="31F0122E"/>
    <w:rsid w:val="34020F86"/>
    <w:rsid w:val="39A63F06"/>
    <w:rsid w:val="3B663BBB"/>
    <w:rsid w:val="3ED1439F"/>
    <w:rsid w:val="44500BF5"/>
    <w:rsid w:val="44772CB3"/>
    <w:rsid w:val="48374EDC"/>
    <w:rsid w:val="4C256E3D"/>
    <w:rsid w:val="4CB52F0F"/>
    <w:rsid w:val="532F1F9A"/>
    <w:rsid w:val="55901F2A"/>
    <w:rsid w:val="567B557A"/>
    <w:rsid w:val="5E995A3E"/>
    <w:rsid w:val="62163194"/>
    <w:rsid w:val="624D024D"/>
    <w:rsid w:val="650E086A"/>
    <w:rsid w:val="6BAA0708"/>
    <w:rsid w:val="70E62CF9"/>
    <w:rsid w:val="72A30AE6"/>
    <w:rsid w:val="77F1499F"/>
    <w:rsid w:val="7D666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批注框文本 Char"/>
    <w:basedOn w:val="7"/>
    <w:link w:val="2"/>
    <w:qFormat/>
    <w:uiPriority w:val="0"/>
    <w:rPr>
      <w:kern w:val="2"/>
      <w:sz w:val="18"/>
      <w:szCs w:val="18"/>
    </w:rPr>
  </w:style>
  <w:style w:type="character" w:customStyle="1" w:styleId="11">
    <w:name w:val="font11"/>
    <w:basedOn w:val="7"/>
    <w:qFormat/>
    <w:uiPriority w:val="0"/>
    <w:rPr>
      <w:rFonts w:hint="eastAsia" w:ascii="宋体" w:hAnsi="宋体" w:eastAsia="宋体" w:cs="宋体"/>
      <w:color w:val="000000"/>
      <w:sz w:val="22"/>
      <w:szCs w:val="22"/>
      <w:u w:val="none"/>
    </w:rPr>
  </w:style>
  <w:style w:type="character" w:customStyle="1" w:styleId="12">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49</TotalTime>
  <ScaleCrop>false</ScaleCrop>
  <LinksUpToDate>false</LinksUpToDate>
  <CharactersWithSpaces>8540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WPS_1467107336</cp:lastModifiedBy>
  <cp:lastPrinted>2021-07-07T01:10:00Z</cp:lastPrinted>
  <dcterms:modified xsi:type="dcterms:W3CDTF">2021-08-23T10:50:01Z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F5F3DFE405AC4B34AFA0947CF94ED6A0</vt:lpwstr>
  </property>
</Properties>
</file>