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柳州市应急管理宣传教育中心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柳州市应急管理宣传教育中心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柳州市应急管理宣传教育中心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柳州市应急管理宣传教育中心</w:t>
      </w:r>
      <w:r>
        <w:rPr>
          <w:rFonts w:hint="eastAsia" w:ascii="仿宋_GB2312" w:eastAsia="仿宋_GB2312"/>
          <w:b/>
          <w:sz w:val="32"/>
          <w:szCs w:val="32"/>
          <w:u w:val="none"/>
        </w:rPr>
        <w:t>2</w:t>
      </w:r>
      <w:r>
        <w:rPr>
          <w:rFonts w:hint="eastAsia" w:ascii="仿宋_GB2312" w:eastAsia="仿宋_GB2312"/>
          <w:b/>
          <w:sz w:val="32"/>
          <w:szCs w:val="32"/>
        </w:rPr>
        <w:t>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柳州市应急管理宣传教育中心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（一）承担市级应急管理、安全生产、防灾减灾救灾方面的宣传教育和培训工作。</w:t>
      </w:r>
    </w:p>
    <w:p>
      <w:pPr>
        <w:ind w:firstLine="646"/>
        <w:rPr>
          <w:rFonts w:hint="eastAsia" w:ascii="仿宋_GB2312" w:eastAsia="仿宋_GB2312"/>
          <w:sz w:val="32"/>
          <w:szCs w:val="32"/>
        </w:rPr>
      </w:pPr>
      <w:r>
        <w:rPr>
          <w:rFonts w:hint="eastAsia" w:ascii="仿宋_GB2312" w:eastAsia="仿宋_GB2312"/>
          <w:sz w:val="32"/>
          <w:szCs w:val="32"/>
        </w:rPr>
        <w:t>（二）拟定年度应急管理、安全生产、防灾减灾救灾宣传教育培训工作计划，组织全市性应急管理、安全生产、防灾救灾宣传教育活动，开展防震减灾知识的宣传教育工作和自救互救、防震避险知识的科学普及，受主管部门委托组织其他专项宣传培训工作。</w:t>
      </w:r>
    </w:p>
    <w:p>
      <w:pPr>
        <w:ind w:firstLine="646"/>
        <w:rPr>
          <w:rFonts w:hint="eastAsia" w:ascii="仿宋_GB2312" w:eastAsia="仿宋_GB2312"/>
          <w:sz w:val="32"/>
          <w:szCs w:val="32"/>
        </w:rPr>
      </w:pPr>
      <w:r>
        <w:rPr>
          <w:rFonts w:hint="eastAsia" w:ascii="仿宋_GB2312" w:eastAsia="仿宋_GB2312"/>
          <w:sz w:val="32"/>
          <w:szCs w:val="32"/>
        </w:rPr>
        <w:t>（三）指导县区人民政府和有关部门应急管理、安全生产、防灾减灾救灾宣传教育工作，指导、协助、督促有关单位做好防震减灾知识的宣传教育和地震应急救援演练等工作，指导生产经营单位安全培训工作，组织开展应急管理、安全生产、防灾减灾救灾方面交流与合作。</w:t>
      </w:r>
    </w:p>
    <w:p>
      <w:pPr>
        <w:ind w:firstLine="646"/>
        <w:rPr>
          <w:rFonts w:hint="eastAsia" w:ascii="仿宋_GB2312" w:eastAsia="仿宋_GB2312"/>
          <w:sz w:val="32"/>
          <w:szCs w:val="32"/>
        </w:rPr>
      </w:pPr>
      <w:r>
        <w:rPr>
          <w:rFonts w:hint="eastAsia" w:ascii="仿宋_GB2312" w:eastAsia="仿宋_GB2312"/>
          <w:sz w:val="32"/>
          <w:szCs w:val="32"/>
        </w:rPr>
        <w:t>（四）受主管部门委托对高危（矿山、危化、烟花爆竹、金属冶炼）企业主要负责人、安全管理人员开展安全生产知识和管理能力考核，以及对特种作业人员开展安全技术考核。</w:t>
      </w:r>
    </w:p>
    <w:p>
      <w:pPr>
        <w:ind w:firstLine="646"/>
        <w:rPr>
          <w:rFonts w:hint="eastAsia" w:ascii="仿宋_GB2312" w:eastAsia="仿宋_GB2312"/>
          <w:sz w:val="32"/>
          <w:szCs w:val="32"/>
        </w:rPr>
      </w:pPr>
      <w:r>
        <w:rPr>
          <w:rFonts w:hint="eastAsia" w:ascii="仿宋_GB2312" w:eastAsia="仿宋_GB2312"/>
          <w:sz w:val="32"/>
          <w:szCs w:val="32"/>
        </w:rPr>
        <w:t>（五）负责开展应急管理、安全生产、防灾减灾救灾科技普及和咨询服务，推广应急管理、安全生产、防灾减灾救灾科技成果。</w:t>
      </w:r>
    </w:p>
    <w:p>
      <w:pPr>
        <w:ind w:firstLine="646"/>
        <w:rPr>
          <w:rFonts w:hint="eastAsia" w:ascii="仿宋_GB2312" w:eastAsia="仿宋_GB2312"/>
          <w:sz w:val="32"/>
          <w:szCs w:val="32"/>
        </w:rPr>
      </w:pPr>
      <w:r>
        <w:rPr>
          <w:rFonts w:hint="eastAsia" w:ascii="仿宋_GB2312" w:eastAsia="仿宋_GB2312"/>
          <w:sz w:val="32"/>
          <w:szCs w:val="32"/>
        </w:rPr>
        <w:t>（六）指导全市安全生产培训机构的业务管理工作。</w:t>
      </w:r>
    </w:p>
    <w:p>
      <w:pPr>
        <w:ind w:firstLine="646"/>
        <w:rPr>
          <w:rFonts w:hint="eastAsia" w:ascii="仿宋_GB2312" w:eastAsia="仿宋_GB2312"/>
          <w:sz w:val="32"/>
          <w:szCs w:val="32"/>
        </w:rPr>
      </w:pPr>
    </w:p>
    <w:p>
      <w:pPr>
        <w:numPr>
          <w:ilvl w:val="0"/>
          <w:numId w:val="1"/>
        </w:numPr>
        <w:ind w:firstLine="646"/>
        <w:rPr>
          <w:rFonts w:ascii="仿宋_GB2312" w:eastAsia="仿宋_GB2312"/>
          <w:sz w:val="32"/>
          <w:szCs w:val="32"/>
        </w:rPr>
      </w:pPr>
      <w:r>
        <w:rPr>
          <w:rFonts w:hint="eastAsia" w:ascii="仿宋_GB2312" w:eastAsia="仿宋_GB2312"/>
          <w:sz w:val="32"/>
          <w:szCs w:val="32"/>
        </w:rPr>
        <w:t>完成主管部门交办的其他任务。</w:t>
      </w:r>
    </w:p>
    <w:p>
      <w:pPr>
        <w:numPr>
          <w:numId w:val="0"/>
        </w:numPr>
        <w:ind w:firstLine="960" w:firstLineChars="300"/>
        <w:rPr>
          <w:rFonts w:hint="eastAsia" w:ascii="仿宋_GB2312" w:eastAsia="仿宋_GB2312"/>
          <w:sz w:val="32"/>
          <w:szCs w:val="32"/>
        </w:rPr>
      </w:pPr>
    </w:p>
    <w:p>
      <w:pPr>
        <w:numPr>
          <w:numId w:val="0"/>
        </w:numPr>
        <w:ind w:firstLine="960" w:firstLineChars="300"/>
        <w:rPr>
          <w:rFonts w:ascii="仿宋_GB2312" w:eastAsia="仿宋_GB2312"/>
          <w:sz w:val="32"/>
          <w:szCs w:val="32"/>
        </w:rPr>
      </w:pPr>
      <w:r>
        <w:rPr>
          <w:rFonts w:hint="eastAsia" w:ascii="仿宋_GB2312" w:eastAsia="仿宋_GB2312"/>
          <w:sz w:val="32"/>
          <w:szCs w:val="32"/>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ascii="Helvetica" w:hAnsi="Helvetica" w:eastAsia="Helvetica" w:cs="Helvetica"/>
          <w:i w:val="0"/>
          <w:iCs w:val="0"/>
          <w:caps w:val="0"/>
          <w:color w:val="333333"/>
          <w:spacing w:val="0"/>
          <w:sz w:val="21"/>
          <w:szCs w:val="21"/>
        </w:rPr>
      </w:pPr>
      <w:r>
        <w:rPr>
          <w:rStyle w:val="8"/>
          <w:rFonts w:hint="eastAsia" w:ascii="仿宋_GB2312" w:hAnsi="Helvetica" w:eastAsia="仿宋_GB2312" w:cs="仿宋_GB2312"/>
          <w:b/>
          <w:bCs/>
          <w:i w:val="0"/>
          <w:iCs w:val="0"/>
          <w:caps w:val="0"/>
          <w:color w:val="333333"/>
          <w:spacing w:val="0"/>
          <w:sz w:val="31"/>
          <w:szCs w:val="31"/>
          <w:bdr w:val="none" w:color="auto" w:sz="0" w:space="0"/>
          <w:shd w:val="clear" w:fill="FFFFFF"/>
          <w:lang w:val="en-US" w:eastAsia="zh-CN"/>
        </w:rPr>
        <w:t xml:space="preserve">                  </w:t>
      </w:r>
      <w:r>
        <w:rPr>
          <w:rStyle w:val="8"/>
          <w:rFonts w:ascii="仿宋_GB2312" w:hAnsi="Helvetica" w:eastAsia="仿宋_GB2312" w:cs="仿宋_GB2312"/>
          <w:b/>
          <w:bCs/>
          <w:i w:val="0"/>
          <w:iCs w:val="0"/>
          <w:caps w:val="0"/>
          <w:color w:val="333333"/>
          <w:spacing w:val="0"/>
          <w:sz w:val="31"/>
          <w:szCs w:val="31"/>
          <w:bdr w:val="none" w:color="auto" w:sz="0" w:space="0"/>
          <w:shd w:val="clear" w:fill="FFFFFF"/>
        </w:rPr>
        <w:t>机构和人员情况表</w:t>
      </w:r>
      <w:r>
        <w:rPr>
          <w:rFonts w:hint="eastAsia" w:ascii="仿宋_GB2312" w:hAnsi="Helvetica" w:eastAsia="仿宋_GB2312" w:cs="仿宋_GB2312"/>
          <w:i w:val="0"/>
          <w:iCs w:val="0"/>
          <w:caps w:val="0"/>
          <w:color w:val="33333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jc w:val="center"/>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                                     单位：人   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55"/>
        <w:gridCol w:w="1305"/>
        <w:gridCol w:w="600"/>
        <w:gridCol w:w="750"/>
        <w:gridCol w:w="555"/>
        <w:gridCol w:w="540"/>
        <w:gridCol w:w="61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单位名称</w:t>
            </w:r>
          </w:p>
        </w:tc>
        <w:tc>
          <w:tcPr>
            <w:tcW w:w="13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单位性质</w:t>
            </w:r>
          </w:p>
        </w:tc>
        <w:tc>
          <w:tcPr>
            <w:tcW w:w="6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编制人数</w:t>
            </w:r>
          </w:p>
        </w:tc>
        <w:tc>
          <w:tcPr>
            <w:tcW w:w="75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实有在职人数</w:t>
            </w:r>
          </w:p>
        </w:tc>
        <w:tc>
          <w:tcPr>
            <w:tcW w:w="55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离休</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  人数</w:t>
            </w:r>
          </w:p>
        </w:tc>
        <w:tc>
          <w:tcPr>
            <w:tcW w:w="540" w:type="dxa"/>
            <w:tcBorders>
              <w:top w:val="single" w:color="auto" w:sz="6" w:space="0"/>
              <w:left w:val="single" w:color="auto" w:sz="6" w:space="0"/>
              <w:bottom w:val="single" w:color="auto" w:sz="6" w:space="0"/>
              <w:right w:val="single" w:color="auto" w:sz="6" w:space="0"/>
            </w:tcBorders>
            <w:shd w:val="clear"/>
            <w:tcMar>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退休</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  人数</w:t>
            </w:r>
          </w:p>
        </w:tc>
        <w:tc>
          <w:tcPr>
            <w:tcW w:w="6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聘用人数</w:t>
            </w:r>
          </w:p>
        </w:tc>
        <w:tc>
          <w:tcPr>
            <w:tcW w:w="525" w:type="dxa"/>
            <w:tcBorders>
              <w:top w:val="single" w:color="auto" w:sz="6" w:space="0"/>
              <w:left w:val="single" w:color="auto" w:sz="6" w:space="0"/>
              <w:bottom w:val="single" w:color="auto" w:sz="6" w:space="0"/>
              <w:right w:val="single" w:color="auto" w:sz="6" w:space="0"/>
            </w:tcBorders>
            <w:shd w:val="clear"/>
            <w:tcMar>
              <w:top w:w="15" w:type="dxa"/>
              <w:left w:w="15"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遗属</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  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合计</w:t>
            </w:r>
          </w:p>
        </w:tc>
        <w:tc>
          <w:tcPr>
            <w:tcW w:w="13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keepNext w:val="0"/>
              <w:keepLines w:val="0"/>
              <w:widowControl/>
              <w:suppressLineNumbers w:val="0"/>
              <w:spacing w:before="0" w:beforeAutospacing="0" w:after="0" w:afterAutospacing="0"/>
              <w:ind w:left="0" w:right="0"/>
              <w:jc w:val="left"/>
            </w:pPr>
          </w:p>
        </w:tc>
        <w:tc>
          <w:tcPr>
            <w:tcW w:w="6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5</w:t>
            </w:r>
          </w:p>
        </w:tc>
        <w:tc>
          <w:tcPr>
            <w:tcW w:w="75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eastAsia"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4</w:t>
            </w:r>
          </w:p>
        </w:tc>
        <w:tc>
          <w:tcPr>
            <w:tcW w:w="55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540" w:type="dxa"/>
            <w:tcBorders>
              <w:top w:val="single" w:color="auto" w:sz="6" w:space="0"/>
              <w:left w:val="single" w:color="auto" w:sz="6" w:space="0"/>
              <w:bottom w:val="single" w:color="auto" w:sz="6" w:space="0"/>
              <w:right w:val="single" w:color="auto" w:sz="6" w:space="0"/>
            </w:tcBorders>
            <w:shd w:val="clear"/>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6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525" w:type="dxa"/>
            <w:tcBorders>
              <w:top w:val="single" w:color="auto" w:sz="6" w:space="0"/>
              <w:left w:val="single" w:color="auto" w:sz="6" w:space="0"/>
              <w:bottom w:val="single" w:color="auto" w:sz="6" w:space="0"/>
              <w:right w:val="single" w:color="auto" w:sz="6" w:space="0"/>
            </w:tcBorders>
            <w:shd w:val="clear"/>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柳州市应急管理宣传教育中心</w:t>
            </w:r>
          </w:p>
        </w:tc>
        <w:tc>
          <w:tcPr>
            <w:tcW w:w="13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全额拨款事业单位</w:t>
            </w:r>
          </w:p>
        </w:tc>
        <w:tc>
          <w:tcPr>
            <w:tcW w:w="6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5</w:t>
            </w:r>
          </w:p>
        </w:tc>
        <w:tc>
          <w:tcPr>
            <w:tcW w:w="75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eastAsia" w:eastAsia="宋体"/>
                <w:lang w:eastAsia="zh-CN"/>
              </w:rPr>
            </w:pPr>
            <w:r>
              <w:rPr>
                <w:rFonts w:hint="eastAsia" w:ascii="仿宋_GB2312" w:eastAsia="仿宋_GB2312" w:cs="仿宋_GB2312"/>
                <w:sz w:val="31"/>
                <w:szCs w:val="31"/>
                <w:bdr w:val="none" w:color="auto" w:sz="0" w:space="0"/>
                <w:lang w:val="en-US" w:eastAsia="zh-CN"/>
              </w:rPr>
              <w:t>4</w:t>
            </w:r>
          </w:p>
        </w:tc>
        <w:tc>
          <w:tcPr>
            <w:tcW w:w="55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0</w:t>
            </w:r>
          </w:p>
        </w:tc>
        <w:tc>
          <w:tcPr>
            <w:tcW w:w="540" w:type="dxa"/>
            <w:tcBorders>
              <w:top w:val="single" w:color="auto" w:sz="6" w:space="0"/>
              <w:left w:val="single" w:color="auto" w:sz="6" w:space="0"/>
              <w:bottom w:val="single" w:color="auto" w:sz="6" w:space="0"/>
              <w:right w:val="single" w:color="auto" w:sz="6" w:space="0"/>
            </w:tcBorders>
            <w:shd w:val="clear"/>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0</w:t>
            </w:r>
          </w:p>
        </w:tc>
        <w:tc>
          <w:tcPr>
            <w:tcW w:w="6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bdr w:val="none" w:color="auto" w:sz="0" w:space="0"/>
              </w:rPr>
              <w:t>0</w:t>
            </w:r>
          </w:p>
        </w:tc>
      </w:tr>
    </w:tbl>
    <w:p>
      <w:pPr>
        <w:ind w:firstLine="645"/>
        <w:rPr>
          <w:rFonts w:ascii="仿宋_GB2312" w:eastAsia="仿宋_GB2312"/>
          <w:sz w:val="32"/>
          <w:szCs w:val="32"/>
        </w:rPr>
      </w:pPr>
    </w:p>
    <w:p>
      <w:pPr>
        <w:spacing w:line="580" w:lineRule="exact"/>
        <w:rPr>
          <w:rFonts w:hint="eastAsia" w:ascii="仿宋_GB2312" w:eastAsia="仿宋_GB2312"/>
          <w:b/>
          <w:sz w:val="32"/>
          <w:szCs w:val="32"/>
        </w:rPr>
      </w:pPr>
    </w:p>
    <w:p>
      <w:pPr>
        <w:spacing w:line="580" w:lineRule="exact"/>
        <w:rPr>
          <w:rFonts w:hint="eastAsia"/>
        </w:rPr>
      </w:pPr>
      <w:r>
        <w:rPr>
          <w:rFonts w:hint="eastAsia" w:ascii="仿宋_GB2312" w:eastAsia="仿宋_GB2312"/>
          <w:b/>
          <w:sz w:val="32"/>
          <w:szCs w:val="32"/>
        </w:rPr>
        <w:t>第二部分：柳州市应急管理宣传教育中心2020年部门决算报表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见附件。</w:t>
      </w:r>
    </w:p>
    <w:p>
      <w:pPr>
        <w:jc w:val="center"/>
      </w:pPr>
    </w:p>
    <w:p>
      <w:pPr>
        <w:jc w:val="center"/>
      </w:pPr>
    </w:p>
    <w:p>
      <w:pPr>
        <w:jc w:val="center"/>
      </w:pPr>
    </w:p>
    <w:p>
      <w:pPr>
        <w:jc w:val="both"/>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柳州市应急管理宣传教育中心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47.76万元、47.76万元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115.61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115.61%。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88.12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98.93%</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0%，年初结转和结余0.95万元，占比1.06%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 xml:space="preserve"> 万元</w:t>
      </w:r>
      <w:bookmarkStart w:id="0" w:name="_GoBack"/>
      <w:bookmarkEnd w:id="0"/>
      <w:r>
        <w:rPr>
          <w:rFonts w:hint="eastAsia" w:ascii="仿宋_GB2312" w:eastAsia="仿宋_GB2312" w:cs="仿宋_GB2312"/>
          <w:bCs/>
          <w:kern w:val="0"/>
          <w:sz w:val="32"/>
          <w:szCs w:val="32"/>
        </w:rPr>
        <w:t>，其中：基本支出</w:t>
      </w:r>
      <w:r>
        <w:rPr>
          <w:rFonts w:hint="eastAsia" w:ascii="仿宋_GB2312" w:eastAsia="仿宋_GB2312" w:cs="仿宋_GB2312"/>
          <w:bCs/>
          <w:kern w:val="0"/>
          <w:sz w:val="32"/>
          <w:szCs w:val="32"/>
          <w:lang w:val="en-US" w:eastAsia="zh-CN"/>
        </w:rPr>
        <w:t>82.44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92.56</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6.62</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7.44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47.76万元、47.76</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115.61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115.61%。</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47.76</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115.61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 xml:space="preserve"> 万元，主要用于以下方面：社会保障和就业（类）支出</w:t>
      </w:r>
      <w:r>
        <w:rPr>
          <w:rFonts w:hint="eastAsia" w:ascii="仿宋_GB2312" w:eastAsia="仿宋_GB2312" w:cs="仿宋_GB2312"/>
          <w:bCs/>
          <w:kern w:val="0"/>
          <w:sz w:val="32"/>
          <w:szCs w:val="32"/>
          <w:lang w:val="en-US" w:eastAsia="zh-CN"/>
        </w:rPr>
        <w:t>11.80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13.25</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4.21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4.73</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6.55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7.35</w:t>
      </w:r>
      <w:r>
        <w:rPr>
          <w:rFonts w:hint="eastAsia" w:ascii="仿宋_GB2312" w:eastAsia="仿宋_GB2312" w:cs="仿宋_GB2312"/>
          <w:bCs/>
          <w:kern w:val="0"/>
          <w:sz w:val="32"/>
          <w:szCs w:val="32"/>
        </w:rPr>
        <w:t>%；灾害防治及应急管理支出</w:t>
      </w:r>
      <w:r>
        <w:rPr>
          <w:rFonts w:hint="eastAsia" w:ascii="仿宋_GB2312" w:eastAsia="仿宋_GB2312" w:cs="仿宋_GB2312"/>
          <w:bCs/>
          <w:kern w:val="0"/>
          <w:sz w:val="32"/>
          <w:szCs w:val="32"/>
          <w:lang w:val="en-US" w:eastAsia="zh-CN"/>
        </w:rPr>
        <w:t>66.51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74.49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78.71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89.07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113.16</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人员基本工资以及绩效工资、社保、住房公积金等</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1.社会保障和就业支出（类）行政事业单位养老支出（款）机关事业单位基本养老保险缴费支出（项）。年初预算为</w:t>
      </w:r>
      <w:r>
        <w:rPr>
          <w:rFonts w:hint="eastAsia" w:ascii="仿宋_GB2312" w:eastAsia="仿宋_GB2312" w:cs="仿宋_GB2312"/>
          <w:bCs/>
          <w:kern w:val="0"/>
          <w:sz w:val="32"/>
          <w:szCs w:val="32"/>
          <w:lang w:val="en-US" w:eastAsia="zh-CN"/>
        </w:rPr>
        <w:t>5.61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8.99</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160.25</w:t>
      </w:r>
      <w:r>
        <w:rPr>
          <w:rFonts w:hint="eastAsia" w:ascii="仿宋_GB2312" w:eastAsia="仿宋_GB2312" w:cs="仿宋_GB2312"/>
          <w:bCs/>
          <w:kern w:val="0"/>
          <w:sz w:val="32"/>
          <w:szCs w:val="32"/>
        </w:rPr>
        <w:t>%。决算数大于预算数的主要原因是因在职人员工资变动，故养老保险金额与年初预算不一致。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2.社会保障和就业（类）行政事业单位养老支出（款）机关事业单位职业年金缴费支出（项）。年初预算为</w:t>
      </w:r>
      <w:r>
        <w:rPr>
          <w:rFonts w:hint="eastAsia" w:ascii="仿宋_GB2312" w:eastAsia="仿宋_GB2312" w:cs="仿宋_GB2312"/>
          <w:bCs/>
          <w:kern w:val="0"/>
          <w:sz w:val="32"/>
          <w:szCs w:val="32"/>
          <w:lang w:val="en-US" w:eastAsia="zh-CN"/>
        </w:rPr>
        <w:t>2.81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2.81</w:t>
      </w:r>
      <w:r>
        <w:rPr>
          <w:rFonts w:hint="eastAsia" w:ascii="仿宋_GB2312" w:eastAsia="仿宋_GB2312" w:cs="仿宋_GB2312"/>
          <w:bCs/>
          <w:kern w:val="0"/>
          <w:sz w:val="32"/>
          <w:szCs w:val="32"/>
        </w:rPr>
        <w:t xml:space="preserve">万元，完成年初预算的100%。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3.卫生健康支出（类）行政事业单位医疗（款）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单位医疗（项）。年初预算为</w:t>
      </w:r>
      <w:r>
        <w:rPr>
          <w:rFonts w:hint="eastAsia" w:ascii="仿宋_GB2312" w:eastAsia="仿宋_GB2312" w:cs="仿宋_GB2312"/>
          <w:bCs/>
          <w:kern w:val="0"/>
          <w:sz w:val="32"/>
          <w:szCs w:val="32"/>
          <w:lang w:val="en-US" w:eastAsia="zh-CN"/>
        </w:rPr>
        <w:t>2.67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157.68</w:t>
      </w:r>
      <w:r>
        <w:rPr>
          <w:rFonts w:hint="eastAsia" w:ascii="仿宋_GB2312" w:eastAsia="仿宋_GB2312" w:cs="仿宋_GB2312"/>
          <w:bCs/>
          <w:kern w:val="0"/>
          <w:sz w:val="32"/>
          <w:szCs w:val="32"/>
        </w:rPr>
        <w:t>%。决算数大于预算数的主要原因是在职人员工资变动，故职工基本医疗金额与年初预算不一致。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4.21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6.55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155.58</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在职人员工资变动，故住房公积金金额与年初预算不一致。</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灾害防治及应急管理支出（类）应急管理事务（款）安全监管（项）。年初预算为19万元，支出决算为6.62万元，完成年初预算的0%。决算数小于预算数的主要原因是2020年“三项人员”工作经费以及安全生产知识和管理能力考核系统平台网络费及其维护费未使用完毕，故安全监管金额与年初预算不一致。</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default" w:ascii="仿宋_GB2312" w:eastAsia="仿宋_GB2312" w:cs="仿宋_GB2312"/>
          <w:bCs/>
          <w:kern w:val="0"/>
          <w:sz w:val="32"/>
          <w:szCs w:val="32"/>
          <w:lang w:val="en-US" w:eastAsia="zh-CN"/>
        </w:rPr>
        <w:t>灾害防治及应急管理支出（类）应急管理事务（款）</w:t>
      </w:r>
      <w:r>
        <w:rPr>
          <w:rFonts w:hint="eastAsia" w:ascii="仿宋_GB2312" w:eastAsia="仿宋_GB2312" w:cs="仿宋_GB2312"/>
          <w:bCs/>
          <w:kern w:val="0"/>
          <w:sz w:val="32"/>
          <w:szCs w:val="32"/>
          <w:lang w:val="en-US" w:eastAsia="zh-CN"/>
        </w:rPr>
        <w:t>事业运行</w:t>
      </w:r>
      <w:r>
        <w:rPr>
          <w:rFonts w:hint="default" w:ascii="仿宋_GB2312" w:eastAsia="仿宋_GB2312" w:cs="仿宋_GB2312"/>
          <w:bCs/>
          <w:kern w:val="0"/>
          <w:sz w:val="32"/>
          <w:szCs w:val="32"/>
          <w:lang w:val="en-US" w:eastAsia="zh-CN"/>
        </w:rPr>
        <w:t>（项）。年初预算为</w:t>
      </w:r>
      <w:r>
        <w:rPr>
          <w:rFonts w:hint="eastAsia" w:ascii="仿宋_GB2312" w:eastAsia="仿宋_GB2312" w:cs="仿宋_GB2312"/>
          <w:bCs/>
          <w:kern w:val="0"/>
          <w:sz w:val="32"/>
          <w:szCs w:val="32"/>
          <w:lang w:val="en-US" w:eastAsia="zh-CN"/>
        </w:rPr>
        <w:t>44.42</w:t>
      </w:r>
      <w:r>
        <w:rPr>
          <w:rFonts w:hint="default" w:ascii="仿宋_GB2312" w:eastAsia="仿宋_GB2312" w:cs="仿宋_GB2312"/>
          <w:bCs/>
          <w:kern w:val="0"/>
          <w:sz w:val="32"/>
          <w:szCs w:val="32"/>
          <w:lang w:val="en-US" w:eastAsia="zh-CN"/>
        </w:rPr>
        <w:t>万元，支出决算为</w:t>
      </w:r>
      <w:r>
        <w:rPr>
          <w:rFonts w:hint="eastAsia" w:ascii="仿宋_GB2312" w:eastAsia="仿宋_GB2312" w:cs="仿宋_GB2312"/>
          <w:bCs/>
          <w:kern w:val="0"/>
          <w:sz w:val="32"/>
          <w:szCs w:val="32"/>
          <w:lang w:val="en-US" w:eastAsia="zh-CN"/>
        </w:rPr>
        <w:t>59.88</w:t>
      </w:r>
      <w:r>
        <w:rPr>
          <w:rFonts w:hint="default" w:ascii="仿宋_GB2312" w:eastAsia="仿宋_GB2312" w:cs="仿宋_GB2312"/>
          <w:bCs/>
          <w:kern w:val="0"/>
          <w:sz w:val="32"/>
          <w:szCs w:val="32"/>
          <w:lang w:val="en-US" w:eastAsia="zh-CN"/>
        </w:rPr>
        <w:t>万元，完成年初预算的</w:t>
      </w:r>
      <w:r>
        <w:rPr>
          <w:rFonts w:hint="eastAsia" w:ascii="仿宋_GB2312" w:eastAsia="仿宋_GB2312" w:cs="仿宋_GB2312"/>
          <w:bCs/>
          <w:kern w:val="0"/>
          <w:sz w:val="32"/>
          <w:szCs w:val="32"/>
          <w:lang w:val="en-US" w:eastAsia="zh-CN"/>
        </w:rPr>
        <w:t>100</w:t>
      </w:r>
      <w:r>
        <w:rPr>
          <w:rFonts w:hint="default" w:ascii="仿宋_GB2312" w:eastAsia="仿宋_GB2312" w:cs="仿宋_GB2312"/>
          <w:bCs/>
          <w:kern w:val="0"/>
          <w:sz w:val="32"/>
          <w:szCs w:val="32"/>
          <w:lang w:val="en-US" w:eastAsia="zh-CN"/>
        </w:rPr>
        <w:t>%。决算数</w:t>
      </w:r>
      <w:r>
        <w:rPr>
          <w:rFonts w:hint="eastAsia" w:ascii="仿宋_GB2312" w:eastAsia="仿宋_GB2312" w:cs="仿宋_GB2312"/>
          <w:bCs/>
          <w:kern w:val="0"/>
          <w:sz w:val="32"/>
          <w:szCs w:val="32"/>
          <w:lang w:val="en-US" w:eastAsia="zh-CN"/>
        </w:rPr>
        <w:t>大</w:t>
      </w:r>
      <w:r>
        <w:rPr>
          <w:rFonts w:hint="default" w:ascii="仿宋_GB2312" w:eastAsia="仿宋_GB2312" w:cs="仿宋_GB2312"/>
          <w:bCs/>
          <w:kern w:val="0"/>
          <w:sz w:val="32"/>
          <w:szCs w:val="32"/>
          <w:lang w:val="en-US" w:eastAsia="zh-CN"/>
        </w:rPr>
        <w:t>于预算数的主要原因是</w:t>
      </w:r>
      <w:r>
        <w:rPr>
          <w:rFonts w:hint="eastAsia" w:ascii="仿宋_GB2312" w:eastAsia="仿宋_GB2312" w:cs="仿宋_GB2312"/>
          <w:bCs/>
          <w:kern w:val="0"/>
          <w:sz w:val="32"/>
          <w:szCs w:val="32"/>
          <w:lang w:val="en-US" w:eastAsia="zh-CN"/>
        </w:rPr>
        <w:t>2020年在职</w:t>
      </w:r>
      <w:r>
        <w:rPr>
          <w:rFonts w:hint="default" w:ascii="仿宋_GB2312" w:eastAsia="仿宋_GB2312" w:cs="仿宋_GB2312"/>
          <w:bCs/>
          <w:kern w:val="0"/>
          <w:sz w:val="32"/>
          <w:szCs w:val="32"/>
          <w:lang w:val="en-US" w:eastAsia="zh-CN"/>
        </w:rPr>
        <w:t>人员</w:t>
      </w:r>
      <w:r>
        <w:rPr>
          <w:rFonts w:hint="eastAsia" w:ascii="仿宋_GB2312" w:eastAsia="仿宋_GB2312" w:cs="仿宋_GB2312"/>
          <w:bCs/>
          <w:kern w:val="0"/>
          <w:sz w:val="32"/>
          <w:szCs w:val="32"/>
          <w:lang w:val="en-US" w:eastAsia="zh-CN"/>
        </w:rPr>
        <w:t>工资调整</w:t>
      </w:r>
      <w:r>
        <w:rPr>
          <w:rFonts w:hint="default" w:ascii="仿宋_GB2312" w:eastAsia="仿宋_GB2312" w:cs="仿宋_GB2312"/>
          <w:bCs/>
          <w:kern w:val="0"/>
          <w:sz w:val="32"/>
          <w:szCs w:val="32"/>
          <w:lang w:val="en-US" w:eastAsia="zh-CN"/>
        </w:rPr>
        <w:t>，故</w:t>
      </w:r>
      <w:r>
        <w:rPr>
          <w:rFonts w:hint="eastAsia" w:ascii="仿宋_GB2312" w:eastAsia="仿宋_GB2312" w:cs="仿宋_GB2312"/>
          <w:bCs/>
          <w:kern w:val="0"/>
          <w:sz w:val="32"/>
          <w:szCs w:val="32"/>
          <w:lang w:val="en-US" w:eastAsia="zh-CN"/>
        </w:rPr>
        <w:t>事业运行</w:t>
      </w:r>
      <w:r>
        <w:rPr>
          <w:rFonts w:hint="default" w:ascii="仿宋_GB2312" w:eastAsia="仿宋_GB2312" w:cs="仿宋_GB2312"/>
          <w:bCs/>
          <w:kern w:val="0"/>
          <w:sz w:val="32"/>
          <w:szCs w:val="32"/>
          <w:lang w:val="en-US" w:eastAsia="zh-CN"/>
        </w:rPr>
        <w:t>金额与年初预算不一致。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82.44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79.15</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3.19</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72.22</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val="en-US" w:eastAsia="zh-CN"/>
        </w:rPr>
        <w:t>0.05万元。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外单位来我单位考察次数增加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2.公务用车购置及运行费支出万元。其中： 公务用车购置支出为万元。公务用车运行支出万元。2020年，机关所属单位开支财政拨款的公务用车保有量为辆。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外单位来我单位考察</w:t>
      </w:r>
      <w:r>
        <w:rPr>
          <w:rFonts w:hint="eastAsia" w:ascii="仿宋_GB2312" w:eastAsia="仿宋_GB2312" w:cs="仿宋_GB2312"/>
          <w:bCs/>
          <w:kern w:val="0"/>
          <w:sz w:val="32"/>
          <w:szCs w:val="32"/>
        </w:rPr>
        <w:t>工作发生的接待支出。2020 年共接待国内来访团组</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numPr>
          <w:ilvl w:val="0"/>
          <w:numId w:val="2"/>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支出全面开展绩效自评。共涉及预算资金</w:t>
      </w:r>
      <w:r>
        <w:rPr>
          <w:rFonts w:hint="eastAsia" w:ascii="仿宋_GB2312" w:eastAsia="仿宋_GB2312" w:cs="仿宋_GB2312"/>
          <w:bCs/>
          <w:kern w:val="0"/>
          <w:sz w:val="32"/>
          <w:szCs w:val="32"/>
          <w:lang w:val="en-US" w:eastAsia="zh-CN"/>
        </w:rPr>
        <w:t>78.71</w:t>
      </w:r>
      <w:r>
        <w:rPr>
          <w:rFonts w:hint="eastAsia" w:ascii="仿宋_GB2312" w:eastAsia="仿宋_GB2312" w:cs="仿宋_GB2312"/>
          <w:bCs/>
          <w:kern w:val="0"/>
          <w:sz w:val="32"/>
          <w:szCs w:val="32"/>
        </w:rPr>
        <w:t xml:space="preserve">万元，自评覆盖率达到100%。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对</w:t>
      </w:r>
      <w:r>
        <w:rPr>
          <w:rFonts w:hint="eastAsia" w:ascii="仿宋_GB2312" w:eastAsia="仿宋_GB2312" w:cs="仿宋_GB2312"/>
          <w:bCs/>
          <w:kern w:val="0"/>
          <w:sz w:val="32"/>
          <w:szCs w:val="32"/>
        </w:rPr>
        <w:t>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w:t>
      </w:r>
      <w:r>
        <w:rPr>
          <w:rFonts w:hint="eastAsia" w:ascii="仿宋_GB2312" w:eastAsia="仿宋_GB2312" w:cs="仿宋_GB2312"/>
          <w:bCs/>
          <w:kern w:val="0"/>
          <w:sz w:val="32"/>
          <w:szCs w:val="32"/>
          <w:lang w:eastAsia="zh-CN"/>
        </w:rPr>
        <w:t>，无项目绩效指标</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04F6980A"/>
    <w:multiLevelType w:val="singleLevel"/>
    <w:tmpl w:val="04F6980A"/>
    <w:lvl w:ilvl="0" w:tentative="0">
      <w:start w:val="7"/>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5D92728"/>
    <w:rsid w:val="09E3674D"/>
    <w:rsid w:val="0E074DDF"/>
    <w:rsid w:val="114944A0"/>
    <w:rsid w:val="124204B5"/>
    <w:rsid w:val="182962AB"/>
    <w:rsid w:val="19D073EB"/>
    <w:rsid w:val="1CC31F67"/>
    <w:rsid w:val="24043D1F"/>
    <w:rsid w:val="24D337DC"/>
    <w:rsid w:val="26460DBA"/>
    <w:rsid w:val="2B6F74EB"/>
    <w:rsid w:val="2C4219FE"/>
    <w:rsid w:val="2E581541"/>
    <w:rsid w:val="34020F86"/>
    <w:rsid w:val="39A63F06"/>
    <w:rsid w:val="39C57451"/>
    <w:rsid w:val="3ED1439F"/>
    <w:rsid w:val="48374EDC"/>
    <w:rsid w:val="4C256E3D"/>
    <w:rsid w:val="4CB52F0F"/>
    <w:rsid w:val="4DB11E68"/>
    <w:rsid w:val="532F1F9A"/>
    <w:rsid w:val="57EE17F0"/>
    <w:rsid w:val="5E995A3E"/>
    <w:rsid w:val="62163194"/>
    <w:rsid w:val="624D024D"/>
    <w:rsid w:val="629441E6"/>
    <w:rsid w:val="650E086A"/>
    <w:rsid w:val="6B44294F"/>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uiPriority w:val="0"/>
    <w:rPr>
      <w:rFonts w:hint="eastAsia" w:ascii="宋体" w:hAnsi="宋体" w:eastAsia="宋体" w:cs="宋体"/>
      <w:color w:val="000000"/>
      <w:sz w:val="22"/>
      <w:szCs w:val="22"/>
      <w:u w:val="none"/>
    </w:rPr>
  </w:style>
  <w:style w:type="character" w:customStyle="1" w:styleId="12">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3</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YX</cp:lastModifiedBy>
  <cp:lastPrinted>2021-07-07T01:10:00Z</cp:lastPrinted>
  <dcterms:modified xsi:type="dcterms:W3CDTF">2021-07-27T03:37:46Z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7BD1A507C53E43D18153C798C573C625</vt:lpwstr>
  </property>
</Properties>
</file>