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rPr>
        <w:t>柳州市安全生产应急管理监察支队</w:t>
      </w: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w:t>
      </w:r>
      <w:r>
        <w:rPr>
          <w:rFonts w:hint="eastAsia" w:ascii="仿宋_GB2312" w:hAnsi="黑体" w:eastAsia="仿宋_GB2312"/>
          <w:b/>
          <w:bCs/>
          <w:color w:val="000000"/>
          <w:sz w:val="32"/>
          <w:szCs w:val="32"/>
          <w:u w:val="none"/>
        </w:rPr>
        <w:t>安全生产应急管理监察支队</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柳州市安全生产应急管理监察支队</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第三部分：柳州市安全生产应急管理监察支队2020年度部门决算情况说明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第一部分：柳州市安全生产应急管理监察支队概况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eastAsia="仿宋_GB2312"/>
          <w:sz w:val="32"/>
          <w:szCs w:val="32"/>
        </w:rPr>
      </w:pPr>
      <w:r>
        <w:rPr>
          <w:rFonts w:hint="eastAsia" w:ascii="仿宋_GB2312" w:eastAsia="仿宋_GB2312"/>
          <w:sz w:val="32"/>
          <w:szCs w:val="32"/>
        </w:rPr>
        <w:t>（一）负责对市、城区监管的工贸、非煤矿山、化工（含石油化工）、医药、危险化学品和烟花爆竹等行业生产经营单位贯彻执行安全生产法律法规和行业标准的情况进行监察，巡查企业的安全生产动态，并依法对违法行为实施行政处罚。</w:t>
      </w:r>
    </w:p>
    <w:p>
      <w:pPr>
        <w:ind w:firstLine="646"/>
        <w:rPr>
          <w:rFonts w:hint="eastAsia" w:ascii="仿宋_GB2312" w:eastAsia="仿宋_GB2312"/>
          <w:sz w:val="32"/>
          <w:szCs w:val="32"/>
        </w:rPr>
      </w:pPr>
      <w:r>
        <w:rPr>
          <w:rFonts w:hint="eastAsia" w:ascii="仿宋_GB2312" w:eastAsia="仿宋_GB2312"/>
          <w:sz w:val="32"/>
          <w:szCs w:val="32"/>
        </w:rPr>
        <w:t>（二）承担跨地区安全生产非法违法行为查处协调工作。协助开展生产安全事故调查和事故处理工作。</w:t>
      </w:r>
    </w:p>
    <w:p>
      <w:pPr>
        <w:ind w:firstLine="646"/>
        <w:rPr>
          <w:rFonts w:hint="eastAsia" w:ascii="仿宋_GB2312" w:eastAsia="仿宋_GB2312"/>
          <w:sz w:val="32"/>
          <w:szCs w:val="32"/>
        </w:rPr>
      </w:pPr>
      <w:r>
        <w:rPr>
          <w:rFonts w:hint="eastAsia" w:ascii="仿宋_GB2312" w:eastAsia="仿宋_GB2312"/>
          <w:sz w:val="32"/>
          <w:szCs w:val="32"/>
        </w:rPr>
        <w:t>（三）负责受理和查处有关安全生产方面的投诉、举报和案件，以及对举报人奖励兑现工作。</w:t>
      </w:r>
    </w:p>
    <w:p>
      <w:pPr>
        <w:ind w:firstLine="646"/>
        <w:rPr>
          <w:rFonts w:hint="eastAsia" w:ascii="仿宋_GB2312" w:eastAsia="仿宋_GB2312"/>
          <w:sz w:val="32"/>
          <w:szCs w:val="32"/>
        </w:rPr>
      </w:pPr>
      <w:r>
        <w:rPr>
          <w:rFonts w:hint="eastAsia" w:ascii="仿宋_GB2312" w:eastAsia="仿宋_GB2312"/>
          <w:sz w:val="32"/>
          <w:szCs w:val="32"/>
        </w:rPr>
        <w:t>（四）负责开展市属地震监测台网建设、运行、维护和管理工作。负责地震震情监测，做好地震监测信息的有关工作，做好地震速报、地震预警、震情跟踪、流动观测和可能与地震有关的异常现象调查核实等地震技术服务工作；协助做好地震活动趋势会商工作。</w:t>
      </w:r>
    </w:p>
    <w:p>
      <w:pPr>
        <w:ind w:firstLine="646"/>
        <w:rPr>
          <w:rFonts w:hint="eastAsia" w:ascii="仿宋_GB2312" w:eastAsia="仿宋_GB2312"/>
          <w:sz w:val="32"/>
          <w:szCs w:val="32"/>
        </w:rPr>
      </w:pPr>
      <w:r>
        <w:rPr>
          <w:rFonts w:hint="eastAsia" w:ascii="仿宋_GB2312" w:eastAsia="仿宋_GB2312"/>
          <w:sz w:val="32"/>
          <w:szCs w:val="32"/>
        </w:rPr>
        <w:t>（五）负责应急技术系统的建设、运行和维护；负责为应急处置工作提供应急救援力量的配置方案等技术服务；协助做好市属应急避难场所的规划建设和维护管理工作；协助开展地震现场应急服务工作；协助开展安全生产类、自然灾害类等突发事件应急救援工作。</w:t>
      </w:r>
    </w:p>
    <w:p>
      <w:pPr>
        <w:ind w:firstLine="646"/>
        <w:rPr>
          <w:rFonts w:hint="eastAsia" w:ascii="仿宋_GB2312" w:eastAsia="仿宋_GB2312"/>
          <w:sz w:val="32"/>
          <w:szCs w:val="32"/>
        </w:rPr>
      </w:pPr>
      <w:r>
        <w:rPr>
          <w:rFonts w:hint="eastAsia" w:ascii="仿宋_GB2312" w:eastAsia="仿宋_GB2312"/>
          <w:sz w:val="32"/>
          <w:szCs w:val="32"/>
        </w:rPr>
        <w:t>（六）指导各县区开展安全生产监察执法工作、地震领域执法和监测工作。</w:t>
      </w:r>
    </w:p>
    <w:p>
      <w:pPr>
        <w:ind w:firstLine="646"/>
        <w:rPr>
          <w:rFonts w:hint="eastAsia" w:ascii="仿宋_GB2312" w:eastAsia="仿宋_GB2312"/>
          <w:sz w:val="32"/>
          <w:szCs w:val="32"/>
        </w:rPr>
      </w:pPr>
      <w:r>
        <w:rPr>
          <w:rFonts w:hint="eastAsia" w:ascii="仿宋_GB2312" w:eastAsia="仿宋_GB2312"/>
          <w:sz w:val="32"/>
          <w:szCs w:val="32"/>
        </w:rPr>
        <w:t>（七）完成市应急管理局交办的其他任务。</w:t>
      </w:r>
    </w:p>
    <w:p>
      <w:pPr>
        <w:ind w:firstLine="646"/>
        <w:rPr>
          <w:rFonts w:ascii="仿宋_GB2312" w:eastAsia="仿宋_GB2312"/>
          <w:sz w:val="32"/>
          <w:szCs w:val="32"/>
        </w:rPr>
      </w:pPr>
      <w:r>
        <w:rPr>
          <w:rFonts w:hint="eastAsia" w:ascii="仿宋_GB2312" w:eastAsia="仿宋_GB2312"/>
          <w:sz w:val="32"/>
          <w:szCs w:val="32"/>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5" w:lineRule="atLeast"/>
        <w:ind w:left="0" w:right="0" w:firstLine="0"/>
        <w:jc w:val="center"/>
        <w:rPr>
          <w:rFonts w:ascii="Helvetica" w:hAnsi="Helvetica" w:eastAsia="Helvetica" w:cs="Helvetica"/>
          <w:i w:val="0"/>
          <w:iCs w:val="0"/>
          <w:caps w:val="0"/>
          <w:color w:val="333333"/>
          <w:spacing w:val="0"/>
          <w:sz w:val="21"/>
          <w:szCs w:val="21"/>
        </w:rPr>
      </w:pPr>
      <w:r>
        <w:rPr>
          <w:rStyle w:val="8"/>
          <w:rFonts w:hint="eastAsia" w:ascii="仿宋_GB2312" w:hAnsi="Helvetica" w:eastAsia="仿宋_GB2312" w:cs="仿宋_GB2312"/>
          <w:b/>
          <w:bCs/>
          <w:i w:val="0"/>
          <w:iCs w:val="0"/>
          <w:caps w:val="0"/>
          <w:color w:val="333333"/>
          <w:spacing w:val="0"/>
          <w:sz w:val="31"/>
          <w:szCs w:val="31"/>
          <w:shd w:val="clear" w:fill="FFFFFF"/>
          <w:lang w:val="en-US" w:eastAsia="zh-CN"/>
        </w:rPr>
        <w:t xml:space="preserve">                     </w:t>
      </w:r>
      <w:r>
        <w:rPr>
          <w:rStyle w:val="8"/>
          <w:rFonts w:ascii="仿宋_GB2312" w:hAnsi="Helvetica" w:eastAsia="仿宋_GB2312" w:cs="仿宋_GB2312"/>
          <w:b/>
          <w:bCs/>
          <w:i w:val="0"/>
          <w:iCs w:val="0"/>
          <w:caps w:val="0"/>
          <w:color w:val="333333"/>
          <w:spacing w:val="0"/>
          <w:sz w:val="31"/>
          <w:szCs w:val="31"/>
          <w:shd w:val="clear" w:fill="FFFFFF"/>
        </w:rPr>
        <w:t>机构和人员情况表</w:t>
      </w:r>
      <w:r>
        <w:rPr>
          <w:rFonts w:hint="eastAsia" w:ascii="仿宋_GB2312" w:hAnsi="Helvetica" w:eastAsia="仿宋_GB2312" w:cs="仿宋_GB2312"/>
          <w:i w:val="0"/>
          <w:iCs w:val="0"/>
          <w:caps w:val="0"/>
          <w:color w:val="333333"/>
          <w:spacing w:val="0"/>
          <w:sz w:val="31"/>
          <w:szCs w:val="31"/>
          <w:shd w:val="clear" w:fill="FFFFFF"/>
        </w:rPr>
        <w:t>                   </w:t>
      </w:r>
    </w:p>
    <w:tbl>
      <w:tblPr>
        <w:tblStyle w:val="6"/>
        <w:tblpPr w:leftFromText="180" w:rightFromText="180" w:vertAnchor="text" w:horzAnchor="page" w:tblpX="1919" w:tblpY="69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55"/>
        <w:gridCol w:w="1305"/>
        <w:gridCol w:w="600"/>
        <w:gridCol w:w="750"/>
        <w:gridCol w:w="555"/>
        <w:gridCol w:w="540"/>
        <w:gridCol w:w="615"/>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 w:hRule="atLeast"/>
        </w:trPr>
        <w:tc>
          <w:tcPr>
            <w:tcW w:w="2955" w:type="dxa"/>
            <w:tcBorders>
              <w:top w:val="single" w:color="auto" w:sz="6" w:space="0"/>
              <w:left w:val="single" w:color="auto" w:sz="6" w:space="0"/>
              <w:bottom w:val="single" w:color="auto" w:sz="6" w:space="0"/>
              <w:right w:val="single" w:color="auto" w:sz="6" w:space="0"/>
            </w:tcBorders>
            <w:shd w:val="clear" w:color="auto" w:fill="auto"/>
            <w:tcMar>
              <w:top w:w="15" w:type="dxa"/>
              <w:left w:w="30"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单位名称</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单位性质</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编制人数</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实有在职人数</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离休</w:t>
            </w:r>
            <w:r>
              <w:rPr>
                <w:rFonts w:hint="eastAsia" w:ascii="仿宋_GB2312" w:eastAsia="仿宋_GB2312" w:cs="仿宋_GB2312"/>
                <w:sz w:val="31"/>
                <w:szCs w:val="31"/>
              </w:rPr>
              <w:br w:type="textWrapping"/>
            </w:r>
            <w:r>
              <w:rPr>
                <w:rFonts w:hint="eastAsia" w:ascii="仿宋_GB2312" w:eastAsia="仿宋_GB2312" w:cs="仿宋_GB2312"/>
                <w:sz w:val="31"/>
                <w:szCs w:val="31"/>
              </w:rPr>
              <w:t>  人数</w:t>
            </w:r>
          </w:p>
        </w:tc>
        <w:tc>
          <w:tcPr>
            <w:tcW w:w="540" w:type="dxa"/>
            <w:tcBorders>
              <w:top w:val="single" w:color="auto" w:sz="6" w:space="0"/>
              <w:left w:val="single" w:color="auto" w:sz="6" w:space="0"/>
              <w:bottom w:val="single" w:color="auto" w:sz="6" w:space="0"/>
              <w:right w:val="single" w:color="auto" w:sz="6" w:space="0"/>
            </w:tcBorders>
            <w:shd w:val="clear" w:color="auto" w:fill="auto"/>
            <w:tcMar>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退休</w:t>
            </w:r>
            <w:r>
              <w:rPr>
                <w:rFonts w:hint="eastAsia" w:ascii="仿宋_GB2312" w:eastAsia="仿宋_GB2312" w:cs="仿宋_GB2312"/>
                <w:sz w:val="31"/>
                <w:szCs w:val="31"/>
              </w:rPr>
              <w:br w:type="textWrapping"/>
            </w:r>
            <w:r>
              <w:rPr>
                <w:rFonts w:hint="eastAsia" w:ascii="仿宋_GB2312" w:eastAsia="仿宋_GB2312" w:cs="仿宋_GB2312"/>
                <w:sz w:val="31"/>
                <w:szCs w:val="31"/>
              </w:rPr>
              <w:t>  人数</w:t>
            </w:r>
          </w:p>
        </w:tc>
        <w:tc>
          <w:tcPr>
            <w:tcW w:w="61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聘用人数</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3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遗属</w:t>
            </w:r>
            <w:r>
              <w:rPr>
                <w:rFonts w:hint="eastAsia" w:ascii="仿宋_GB2312" w:eastAsia="仿宋_GB2312" w:cs="仿宋_GB2312"/>
                <w:sz w:val="31"/>
                <w:szCs w:val="31"/>
              </w:rPr>
              <w:br w:type="textWrapping"/>
            </w:r>
            <w:r>
              <w:rPr>
                <w:rFonts w:hint="eastAsia" w:ascii="仿宋_GB2312" w:eastAsia="仿宋_GB2312" w:cs="仿宋_GB2312"/>
                <w:sz w:val="31"/>
                <w:szCs w:val="31"/>
              </w:rPr>
              <w:t>  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2955" w:type="dxa"/>
            <w:tcBorders>
              <w:top w:val="single" w:color="auto" w:sz="6" w:space="0"/>
              <w:left w:val="single" w:color="auto" w:sz="6" w:space="0"/>
              <w:bottom w:val="single" w:color="auto" w:sz="6" w:space="0"/>
              <w:right w:val="single" w:color="auto" w:sz="6" w:space="0"/>
            </w:tcBorders>
            <w:shd w:val="clear" w:color="auto" w:fill="auto"/>
            <w:tcMar>
              <w:top w:w="15" w:type="dxa"/>
              <w:left w:w="30"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合计</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pPr>
          </w:p>
        </w:tc>
        <w:tc>
          <w:tcPr>
            <w:tcW w:w="6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ascii="Times New Roman" w:hAnsi="Times New Roman" w:eastAsia="宋体" w:cs="Times New Roman"/>
                <w:kern w:val="0"/>
                <w:sz w:val="24"/>
                <w:szCs w:val="24"/>
                <w:lang w:val="en-US" w:eastAsia="zh-CN" w:bidi="ar"/>
              </w:rPr>
            </w:pPr>
            <w:r>
              <w:rPr>
                <w:rFonts w:hint="eastAsia" w:ascii="仿宋_GB2312" w:eastAsia="仿宋_GB2312" w:cs="仿宋_GB2312"/>
                <w:sz w:val="31"/>
                <w:szCs w:val="31"/>
              </w:rPr>
              <w:t>34</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ascii="Times New Roman" w:hAnsi="Times New Roman" w:eastAsia="宋体" w:cs="Times New Roman"/>
                <w:kern w:val="0"/>
                <w:sz w:val="24"/>
                <w:szCs w:val="24"/>
                <w:lang w:val="en-US" w:eastAsia="zh-CN" w:bidi="ar"/>
              </w:rPr>
            </w:pPr>
            <w:r>
              <w:rPr>
                <w:rFonts w:hint="eastAsia" w:ascii="仿宋_GB2312" w:eastAsia="仿宋_GB2312" w:cs="仿宋_GB2312"/>
                <w:sz w:val="31"/>
                <w:szCs w:val="31"/>
              </w:rPr>
              <w:t>24</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ascii="Times New Roman" w:hAnsi="Times New Roman" w:eastAsia="宋体" w:cs="Times New Roman"/>
                <w:kern w:val="0"/>
                <w:sz w:val="24"/>
                <w:szCs w:val="24"/>
                <w:lang w:val="en-US" w:eastAsia="zh-CN" w:bidi="ar"/>
              </w:rPr>
            </w:pPr>
            <w:r>
              <w:rPr>
                <w:rFonts w:hint="eastAsia" w:ascii="仿宋_GB2312" w:eastAsia="仿宋_GB2312" w:cs="仿宋_GB2312"/>
                <w:sz w:val="31"/>
                <w:szCs w:val="31"/>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ascii="Times New Roman" w:hAnsi="Times New Roman" w:eastAsia="宋体" w:cs="Times New Roman"/>
                <w:kern w:val="0"/>
                <w:sz w:val="24"/>
                <w:szCs w:val="24"/>
                <w:lang w:val="en-US" w:eastAsia="zh-CN" w:bidi="ar"/>
              </w:rPr>
            </w:pPr>
            <w:r>
              <w:rPr>
                <w:rFonts w:hint="eastAsia" w:ascii="仿宋_GB2312" w:eastAsia="仿宋_GB2312" w:cs="仿宋_GB2312"/>
                <w:sz w:val="31"/>
                <w:szCs w:val="31"/>
              </w:rPr>
              <w:t>0</w:t>
            </w:r>
          </w:p>
        </w:tc>
        <w:tc>
          <w:tcPr>
            <w:tcW w:w="61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hint="default" w:ascii="Times New Roman" w:hAnsi="Times New Roman" w:eastAsia="宋体" w:cs="Times New Roman"/>
                <w:kern w:val="0"/>
                <w:sz w:val="24"/>
                <w:szCs w:val="24"/>
                <w:lang w:val="en-US" w:eastAsia="zh-CN" w:bidi="ar"/>
              </w:rPr>
            </w:pPr>
            <w:r>
              <w:rPr>
                <w:rFonts w:hint="eastAsia" w:ascii="仿宋_GB2312" w:eastAsia="仿宋_GB2312" w:cs="仿宋_GB2312"/>
                <w:sz w:val="31"/>
                <w:szCs w:val="31"/>
                <w:lang w:val="en-US" w:eastAsia="zh-CN"/>
              </w:rPr>
              <w:t>10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3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leftChars="0" w:right="0" w:rightChars="0"/>
              <w:jc w:val="center"/>
              <w:rPr>
                <w:rFonts w:ascii="Times New Roman" w:hAnsi="Times New Roman" w:eastAsia="宋体" w:cs="Times New Roman"/>
                <w:kern w:val="0"/>
                <w:sz w:val="24"/>
                <w:szCs w:val="24"/>
                <w:lang w:val="en-US" w:eastAsia="zh-CN" w:bidi="ar"/>
              </w:rPr>
            </w:pPr>
            <w:r>
              <w:rPr>
                <w:rFonts w:hint="eastAsia" w:ascii="仿宋_GB2312" w:eastAsia="仿宋_GB2312" w:cs="仿宋_GB2312"/>
                <w:sz w:val="31"/>
                <w:szCs w:val="3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2955" w:type="dxa"/>
            <w:tcBorders>
              <w:top w:val="single" w:color="auto" w:sz="6" w:space="0"/>
              <w:left w:val="single" w:color="auto" w:sz="6" w:space="0"/>
              <w:bottom w:val="single" w:color="auto" w:sz="6" w:space="0"/>
              <w:right w:val="single" w:color="auto" w:sz="6" w:space="0"/>
            </w:tcBorders>
            <w:shd w:val="clear" w:color="auto" w:fill="auto"/>
            <w:tcMar>
              <w:top w:w="15" w:type="dxa"/>
              <w:left w:w="30"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柳州市安全生产监察支队</w:t>
            </w:r>
          </w:p>
        </w:tc>
        <w:tc>
          <w:tcPr>
            <w:tcW w:w="130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参公管理</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34</w:t>
            </w:r>
          </w:p>
        </w:tc>
        <w:tc>
          <w:tcPr>
            <w:tcW w:w="750"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24</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0</w:t>
            </w:r>
          </w:p>
        </w:tc>
        <w:tc>
          <w:tcPr>
            <w:tcW w:w="61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1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rPr>
                <w:rFonts w:hint="default" w:eastAsia="宋体"/>
                <w:lang w:val="en-US" w:eastAsia="zh-CN"/>
              </w:rPr>
            </w:pPr>
            <w:r>
              <w:rPr>
                <w:rFonts w:hint="eastAsia" w:ascii="仿宋_GB2312" w:eastAsia="仿宋_GB2312" w:cs="仿宋_GB2312"/>
                <w:sz w:val="31"/>
                <w:szCs w:val="31"/>
                <w:lang w:val="en-US" w:eastAsia="zh-CN"/>
              </w:rPr>
              <w:t>10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right w:w="3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75" w:lineRule="atLeast"/>
              <w:ind w:left="0" w:right="0"/>
              <w:jc w:val="center"/>
            </w:pPr>
            <w:r>
              <w:rPr>
                <w:rFonts w:hint="eastAsia" w:ascii="仿宋_GB2312" w:eastAsia="仿宋_GB2312" w:cs="仿宋_GB2312"/>
                <w:sz w:val="31"/>
                <w:szCs w:val="31"/>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0"/>
        <w:jc w:val="center"/>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shd w:val="clear" w:fill="FFFFFF"/>
        </w:rPr>
        <w:t>                                   </w:t>
      </w:r>
      <w:r>
        <w:rPr>
          <w:rFonts w:hint="eastAsia" w:ascii="仿宋_GB2312" w:hAnsi="Helvetica" w:eastAsia="仿宋_GB2312" w:cs="仿宋_GB2312"/>
          <w:i w:val="0"/>
          <w:iCs w:val="0"/>
          <w:caps w:val="0"/>
          <w:color w:val="333333"/>
          <w:spacing w:val="0"/>
          <w:sz w:val="31"/>
          <w:szCs w:val="31"/>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shd w:val="clear" w:fill="FFFFFF"/>
        </w:rPr>
        <w:t>  单位：人                             </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第二部分：柳州市安全生产应急管理监察支队2020年部门决算报表</w:t>
      </w:r>
    </w:p>
    <w:p>
      <w:pPr>
        <w:jc w:val="left"/>
        <w:rPr>
          <w:rFonts w:hint="eastAsia" w:eastAsia="宋体"/>
          <w:lang w:eastAsia="zh-CN"/>
        </w:rPr>
      </w:pPr>
      <w:r>
        <w:rPr>
          <w:rFonts w:hint="eastAsia" w:ascii="仿宋_GB2312" w:hAnsi="黑体" w:eastAsia="仿宋_GB2312"/>
          <w:sz w:val="32"/>
          <w:szCs w:val="32"/>
          <w:lang w:eastAsia="zh-CN"/>
        </w:rPr>
        <w:t>见附件。</w:t>
      </w:r>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柳州市安全生产应急管理监察支队</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655.03</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655.03</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238.28万元、245.72万元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36.38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37.51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655.03</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647.59</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98.86%</w:t>
      </w:r>
      <w:r>
        <w:rPr>
          <w:rFonts w:hint="eastAsia" w:ascii="仿宋_GB2312" w:eastAsia="仿宋_GB2312" w:cs="仿宋_GB2312"/>
          <w:bCs/>
          <w:kern w:val="0"/>
          <w:sz w:val="32"/>
          <w:szCs w:val="32"/>
        </w:rPr>
        <w:t> ；政府基金预算财政拨款收入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0%，年初结转和结余7.44万元，占比1.14%</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655.03</w:t>
      </w:r>
      <w:r>
        <w:rPr>
          <w:rFonts w:hint="eastAsia" w:ascii="仿宋_GB2312" w:eastAsia="仿宋_GB2312" w:cs="仿宋_GB2312"/>
          <w:bCs/>
          <w:kern w:val="0"/>
          <w:sz w:val="32"/>
          <w:szCs w:val="32"/>
        </w:rPr>
        <w:t xml:space="preserve"> 万元，其中：基本支出</w:t>
      </w:r>
      <w:r>
        <w:rPr>
          <w:rFonts w:hint="eastAsia" w:ascii="仿宋_GB2312" w:eastAsia="仿宋_GB2312" w:cs="仿宋_GB2312"/>
          <w:bCs/>
          <w:kern w:val="0"/>
          <w:sz w:val="32"/>
          <w:szCs w:val="32"/>
          <w:lang w:val="en-US" w:eastAsia="zh-CN"/>
        </w:rPr>
        <w:t>552.64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84.37</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102.39</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15.63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w:t>
      </w:r>
      <w:r>
        <w:rPr>
          <w:rFonts w:hint="eastAsia" w:ascii="仿宋_GB2312" w:eastAsia="仿宋_GB2312" w:cs="仿宋_GB2312"/>
          <w:bCs/>
          <w:kern w:val="0"/>
          <w:sz w:val="32"/>
          <w:szCs w:val="32"/>
          <w:lang w:val="en-US" w:eastAsia="zh-CN"/>
        </w:rPr>
        <w:t>655.03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655.03</w:t>
      </w:r>
      <w:r>
        <w:rPr>
          <w:rFonts w:hint="eastAsia" w:ascii="仿宋_GB2312" w:eastAsia="仿宋_GB2312" w:cs="仿宋_GB2312"/>
          <w:bCs/>
          <w:kern w:val="0"/>
          <w:sz w:val="32"/>
          <w:szCs w:val="32"/>
        </w:rPr>
        <w:t>万元。与 2019 年相比，财政拨款收、支总计各增加238.28万元、245.72万元，增长</w:t>
      </w:r>
      <w:r>
        <w:rPr>
          <w:rFonts w:hint="eastAsia" w:ascii="仿宋_GB2312" w:eastAsia="仿宋_GB2312" w:cs="仿宋_GB2312"/>
          <w:bCs/>
          <w:kern w:val="0"/>
          <w:sz w:val="32"/>
          <w:szCs w:val="32"/>
          <w:lang w:val="en-US" w:eastAsia="zh-CN"/>
        </w:rPr>
        <w:t>36.38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37.51</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hint="eastAsia" w:ascii="仿宋_GB2312" w:eastAsia="仿宋_GB2312" w:cs="仿宋_GB2312"/>
          <w:bCs/>
          <w:kern w:val="0"/>
          <w:sz w:val="32"/>
          <w:szCs w:val="32"/>
          <w:lang w:val="en-US" w:eastAsia="zh-CN"/>
        </w:rPr>
        <w:t>655.03</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245.72</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37.51</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655.03</w:t>
      </w:r>
      <w:r>
        <w:rPr>
          <w:rFonts w:hint="eastAsia" w:ascii="仿宋_GB2312" w:eastAsia="仿宋_GB2312" w:cs="仿宋_GB2312"/>
          <w:bCs/>
          <w:kern w:val="0"/>
          <w:sz w:val="32"/>
          <w:szCs w:val="32"/>
        </w:rPr>
        <w:t>万元，主要用于以下方面：社会保障和就业支出</w:t>
      </w:r>
      <w:r>
        <w:rPr>
          <w:rFonts w:hint="eastAsia" w:ascii="仿宋_GB2312" w:eastAsia="仿宋_GB2312" w:cs="仿宋_GB2312"/>
          <w:bCs/>
          <w:kern w:val="0"/>
          <w:sz w:val="32"/>
          <w:szCs w:val="32"/>
          <w:lang w:val="en-US" w:eastAsia="zh-CN"/>
        </w:rPr>
        <w:t>72.93</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11.13</w:t>
      </w:r>
      <w:r>
        <w:rPr>
          <w:rFonts w:hint="eastAsia" w:ascii="仿宋_GB2312" w:eastAsia="仿宋_GB2312" w:cs="仿宋_GB2312"/>
          <w:bCs/>
          <w:kern w:val="0"/>
          <w:sz w:val="32"/>
          <w:szCs w:val="32"/>
        </w:rPr>
        <w:t>%； 卫生健康支出</w:t>
      </w:r>
      <w:r>
        <w:rPr>
          <w:rFonts w:hint="eastAsia" w:ascii="仿宋_GB2312" w:eastAsia="仿宋_GB2312" w:cs="仿宋_GB2312"/>
          <w:bCs/>
          <w:kern w:val="0"/>
          <w:sz w:val="32"/>
          <w:szCs w:val="32"/>
          <w:lang w:val="en-US" w:eastAsia="zh-CN"/>
        </w:rPr>
        <w:t>43.27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6.6</w:t>
      </w:r>
      <w:r>
        <w:rPr>
          <w:rFonts w:hint="eastAsia" w:ascii="仿宋_GB2312" w:eastAsia="仿宋_GB2312" w:cs="仿宋_GB2312"/>
          <w:bCs/>
          <w:kern w:val="0"/>
          <w:sz w:val="32"/>
          <w:szCs w:val="32"/>
        </w:rPr>
        <w:t>%；住房保障支出</w:t>
      </w:r>
      <w:r>
        <w:rPr>
          <w:rFonts w:hint="eastAsia" w:ascii="仿宋_GB2312" w:eastAsia="仿宋_GB2312" w:cs="仿宋_GB2312"/>
          <w:bCs/>
          <w:kern w:val="0"/>
          <w:sz w:val="32"/>
          <w:szCs w:val="32"/>
          <w:lang w:val="en-US" w:eastAsia="zh-CN"/>
        </w:rPr>
        <w:t>38.68</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5.9</w:t>
      </w:r>
      <w:r>
        <w:rPr>
          <w:rFonts w:hint="eastAsia" w:ascii="仿宋_GB2312" w:eastAsia="仿宋_GB2312" w:cs="仿宋_GB2312"/>
          <w:bCs/>
          <w:kern w:val="0"/>
          <w:sz w:val="32"/>
          <w:szCs w:val="32"/>
        </w:rPr>
        <w:t>%；灾害防治及应急管理支出</w:t>
      </w:r>
      <w:r>
        <w:rPr>
          <w:rFonts w:hint="eastAsia" w:ascii="仿宋_GB2312" w:eastAsia="仿宋_GB2312" w:cs="仿宋_GB2312"/>
          <w:bCs/>
          <w:kern w:val="0"/>
          <w:sz w:val="32"/>
          <w:szCs w:val="32"/>
          <w:lang w:val="en-US" w:eastAsia="zh-CN"/>
        </w:rPr>
        <w:t>500.15</w:t>
      </w:r>
      <w:r>
        <w:rPr>
          <w:rFonts w:hint="eastAsia" w:ascii="仿宋_GB2312" w:eastAsia="仿宋_GB2312" w:cs="仿宋_GB2312"/>
          <w:bCs/>
          <w:kern w:val="0"/>
          <w:sz w:val="32"/>
          <w:szCs w:val="32"/>
        </w:rPr>
        <w:t xml:space="preserve"> 万元，占</w:t>
      </w:r>
      <w:r>
        <w:rPr>
          <w:rFonts w:hint="eastAsia" w:ascii="仿宋_GB2312" w:eastAsia="仿宋_GB2312" w:cs="仿宋_GB2312"/>
          <w:bCs/>
          <w:kern w:val="0"/>
          <w:sz w:val="32"/>
          <w:szCs w:val="32"/>
          <w:lang w:val="en-US" w:eastAsia="zh-CN"/>
        </w:rPr>
        <w:t>76.37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650.24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655.03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100.74</w:t>
      </w:r>
      <w:r>
        <w:rPr>
          <w:rFonts w:hint="eastAsia" w:ascii="仿宋_GB2312" w:eastAsia="仿宋_GB2312" w:cs="仿宋_GB2312"/>
          <w:bCs/>
          <w:kern w:val="0"/>
          <w:sz w:val="32"/>
          <w:szCs w:val="32"/>
        </w:rPr>
        <w:t xml:space="preserve">%。决算数大于预算数的主要原因：一是年中追加安排财政拨款支出预算，涉及项目有聘用人员经费；二是部分支出按规定，通过使用以前年度财政拨款结转资金解决。其中：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1.社会保障和就业支出（类）行政事业单位养老支出（款）机关事业单位基本养老保险缴费支出（项）。 年初预算为</w:t>
      </w:r>
      <w:r>
        <w:rPr>
          <w:rFonts w:hint="eastAsia" w:ascii="仿宋_GB2312" w:eastAsia="仿宋_GB2312" w:cs="仿宋_GB2312"/>
          <w:bCs/>
          <w:kern w:val="0"/>
          <w:sz w:val="32"/>
          <w:szCs w:val="32"/>
          <w:lang w:val="en-US" w:eastAsia="zh-CN"/>
        </w:rPr>
        <w:t>41.67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52.09</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125</w:t>
      </w:r>
      <w:r>
        <w:rPr>
          <w:rFonts w:hint="eastAsia" w:ascii="仿宋_GB2312" w:eastAsia="仿宋_GB2312" w:cs="仿宋_GB2312"/>
          <w:bCs/>
          <w:kern w:val="0"/>
          <w:sz w:val="32"/>
          <w:szCs w:val="32"/>
        </w:rPr>
        <w:t>%。决算数大于预算数的主要原因是因在职人员工资变动，故养老保险金额与年初预算不一致。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2.社会保障和就业（类）行政事业单位养老支出（款）机关事业单位职业年金缴费支出（项）。年初预算为</w:t>
      </w:r>
      <w:r>
        <w:rPr>
          <w:rFonts w:hint="eastAsia" w:ascii="仿宋_GB2312" w:eastAsia="仿宋_GB2312" w:cs="仿宋_GB2312"/>
          <w:bCs/>
          <w:kern w:val="0"/>
          <w:sz w:val="32"/>
          <w:szCs w:val="32"/>
          <w:lang w:val="en-US" w:eastAsia="zh-CN"/>
        </w:rPr>
        <w:t>20.83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20.83</w:t>
      </w:r>
      <w:r>
        <w:rPr>
          <w:rFonts w:hint="eastAsia" w:ascii="仿宋_GB2312" w:eastAsia="仿宋_GB2312" w:cs="仿宋_GB2312"/>
          <w:bCs/>
          <w:kern w:val="0"/>
          <w:sz w:val="32"/>
          <w:szCs w:val="32"/>
        </w:rPr>
        <w:t xml:space="preserve">万元，完成年初预算的100 %。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3.卫生健康支出（类）行政事业单位医疗（款）行政单位医疗（项）。年初预算为</w:t>
      </w:r>
      <w:r>
        <w:rPr>
          <w:rFonts w:hint="eastAsia" w:ascii="仿宋_GB2312" w:eastAsia="仿宋_GB2312" w:cs="仿宋_GB2312"/>
          <w:bCs/>
          <w:kern w:val="0"/>
          <w:sz w:val="32"/>
          <w:szCs w:val="32"/>
          <w:lang w:val="en-US" w:eastAsia="zh-CN"/>
        </w:rPr>
        <w:t>19.53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24.04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123.09</w:t>
      </w:r>
      <w:r>
        <w:rPr>
          <w:rFonts w:hint="eastAsia" w:ascii="仿宋_GB2312" w:eastAsia="仿宋_GB2312" w:cs="仿宋_GB2312"/>
          <w:bCs/>
          <w:kern w:val="0"/>
          <w:sz w:val="32"/>
          <w:szCs w:val="32"/>
        </w:rPr>
        <w:t>%。决算数大于预算数的主要原因是在职人员工资变动，故职工基本医疗金额与年初预算不一致。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公务员医疗补助</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7.9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19.23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243.42</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在职人员工资变动，且补缴上年公务员医疗补助费，故职工公务员医疗金额与年初预算不一致。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31.25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38.47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116.62</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在职人员工资变动，故住房公积金金额与年初预算不一致。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购房补贴</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0.21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在职人员追加购房补贴，故购房补贴金额与年初预算不一致。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灾害防治及应急管理支出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应急管理事务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行政运行</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310.9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349.56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112.43</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在职人员工资变动，故职工基本基本工资金额与年初预算不一致。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8.灾害防治及应急管理支出（类）应急管理事务（款）安全监管（项）。年初预算为81万元，支出决算为22.02万元，完成年初预算的27.19%。决算数小于预算数的主要原因是2020年发生安全事故以及群众举报安全生产案件较少，故事故现场勘查费、执法检查费、群众举报安全生产案件核查经费未使用完毕，故安全监管金额与年初预算不一致。</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default" w:ascii="仿宋_GB2312" w:eastAsia="仿宋_GB2312" w:cs="仿宋_GB2312"/>
          <w:bCs/>
          <w:kern w:val="0"/>
          <w:sz w:val="32"/>
          <w:szCs w:val="32"/>
          <w:lang w:val="en-US" w:eastAsia="zh-CN"/>
        </w:rPr>
        <w:t>9.灾害防治及应急管理支出（类）应急管理事务（款）其他应急管理支出（项）。年初预算为</w:t>
      </w:r>
      <w:r>
        <w:rPr>
          <w:rFonts w:hint="eastAsia" w:ascii="仿宋_GB2312" w:eastAsia="仿宋_GB2312" w:cs="仿宋_GB2312"/>
          <w:bCs/>
          <w:kern w:val="0"/>
          <w:sz w:val="32"/>
          <w:szCs w:val="32"/>
          <w:lang w:val="en-US" w:eastAsia="zh-CN"/>
        </w:rPr>
        <w:t>0</w:t>
      </w:r>
      <w:r>
        <w:rPr>
          <w:rFonts w:hint="default" w:ascii="仿宋_GB2312" w:eastAsia="仿宋_GB2312" w:cs="仿宋_GB2312"/>
          <w:bCs/>
          <w:kern w:val="0"/>
          <w:sz w:val="32"/>
          <w:szCs w:val="32"/>
          <w:lang w:val="en-US" w:eastAsia="zh-CN"/>
        </w:rPr>
        <w:t>万元，支出决算为</w:t>
      </w:r>
      <w:r>
        <w:rPr>
          <w:rFonts w:hint="eastAsia" w:ascii="仿宋_GB2312" w:eastAsia="仿宋_GB2312" w:cs="仿宋_GB2312"/>
          <w:bCs/>
          <w:kern w:val="0"/>
          <w:sz w:val="32"/>
          <w:szCs w:val="32"/>
          <w:lang w:val="en-US" w:eastAsia="zh-CN"/>
        </w:rPr>
        <w:t>12.96</w:t>
      </w:r>
      <w:r>
        <w:rPr>
          <w:rFonts w:hint="default" w:ascii="仿宋_GB2312" w:eastAsia="仿宋_GB2312" w:cs="仿宋_GB2312"/>
          <w:bCs/>
          <w:kern w:val="0"/>
          <w:sz w:val="32"/>
          <w:szCs w:val="32"/>
          <w:lang w:val="en-US" w:eastAsia="zh-CN"/>
        </w:rPr>
        <w:t>万元，完成年初预算的</w:t>
      </w:r>
      <w:r>
        <w:rPr>
          <w:rFonts w:hint="eastAsia" w:ascii="仿宋_GB2312" w:eastAsia="仿宋_GB2312" w:cs="仿宋_GB2312"/>
          <w:bCs/>
          <w:kern w:val="0"/>
          <w:sz w:val="32"/>
          <w:szCs w:val="32"/>
          <w:lang w:val="en-US" w:eastAsia="zh-CN"/>
        </w:rPr>
        <w:t>100</w:t>
      </w:r>
      <w:r>
        <w:rPr>
          <w:rFonts w:hint="default" w:ascii="仿宋_GB2312" w:eastAsia="仿宋_GB2312" w:cs="仿宋_GB2312"/>
          <w:bCs/>
          <w:kern w:val="0"/>
          <w:sz w:val="32"/>
          <w:szCs w:val="32"/>
          <w:lang w:val="en-US" w:eastAsia="zh-CN"/>
        </w:rPr>
        <w:t>%。决算数</w:t>
      </w:r>
      <w:r>
        <w:rPr>
          <w:rFonts w:hint="eastAsia" w:ascii="仿宋_GB2312" w:eastAsia="仿宋_GB2312" w:cs="仿宋_GB2312"/>
          <w:bCs/>
          <w:kern w:val="0"/>
          <w:sz w:val="32"/>
          <w:szCs w:val="32"/>
          <w:lang w:val="en-US" w:eastAsia="zh-CN"/>
        </w:rPr>
        <w:t>大</w:t>
      </w:r>
      <w:r>
        <w:rPr>
          <w:rFonts w:hint="default" w:ascii="仿宋_GB2312" w:eastAsia="仿宋_GB2312" w:cs="仿宋_GB2312"/>
          <w:bCs/>
          <w:kern w:val="0"/>
          <w:sz w:val="32"/>
          <w:szCs w:val="32"/>
          <w:lang w:val="en-US" w:eastAsia="zh-CN"/>
        </w:rPr>
        <w:t>于预算数的主要原因是</w:t>
      </w:r>
      <w:r>
        <w:rPr>
          <w:rFonts w:hint="eastAsia" w:ascii="仿宋_GB2312" w:eastAsia="仿宋_GB2312" w:cs="仿宋_GB2312"/>
          <w:bCs/>
          <w:kern w:val="0"/>
          <w:sz w:val="32"/>
          <w:szCs w:val="32"/>
          <w:lang w:val="en-US" w:eastAsia="zh-CN"/>
        </w:rPr>
        <w:t>2020年追加</w:t>
      </w:r>
      <w:r>
        <w:rPr>
          <w:rFonts w:hint="default" w:ascii="仿宋_GB2312" w:eastAsia="仿宋_GB2312" w:cs="仿宋_GB2312"/>
          <w:bCs/>
          <w:kern w:val="0"/>
          <w:sz w:val="32"/>
          <w:szCs w:val="32"/>
          <w:lang w:val="en-US" w:eastAsia="zh-CN"/>
        </w:rPr>
        <w:t>聘用人员经费，故其他应急管理支出金额与年初预算不一致。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10.</w:t>
      </w:r>
      <w:r>
        <w:rPr>
          <w:rFonts w:hint="default" w:ascii="仿宋_GB2312" w:eastAsia="仿宋_GB2312" w:cs="仿宋_GB2312"/>
          <w:bCs/>
          <w:kern w:val="0"/>
          <w:sz w:val="32"/>
          <w:szCs w:val="32"/>
          <w:lang w:val="en-US" w:eastAsia="zh-CN"/>
        </w:rPr>
        <w:t>灾害防治及应急管理支出</w:t>
      </w:r>
      <w:r>
        <w:rPr>
          <w:rFonts w:hint="eastAsia" w:ascii="仿宋_GB2312" w:eastAsia="仿宋_GB2312" w:cs="仿宋_GB2312"/>
          <w:bCs/>
          <w:kern w:val="0"/>
          <w:sz w:val="32"/>
          <w:szCs w:val="32"/>
          <w:lang w:val="en-US" w:eastAsia="zh-CN"/>
        </w:rPr>
        <w:t>（类）地震事务（款）一般行政管理事务（项）。年初预算为17.70万元，支出决算为12.25万元，完成年初预算的69.21%。决算数小于预算数的主要原因是地震台站看护费未使用完毕，故一般行政管理事务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11.</w:t>
      </w:r>
      <w:r>
        <w:rPr>
          <w:rFonts w:hint="default" w:ascii="仿宋_GB2312" w:eastAsia="仿宋_GB2312" w:cs="仿宋_GB2312"/>
          <w:bCs/>
          <w:kern w:val="0"/>
          <w:sz w:val="32"/>
          <w:szCs w:val="32"/>
          <w:lang w:val="en-US" w:eastAsia="zh-CN"/>
        </w:rPr>
        <w:t>灾害防治及应急管理支出</w:t>
      </w:r>
      <w:r>
        <w:rPr>
          <w:rFonts w:hint="eastAsia" w:ascii="仿宋_GB2312" w:eastAsia="仿宋_GB2312" w:cs="仿宋_GB2312"/>
          <w:bCs/>
          <w:kern w:val="0"/>
          <w:sz w:val="32"/>
          <w:szCs w:val="32"/>
          <w:lang w:val="en-US" w:eastAsia="zh-CN"/>
        </w:rPr>
        <w:t>（类）地震事务（款）地震监测（项）。年初预算为24.73万元，支出决算为24.07万元，完成年初预算的97.33%。决算数小于预算数的主要原因是地震台站需修理次数较少，地震台站维修管理费未使用完毕，故地震监测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12.</w:t>
      </w:r>
      <w:r>
        <w:rPr>
          <w:rFonts w:hint="default" w:ascii="仿宋_GB2312" w:eastAsia="仿宋_GB2312" w:cs="仿宋_GB2312"/>
          <w:bCs/>
          <w:kern w:val="0"/>
          <w:sz w:val="32"/>
          <w:szCs w:val="32"/>
          <w:lang w:val="en-US" w:eastAsia="zh-CN"/>
        </w:rPr>
        <w:t>灾害防治及应急管理支出</w:t>
      </w:r>
      <w:r>
        <w:rPr>
          <w:rFonts w:hint="eastAsia" w:ascii="仿宋_GB2312" w:eastAsia="仿宋_GB2312" w:cs="仿宋_GB2312"/>
          <w:bCs/>
          <w:kern w:val="0"/>
          <w:sz w:val="32"/>
          <w:szCs w:val="32"/>
          <w:lang w:val="en-US" w:eastAsia="zh-CN"/>
        </w:rPr>
        <w:t>（类）地震事务（款）地震灾害预防（项）。年初预算为23.16万元，支出决算为15.63万元，完成年初预算的67.49%。决算数小于预算数的主要原因是2020年无需支付地震台站数据光纤费，故地震灾害预防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13.</w:t>
      </w:r>
      <w:r>
        <w:rPr>
          <w:rFonts w:hint="default" w:ascii="仿宋_GB2312" w:eastAsia="仿宋_GB2312" w:cs="仿宋_GB2312"/>
          <w:bCs/>
          <w:kern w:val="0"/>
          <w:sz w:val="32"/>
          <w:szCs w:val="32"/>
          <w:lang w:val="en-US" w:eastAsia="zh-CN"/>
        </w:rPr>
        <w:t>灾害防治及应急管理支出</w:t>
      </w:r>
      <w:r>
        <w:rPr>
          <w:rFonts w:hint="eastAsia" w:ascii="仿宋_GB2312" w:eastAsia="仿宋_GB2312" w:cs="仿宋_GB2312"/>
          <w:bCs/>
          <w:kern w:val="0"/>
          <w:sz w:val="32"/>
          <w:szCs w:val="32"/>
          <w:lang w:val="en-US" w:eastAsia="zh-CN"/>
        </w:rPr>
        <w:t>（类）地震事务（款）地震环境探察（项）。年初预算为3.02万元，支出决算为3.02万元，完成年初预算的100%。</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14.</w:t>
      </w:r>
      <w:r>
        <w:rPr>
          <w:rFonts w:hint="default" w:ascii="仿宋_GB2312" w:eastAsia="仿宋_GB2312" w:cs="仿宋_GB2312"/>
          <w:bCs/>
          <w:kern w:val="0"/>
          <w:sz w:val="32"/>
          <w:szCs w:val="32"/>
          <w:lang w:val="en-US" w:eastAsia="zh-CN"/>
        </w:rPr>
        <w:t>灾害防治及应急管理支出</w:t>
      </w:r>
      <w:r>
        <w:rPr>
          <w:rFonts w:hint="eastAsia" w:ascii="仿宋_GB2312" w:eastAsia="仿宋_GB2312" w:cs="仿宋_GB2312"/>
          <w:bCs/>
          <w:kern w:val="0"/>
          <w:sz w:val="32"/>
          <w:szCs w:val="32"/>
          <w:lang w:val="en-US" w:eastAsia="zh-CN"/>
        </w:rPr>
        <w:t>（类）地震事务（款）防震减灾信息管理（项）。年初预算为26.74万元，支出决算为24.84万元，完成年初预算的92.89%。决算数小于预算数的主要原因是应急避难场所维护费未使用完毕，故防震减灾信息管理金额与年初预算不一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15.</w:t>
      </w:r>
      <w:r>
        <w:rPr>
          <w:rFonts w:hint="default" w:ascii="仿宋_GB2312" w:eastAsia="仿宋_GB2312" w:cs="仿宋_GB2312"/>
          <w:bCs/>
          <w:kern w:val="0"/>
          <w:sz w:val="32"/>
          <w:szCs w:val="32"/>
          <w:lang w:val="en-US" w:eastAsia="zh-CN"/>
        </w:rPr>
        <w:t>灾害防治及应急管理支出</w:t>
      </w:r>
      <w:r>
        <w:rPr>
          <w:rFonts w:hint="eastAsia" w:ascii="仿宋_GB2312" w:eastAsia="仿宋_GB2312" w:cs="仿宋_GB2312"/>
          <w:bCs/>
          <w:kern w:val="0"/>
          <w:sz w:val="32"/>
          <w:szCs w:val="32"/>
          <w:lang w:val="en-US" w:eastAsia="zh-CN"/>
        </w:rPr>
        <w:t>（类）地震事务（款）防震减灾基础管理（项）。年初预算为7.75万元，支出决算为5.42万元，完成年初预算的69.94%。决算数小于预算数的主要原因是应急指挥中心运行维护费未使用完毕，故防震减灾信息基础金额与年初预算不一致。</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16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灾害防治及应急管理支出（类）</w:t>
      </w:r>
      <w:r>
        <w:rPr>
          <w:rFonts w:hint="eastAsia" w:ascii="仿宋_GB2312" w:eastAsia="仿宋_GB2312" w:cs="仿宋_GB2312"/>
          <w:bCs/>
          <w:kern w:val="0"/>
          <w:sz w:val="32"/>
          <w:szCs w:val="32"/>
          <w:lang w:val="en-US" w:eastAsia="zh-CN"/>
        </w:rPr>
        <w:t>地震事务</w:t>
      </w:r>
      <w:r>
        <w:rPr>
          <w:rFonts w:hint="eastAsia" w:ascii="仿宋_GB2312" w:eastAsia="仿宋_GB2312" w:cs="仿宋_GB2312"/>
          <w:bCs/>
          <w:kern w:val="0"/>
          <w:sz w:val="32"/>
          <w:szCs w:val="32"/>
          <w:lang w:eastAsia="zh-CN"/>
        </w:rPr>
        <w:t>（款）其他地震事务支出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34.05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30.37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89.19</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聘用人员经费未使用完毕，故其他地震事务支出金额与年初预算不一致。</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bookmarkStart w:id="0" w:name="_GoBack"/>
      <w:bookmarkEnd w:id="0"/>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552.64</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496.33</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56.31</w:t>
      </w:r>
      <w:r>
        <w:rPr>
          <w:rFonts w:hint="eastAsia" w:ascii="仿宋_GB2312" w:eastAsia="仿宋_GB2312" w:cs="仿宋_GB2312"/>
          <w:bCs/>
          <w:kern w:val="0"/>
          <w:sz w:val="32"/>
          <w:szCs w:val="32"/>
        </w:rPr>
        <w:t>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3.04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2.47</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81.25</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val="en-US" w:eastAsia="zh-CN"/>
        </w:rPr>
        <w:t>0.57万元。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1.01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69.18</w:t>
      </w:r>
      <w:r>
        <w:rPr>
          <w:rFonts w:hint="eastAsia" w:ascii="仿宋_GB2312" w:eastAsia="仿宋_GB2312" w:cs="仿宋_GB2312"/>
          <w:bCs/>
          <w:kern w:val="0"/>
          <w:sz w:val="32"/>
          <w:szCs w:val="32"/>
        </w:rPr>
        <w:t>%，其中：因公出国（境）费支出决 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0.64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47.5</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0.37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355.66</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公务车辆因使用年限较长，维修次数增加</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val="en-US" w:eastAsia="zh-CN"/>
        </w:rPr>
        <w:t>2020年有较多外市单位来我部门考察交流</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 支出决算</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80.97</w:t>
      </w:r>
      <w:r>
        <w:rPr>
          <w:rFonts w:hint="eastAsia" w:ascii="仿宋_GB2312" w:eastAsia="仿宋_GB2312" w:cs="仿宋_GB2312"/>
          <w:bCs/>
          <w:kern w:val="0"/>
          <w:sz w:val="32"/>
          <w:szCs w:val="32"/>
        </w:rPr>
        <w:t xml:space="preserve"> %；公务接待费支出决算</w:t>
      </w:r>
      <w:r>
        <w:rPr>
          <w:rFonts w:hint="eastAsia" w:ascii="仿宋_GB2312" w:eastAsia="仿宋_GB2312" w:cs="仿宋_GB2312"/>
          <w:bCs/>
          <w:kern w:val="0"/>
          <w:sz w:val="32"/>
          <w:szCs w:val="32"/>
          <w:lang w:val="en-US" w:eastAsia="zh-CN"/>
        </w:rPr>
        <w:t>0.47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19.03</w:t>
      </w:r>
      <w:r>
        <w:rPr>
          <w:rFonts w:hint="eastAsia" w:ascii="仿宋_GB2312" w:eastAsia="仿宋_GB2312" w:cs="仿宋_GB2312"/>
          <w:bCs/>
          <w:kern w:val="0"/>
          <w:sz w:val="32"/>
          <w:szCs w:val="32"/>
        </w:rPr>
        <w:t xml:space="preserve">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公车维修加油等支出</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0.47</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0.47</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接待外市单位来我单位考察交流</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31</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 2019 年相比，收、支总计各增加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highlight w:val="none"/>
          <w:lang w:eastAsia="zh-CN"/>
        </w:rPr>
        <w:t>十、</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 xml:space="preserve"> 年度预算绩</w:t>
      </w:r>
      <w:r>
        <w:rPr>
          <w:rFonts w:hint="eastAsia" w:ascii="仿宋_GB2312" w:eastAsia="仿宋_GB2312" w:cs="仿宋_GB2312"/>
          <w:b/>
          <w:kern w:val="0"/>
          <w:sz w:val="32"/>
          <w:szCs w:val="32"/>
        </w:rPr>
        <w:t>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w:t>
      </w:r>
      <w:r>
        <w:rPr>
          <w:rFonts w:hint="eastAsia" w:ascii="仿宋_GB2312" w:eastAsia="仿宋_GB2312" w:cs="仿宋_GB2312"/>
          <w:bCs/>
          <w:kern w:val="0"/>
          <w:sz w:val="32"/>
          <w:szCs w:val="32"/>
          <w:lang w:eastAsia="zh-CN"/>
        </w:rPr>
        <w:t>整体</w:t>
      </w:r>
      <w:r>
        <w:rPr>
          <w:rFonts w:hint="eastAsia" w:ascii="仿宋_GB2312" w:eastAsia="仿宋_GB2312" w:cs="仿宋_GB2312"/>
          <w:bCs/>
          <w:kern w:val="0"/>
          <w:sz w:val="32"/>
          <w:szCs w:val="32"/>
        </w:rPr>
        <w:t>支出全面开展绩效自评。共涉及预算资金</w:t>
      </w:r>
      <w:r>
        <w:rPr>
          <w:rFonts w:hint="eastAsia" w:ascii="仿宋_GB2312" w:eastAsia="仿宋_GB2312" w:cs="仿宋_GB2312"/>
          <w:bCs/>
          <w:kern w:val="0"/>
          <w:sz w:val="32"/>
          <w:szCs w:val="32"/>
          <w:lang w:val="en-US" w:eastAsia="zh-CN"/>
        </w:rPr>
        <w:t>650.24</w:t>
      </w:r>
      <w:r>
        <w:rPr>
          <w:rFonts w:hint="eastAsia" w:ascii="仿宋_GB2312" w:eastAsia="仿宋_GB2312" w:cs="仿宋_GB2312"/>
          <w:bCs/>
          <w:kern w:val="0"/>
          <w:sz w:val="32"/>
          <w:szCs w:val="32"/>
        </w:rPr>
        <w:t>万元，自评覆盖率达到100%。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kern w:val="0"/>
          <w:sz w:val="32"/>
          <w:szCs w:val="32"/>
        </w:rPr>
        <w:t>我部门根据年初设定的绩效目标，</w:t>
      </w:r>
      <w:r>
        <w:rPr>
          <w:rFonts w:hint="eastAsia" w:ascii="仿宋_GB2312" w:eastAsia="仿宋_GB2312" w:cs="仿宋_GB2312"/>
          <w:kern w:val="0"/>
          <w:sz w:val="32"/>
          <w:szCs w:val="32"/>
          <w:lang w:eastAsia="zh-CN"/>
        </w:rPr>
        <w:t>对</w:t>
      </w:r>
      <w:r>
        <w:rPr>
          <w:rFonts w:hint="eastAsia" w:ascii="仿宋_GB2312" w:eastAsia="仿宋_GB2312" w:cs="仿宋_GB2312"/>
          <w:bCs/>
          <w:kern w:val="0"/>
          <w:sz w:val="32"/>
          <w:szCs w:val="32"/>
        </w:rPr>
        <w:t>2020年度一般公共预算</w:t>
      </w:r>
      <w:r>
        <w:rPr>
          <w:rFonts w:hint="eastAsia" w:ascii="仿宋_GB2312" w:eastAsia="仿宋_GB2312" w:cs="仿宋_GB2312"/>
          <w:bCs/>
          <w:kern w:val="0"/>
          <w:sz w:val="32"/>
          <w:szCs w:val="32"/>
          <w:lang w:eastAsia="zh-CN"/>
        </w:rPr>
        <w:t>整体</w:t>
      </w:r>
      <w:r>
        <w:rPr>
          <w:rFonts w:hint="eastAsia" w:ascii="仿宋_GB2312" w:eastAsia="仿宋_GB2312" w:cs="仿宋_GB2312"/>
          <w:bCs/>
          <w:kern w:val="0"/>
          <w:sz w:val="32"/>
          <w:szCs w:val="32"/>
        </w:rPr>
        <w:t>支出全面开展绩效自评</w:t>
      </w:r>
      <w:r>
        <w:rPr>
          <w:rFonts w:hint="eastAsia" w:ascii="仿宋_GB2312" w:eastAsia="仿宋_GB2312" w:cs="仿宋_GB2312"/>
          <w:bCs/>
          <w:kern w:val="0"/>
          <w:sz w:val="32"/>
          <w:szCs w:val="32"/>
          <w:lang w:eastAsia="zh-CN"/>
        </w:rPr>
        <w:t>，无项目绩效指标</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56.31</w:t>
      </w:r>
      <w:r>
        <w:rPr>
          <w:rFonts w:hint="eastAsia" w:ascii="仿宋_GB2312" w:eastAsia="仿宋_GB2312" w:cs="仿宋_GB2312"/>
          <w:kern w:val="0"/>
          <w:sz w:val="32"/>
          <w:szCs w:val="32"/>
        </w:rPr>
        <w:t>万元，比 2019年增加</w:t>
      </w:r>
      <w:r>
        <w:rPr>
          <w:rFonts w:hint="eastAsia" w:ascii="仿宋_GB2312" w:eastAsia="仿宋_GB2312" w:cs="仿宋_GB2312"/>
          <w:kern w:val="0"/>
          <w:sz w:val="32"/>
          <w:szCs w:val="32"/>
          <w:lang w:val="en-US" w:eastAsia="zh-CN"/>
        </w:rPr>
        <w:t>22.74</w:t>
      </w:r>
      <w:r>
        <w:rPr>
          <w:rFonts w:hint="eastAsia" w:ascii="仿宋_GB2312" w:eastAsia="仿宋_GB2312" w:cs="仿宋_GB2312"/>
          <w:kern w:val="0"/>
          <w:sz w:val="32"/>
          <w:szCs w:val="32"/>
        </w:rPr>
        <w:t>万元，增</w:t>
      </w:r>
      <w:r>
        <w:rPr>
          <w:rFonts w:hint="eastAsia" w:ascii="仿宋_GB2312" w:eastAsia="仿宋_GB2312" w:cs="仿宋_GB2312"/>
          <w:kern w:val="0"/>
          <w:sz w:val="32"/>
          <w:szCs w:val="32"/>
          <w:lang w:eastAsia="zh-CN"/>
        </w:rPr>
        <w:t>长</w:t>
      </w:r>
      <w:r>
        <w:rPr>
          <w:rFonts w:hint="eastAsia" w:ascii="仿宋_GB2312" w:eastAsia="仿宋_GB2312" w:cs="仿宋_GB2312"/>
          <w:kern w:val="0"/>
          <w:sz w:val="32"/>
          <w:szCs w:val="32"/>
          <w:lang w:val="en-US" w:eastAsia="zh-CN"/>
        </w:rPr>
        <w:t>67.73</w:t>
      </w:r>
      <w:r>
        <w:rPr>
          <w:rFonts w:hint="eastAsia" w:ascii="仿宋_GB2312" w:eastAsia="仿宋_GB2312" w:cs="仿宋_GB2312"/>
          <w:kern w:val="0"/>
          <w:sz w:val="32"/>
          <w:szCs w:val="32"/>
        </w:rPr>
        <w:t>%，增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为日常公用经费增加</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17.89</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17.89</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应急保障</w:t>
      </w:r>
      <w:r>
        <w:rPr>
          <w:rFonts w:hint="eastAsia" w:ascii="仿宋_GB2312" w:eastAsia="仿宋_GB2312" w:cs="仿宋_GB2312"/>
          <w:kern w:val="0"/>
          <w:sz w:val="32"/>
          <w:szCs w:val="32"/>
        </w:rPr>
        <w:t>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7497E0D"/>
    <w:rsid w:val="0E074DDF"/>
    <w:rsid w:val="124204B5"/>
    <w:rsid w:val="144E0AB7"/>
    <w:rsid w:val="182962AB"/>
    <w:rsid w:val="19C11D86"/>
    <w:rsid w:val="19D073EB"/>
    <w:rsid w:val="1CC31F67"/>
    <w:rsid w:val="22DB5174"/>
    <w:rsid w:val="24D337DC"/>
    <w:rsid w:val="26460DBA"/>
    <w:rsid w:val="272A5CB2"/>
    <w:rsid w:val="2B6F74EB"/>
    <w:rsid w:val="2C4219FE"/>
    <w:rsid w:val="34020F86"/>
    <w:rsid w:val="342B2B91"/>
    <w:rsid w:val="39A63F06"/>
    <w:rsid w:val="3ED1439F"/>
    <w:rsid w:val="405D493F"/>
    <w:rsid w:val="476E5000"/>
    <w:rsid w:val="48374EDC"/>
    <w:rsid w:val="483E6EBD"/>
    <w:rsid w:val="4A2B575D"/>
    <w:rsid w:val="4C256E3D"/>
    <w:rsid w:val="4CB52F0F"/>
    <w:rsid w:val="532F1F9A"/>
    <w:rsid w:val="55F16C22"/>
    <w:rsid w:val="58D61433"/>
    <w:rsid w:val="5E995A3E"/>
    <w:rsid w:val="605B0DB3"/>
    <w:rsid w:val="62163194"/>
    <w:rsid w:val="624D024D"/>
    <w:rsid w:val="650E086A"/>
    <w:rsid w:val="69486622"/>
    <w:rsid w:val="6BAA0708"/>
    <w:rsid w:val="6E4F3115"/>
    <w:rsid w:val="736A3D8F"/>
    <w:rsid w:val="76641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批注框文本 Char"/>
    <w:basedOn w:val="7"/>
    <w:link w:val="2"/>
    <w:qFormat/>
    <w:uiPriority w:val="0"/>
    <w:rPr>
      <w:kern w:val="2"/>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6</TotalTime>
  <ScaleCrop>false</ScaleCrop>
  <LinksUpToDate>false</LinksUpToDate>
  <CharactersWithSpaces>8540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YX</cp:lastModifiedBy>
  <cp:lastPrinted>2021-07-07T01:10:00Z</cp:lastPrinted>
  <dcterms:modified xsi:type="dcterms:W3CDTF">2021-07-27T01:39:19Z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693668B1CA9C48C3A19C77B426773FFC</vt:lpwstr>
  </property>
</Properties>
</file>