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eastAsia="黑体" w:cs="ArialUnicodeMS"/>
          <w:kern w:val="0"/>
          <w:sz w:val="52"/>
          <w:szCs w:val="52"/>
        </w:rPr>
      </w:pPr>
      <w:r>
        <w:rPr>
          <w:rFonts w:hint="eastAsia" w:ascii="黑体" w:eastAsia="黑体" w:cs="ArialUnicodeMS"/>
          <w:kern w:val="0"/>
          <w:sz w:val="52"/>
          <w:szCs w:val="52"/>
        </w:rPr>
        <w:t>柳州</w:t>
      </w:r>
      <w:r>
        <w:rPr>
          <w:rFonts w:hint="eastAsia" w:ascii="黑体" w:eastAsia="黑体" w:cs="ArialUnicodeMS"/>
          <w:kern w:val="0"/>
          <w:sz w:val="52"/>
          <w:szCs w:val="52"/>
          <w:lang w:eastAsia="zh-CN"/>
        </w:rPr>
        <w:t>市项目促进中心</w:t>
      </w:r>
      <w:r>
        <w:rPr>
          <w:rFonts w:hint="eastAsia" w:ascii="黑体" w:eastAsia="黑体"/>
          <w:kern w:val="0"/>
          <w:sz w:val="52"/>
          <w:szCs w:val="52"/>
        </w:rPr>
        <w:t>2020</w:t>
      </w:r>
      <w:r>
        <w:rPr>
          <w:rFonts w:hint="eastAsia" w:ascii="黑体" w:eastAsia="黑体" w:cs="ArialUnicodeMS"/>
          <w:kern w:val="0"/>
          <w:sz w:val="52"/>
          <w:szCs w:val="52"/>
        </w:rPr>
        <w:t>年度</w:t>
      </w:r>
    </w:p>
    <w:p>
      <w:pPr>
        <w:jc w:val="center"/>
        <w:rPr>
          <w:rFonts w:ascii="黑体" w:eastAsia="黑体" w:cs="ArialUnicodeMS"/>
          <w:kern w:val="0"/>
          <w:sz w:val="52"/>
          <w:szCs w:val="52"/>
        </w:rPr>
      </w:pPr>
      <w:r>
        <w:rPr>
          <w:rFonts w:hint="eastAsia" w:ascii="黑体" w:eastAsia="黑体" w:cs="ArialUnicodeMS"/>
          <w:kern w:val="0"/>
          <w:sz w:val="52"/>
          <w:szCs w:val="52"/>
        </w:rPr>
        <w:t>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lang w:eastAsia="zh-CN"/>
        </w:rPr>
        <w:t>柳州市项目促进中心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柳州市项目促进中心</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柳州市项目促进中心</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b/>
          <w:sz w:val="32"/>
          <w:szCs w:val="32"/>
          <w:lang w:eastAsia="zh-CN"/>
        </w:rPr>
        <w:t>柳州市项目促进中心</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480" w:lineRule="exact"/>
        <w:ind w:firstLine="627" w:firstLineChars="196"/>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（一）对国家、自治区和全市经济形势进行分析、预测，研究国家、自治区投资政策，参与编制柳州市国民经济和社会发展规划及有关专项规划。</w:t>
      </w:r>
    </w:p>
    <w:p>
      <w:pPr>
        <w:spacing w:line="480" w:lineRule="exact"/>
        <w:ind w:firstLine="627" w:firstLineChars="196"/>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（二）协助谋划全市经济和社会发展相关的各类项目，根据国民经济和社会发展规划及有关专项规划，开展项目前期工作。</w:t>
      </w:r>
    </w:p>
    <w:p>
      <w:pPr>
        <w:spacing w:line="480" w:lineRule="exact"/>
        <w:ind w:firstLine="627" w:firstLineChars="196"/>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（三）协助主管部门对政府投资的项目进行审核，参与政府投资项目的建设标准、投资概算调整评审工作。　</w:t>
      </w:r>
    </w:p>
    <w:p>
      <w:pPr>
        <w:spacing w:line="480" w:lineRule="exact"/>
        <w:ind w:firstLine="627" w:firstLineChars="196"/>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（四）协助开展全市重大项目库建设，并参与项目投资推介和招商引资工作。</w:t>
      </w:r>
    </w:p>
    <w:p>
      <w:pPr>
        <w:spacing w:line="480" w:lineRule="exact"/>
        <w:ind w:firstLine="627" w:firstLineChars="196"/>
        <w:rPr>
          <w:rFonts w:ascii="Times New Roman" w:hAnsi="Times New Roman" w:eastAsia="仿宋_GB2312"/>
          <w:color w:val="000000"/>
          <w:sz w:val="32"/>
          <w:szCs w:val="32"/>
          <w:highlight w:val="yellow"/>
        </w:rPr>
      </w:pPr>
      <w:r>
        <w:rPr>
          <w:rFonts w:hint="eastAsia" w:ascii="Times New Roman" w:hAnsi="Times New Roman" w:eastAsia="仿宋_GB2312"/>
          <w:color w:val="000000"/>
          <w:sz w:val="32"/>
          <w:szCs w:val="32"/>
        </w:rPr>
        <w:t>（五）协助开展有关政府投资项目的效益评估工作。</w:t>
      </w:r>
    </w:p>
    <w:p>
      <w:pPr>
        <w:spacing w:line="480" w:lineRule="exact"/>
        <w:ind w:firstLine="627" w:firstLineChars="196"/>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（六）参与推进全市重大项目建设相关工作。</w:t>
      </w:r>
    </w:p>
    <w:p>
      <w:pPr>
        <w:spacing w:line="480" w:lineRule="exact"/>
        <w:ind w:firstLine="627" w:firstLineChars="196"/>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hint="eastAsia" w:ascii="Times New Roman" w:hAnsi="宋体" w:eastAsia="仿宋_GB2312"/>
          <w:color w:val="000000"/>
          <w:sz w:val="32"/>
          <w:szCs w:val="32"/>
        </w:rPr>
        <w:t>七</w:t>
      </w:r>
      <w:r>
        <w:rPr>
          <w:rFonts w:hint="eastAsia" w:ascii="Times New Roman" w:hAnsi="Times New Roman" w:eastAsia="仿宋_GB2312"/>
          <w:color w:val="000000"/>
          <w:sz w:val="32"/>
          <w:szCs w:val="32"/>
        </w:rPr>
        <w:t>）完成主管部门交办的其他任务。</w:t>
      </w:r>
    </w:p>
    <w:p>
      <w:pPr>
        <w:ind w:firstLine="646"/>
        <w:rPr>
          <w:rFonts w:ascii="仿宋_GB2312" w:eastAsia="仿宋_GB2312"/>
          <w:sz w:val="32"/>
          <w:szCs w:val="32"/>
        </w:rPr>
      </w:pPr>
      <w:r>
        <w:rPr>
          <w:rFonts w:hint="eastAsia" w:ascii="仿宋_GB2312" w:eastAsia="仿宋_GB2312"/>
          <w:sz w:val="32"/>
          <w:szCs w:val="32"/>
        </w:rPr>
        <w:t>二、部门决算单位构成</w:t>
      </w:r>
    </w:p>
    <w:p>
      <w:pPr>
        <w:ind w:firstLine="645"/>
        <w:rPr>
          <w:rFonts w:hint="eastAsia" w:ascii="仿宋_GB2312" w:eastAsia="仿宋_GB2312"/>
          <w:sz w:val="32"/>
          <w:szCs w:val="32"/>
          <w:lang w:val="en-US" w:eastAsia="zh-CN"/>
        </w:rPr>
      </w:pPr>
      <w:r>
        <w:rPr>
          <w:rFonts w:hint="eastAsia" w:ascii="Times New Roman" w:hAnsi="Times New Roman" w:eastAsia="仿宋_GB2312"/>
          <w:color w:val="000000"/>
          <w:sz w:val="32"/>
          <w:szCs w:val="32"/>
        </w:rPr>
        <w:t>柳州市项目促进中心全额拨款事业编制</w:t>
      </w:r>
      <w:r>
        <w:rPr>
          <w:rFonts w:hint="eastAsia" w:ascii="仿宋_GB2312" w:hAnsi="仿宋_GB2312" w:eastAsia="仿宋_GB2312" w:cs="仿宋_GB2312"/>
          <w:color w:val="000000"/>
          <w:sz w:val="32"/>
          <w:szCs w:val="32"/>
        </w:rPr>
        <w:t>17</w:t>
      </w:r>
      <w:r>
        <w:rPr>
          <w:rFonts w:hint="eastAsia" w:ascii="Times New Roman" w:hAnsi="Times New Roman" w:eastAsia="仿宋_GB2312"/>
          <w:color w:val="000000"/>
          <w:sz w:val="32"/>
          <w:szCs w:val="32"/>
        </w:rPr>
        <w:t>名。其中设主任</w:t>
      </w:r>
      <w:r>
        <w:rPr>
          <w:rFonts w:hint="eastAsia" w:ascii="仿宋_GB2312" w:hAnsi="Times New Roman" w:eastAsia="仿宋_GB2312"/>
          <w:color w:val="000000"/>
          <w:sz w:val="32"/>
          <w:szCs w:val="32"/>
        </w:rPr>
        <w:t>1名，副主任2</w:t>
      </w:r>
      <w:r>
        <w:rPr>
          <w:rFonts w:hint="eastAsia" w:ascii="Times New Roman" w:hAnsi="Times New Roman" w:eastAsia="仿宋_GB2312"/>
          <w:color w:val="000000"/>
          <w:sz w:val="32"/>
          <w:szCs w:val="32"/>
        </w:rPr>
        <w:t>名。</w:t>
      </w:r>
      <w:r>
        <w:rPr>
          <w:rFonts w:hint="eastAsia" w:ascii="Times New Roman" w:hAnsi="Times New Roman" w:eastAsia="仿宋_GB2312"/>
          <w:color w:val="000000"/>
          <w:sz w:val="32"/>
          <w:szCs w:val="32"/>
          <w:lang w:eastAsia="zh-CN"/>
        </w:rPr>
        <w:t>截止</w:t>
      </w:r>
      <w:r>
        <w:rPr>
          <w:rFonts w:hint="eastAsia" w:ascii="Times New Roman" w:hAnsi="Times New Roman" w:eastAsia="仿宋_GB2312"/>
          <w:color w:val="000000"/>
          <w:sz w:val="32"/>
          <w:szCs w:val="32"/>
          <w:lang w:val="en-US" w:eastAsia="zh-CN"/>
        </w:rPr>
        <w:t>2020年12月31日</w:t>
      </w:r>
      <w:r>
        <w:rPr>
          <w:rFonts w:hint="eastAsia" w:ascii="Times New Roman" w:hAnsi="Times New Roman" w:eastAsia="仿宋_GB2312"/>
          <w:color w:val="000000"/>
          <w:sz w:val="32"/>
          <w:szCs w:val="32"/>
          <w:lang w:eastAsia="zh-CN"/>
        </w:rPr>
        <w:t>实有在职人数</w:t>
      </w:r>
      <w:r>
        <w:rPr>
          <w:rFonts w:hint="eastAsia" w:ascii="Times New Roman" w:hAnsi="Times New Roman" w:eastAsia="仿宋_GB2312"/>
          <w:color w:val="000000"/>
          <w:sz w:val="32"/>
          <w:szCs w:val="32"/>
          <w:lang w:val="en-US" w:eastAsia="zh-CN"/>
        </w:rPr>
        <w:t>14人。</w:t>
      </w:r>
    </w:p>
    <w:p>
      <w:pPr>
        <w:jc w:val="both"/>
      </w:pPr>
    </w:p>
    <w:p>
      <w:pPr>
        <w:jc w:val="both"/>
      </w:pP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柳州市项目促进中心</w:t>
      </w:r>
      <w:r>
        <w:rPr>
          <w:rFonts w:hint="eastAsia" w:ascii="仿宋_GB2312" w:eastAsia="仿宋_GB2312"/>
          <w:b/>
          <w:sz w:val="32"/>
          <w:szCs w:val="32"/>
        </w:rPr>
        <w:t>2020年部门决算报表</w:t>
      </w:r>
    </w:p>
    <w:tbl>
      <w:tblPr>
        <w:tblStyle w:val="7"/>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466"/>
        <w:gridCol w:w="3528"/>
        <w:gridCol w:w="3466"/>
        <w:gridCol w:w="3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988" w:type="dxa"/>
            <w:gridSpan w:val="4"/>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cs="宋体"/>
                <w:i w:val="0"/>
                <w:color w:val="000000"/>
                <w:kern w:val="0"/>
                <w:sz w:val="30"/>
                <w:szCs w:val="30"/>
                <w:u w:val="none"/>
                <w:lang w:val="en-US" w:eastAsia="zh-CN" w:bidi="ar"/>
              </w:rPr>
              <w:t>表一：</w:t>
            </w:r>
            <w:r>
              <w:rPr>
                <w:rFonts w:hint="eastAsia" w:ascii="宋体" w:hAnsi="宋体" w:eastAsia="宋体" w:cs="宋体"/>
                <w:i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94" w:type="dxa"/>
            <w:gridSpan w:val="2"/>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部门：柳州市项目促进中心</w:t>
            </w:r>
          </w:p>
        </w:tc>
        <w:tc>
          <w:tcPr>
            <w:tcW w:w="6994" w:type="dxa"/>
            <w:gridSpan w:val="2"/>
            <w:shd w:val="clear" w:color="auto" w:fill="FFFFFF"/>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9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6994" w:type="dxa"/>
            <w:gridSpan w:val="2"/>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466"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3528"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466"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3528"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466"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3528"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466"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3528"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466"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352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349.82</w:t>
            </w:r>
          </w:p>
        </w:tc>
        <w:tc>
          <w:tcPr>
            <w:tcW w:w="346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352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466"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二、其他收入</w:t>
            </w:r>
          </w:p>
        </w:tc>
        <w:tc>
          <w:tcPr>
            <w:tcW w:w="352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46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352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46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5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6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352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46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5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6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352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466"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352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349.82</w:t>
            </w:r>
          </w:p>
        </w:tc>
        <w:tc>
          <w:tcPr>
            <w:tcW w:w="3466"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352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466"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w:t>
            </w:r>
          </w:p>
        </w:tc>
        <w:tc>
          <w:tcPr>
            <w:tcW w:w="352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46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352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466"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352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9.36</w:t>
            </w:r>
          </w:p>
        </w:tc>
        <w:tc>
          <w:tcPr>
            <w:tcW w:w="346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352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466"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52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359.18</w:t>
            </w:r>
          </w:p>
        </w:tc>
        <w:tc>
          <w:tcPr>
            <w:tcW w:w="3466"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52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3988" w:type="dxa"/>
            <w:gridSpan w:val="4"/>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注：本表反映部门本年度的总收支和年末结转结余情况。本套报表金额单位转换时可能存在尾数误差。</w:t>
            </w:r>
          </w:p>
        </w:tc>
      </w:tr>
    </w:tbl>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tbl>
      <w:tblPr>
        <w:tblStyle w:val="7"/>
        <w:tblW w:w="139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30"/>
        <w:gridCol w:w="4194"/>
        <w:gridCol w:w="1922"/>
        <w:gridCol w:w="1024"/>
        <w:gridCol w:w="1022"/>
        <w:gridCol w:w="1024"/>
        <w:gridCol w:w="1024"/>
        <w:gridCol w:w="1022"/>
        <w:gridCol w:w="10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986" w:type="dxa"/>
            <w:gridSpan w:val="9"/>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cs="宋体"/>
                <w:i w:val="0"/>
                <w:color w:val="000000"/>
                <w:kern w:val="0"/>
                <w:sz w:val="30"/>
                <w:szCs w:val="30"/>
                <w:u w:val="none"/>
                <w:lang w:val="en-US" w:eastAsia="zh-CN" w:bidi="ar"/>
              </w:rPr>
              <w:t>表二：</w:t>
            </w:r>
            <w:r>
              <w:rPr>
                <w:rFonts w:hint="eastAsia" w:ascii="宋体" w:hAnsi="宋体" w:eastAsia="宋体" w:cs="宋体"/>
                <w:i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846"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部门：柳州市项目促进中心</w:t>
            </w:r>
          </w:p>
        </w:tc>
        <w:tc>
          <w:tcPr>
            <w:tcW w:w="6140" w:type="dxa"/>
            <w:gridSpan w:val="6"/>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5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922"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024"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022"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1024"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1024"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1022"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024"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730"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194"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922"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2"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2"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730"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4194"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922"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2"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2"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730"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4194"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922"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2"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2"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5924"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22"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24"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22"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24"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24"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22"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24"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5924"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349.82</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349.82</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262.26</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262.26</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发展与改革事务</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262.26</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262.26</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2010401</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225.55</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225.55</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2010402</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36.71</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36.71</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43.84</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43.84</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43.84</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43.84</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29.42</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29.42</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14.43</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14.43</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13.77</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13.77</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7.59</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7.59</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22.37</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22.37</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22.37</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22.37</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21.49</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21.49</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2210203</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购房补贴</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0.88</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0.88</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3986" w:type="dxa"/>
            <w:gridSpan w:val="9"/>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w:t>
            </w:r>
          </w:p>
        </w:tc>
      </w:tr>
    </w:tbl>
    <w:p>
      <w:pPr>
        <w:ind w:firstLine="640" w:firstLineChars="200"/>
        <w:rPr>
          <w:rFonts w:hint="eastAsia" w:ascii="仿宋_GB2312" w:hAnsi="黑体" w:eastAsia="仿宋_GB2312"/>
          <w:sz w:val="32"/>
          <w:szCs w:val="32"/>
        </w:rPr>
      </w:pPr>
    </w:p>
    <w:tbl>
      <w:tblPr>
        <w:tblStyle w:val="7"/>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66"/>
        <w:gridCol w:w="4525"/>
        <w:gridCol w:w="2072"/>
        <w:gridCol w:w="1105"/>
        <w:gridCol w:w="1105"/>
        <w:gridCol w:w="1105"/>
        <w:gridCol w:w="1104"/>
        <w:gridCol w:w="11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988" w:type="dxa"/>
            <w:gridSpan w:val="8"/>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cs="宋体"/>
                <w:i w:val="0"/>
                <w:color w:val="000000"/>
                <w:kern w:val="0"/>
                <w:sz w:val="30"/>
                <w:szCs w:val="30"/>
                <w:u w:val="none"/>
                <w:lang w:val="en-US" w:eastAsia="zh-CN" w:bidi="ar"/>
              </w:rPr>
              <w:t>表三：</w:t>
            </w:r>
            <w:r>
              <w:rPr>
                <w:rFonts w:hint="eastAsia" w:ascii="宋体" w:hAnsi="宋体" w:eastAsia="宋体" w:cs="宋体"/>
                <w:i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568"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部门：柳州市项目促进中心</w:t>
            </w:r>
          </w:p>
        </w:tc>
        <w:tc>
          <w:tcPr>
            <w:tcW w:w="4420" w:type="dxa"/>
            <w:gridSpan w:val="4"/>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072"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10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10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10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104"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106"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866"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52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072"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0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06"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866"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452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072"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0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06"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866"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452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072"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0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06"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391"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072"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0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0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0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04"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06"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391"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07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348.44</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308.15</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40.30</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52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207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260.88</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220.58</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40.30</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w:t>
            </w:r>
          </w:p>
        </w:tc>
        <w:tc>
          <w:tcPr>
            <w:tcW w:w="452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发展与改革事务</w:t>
            </w:r>
          </w:p>
        </w:tc>
        <w:tc>
          <w:tcPr>
            <w:tcW w:w="207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260.88</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220.58</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40.30</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2010401</w:t>
            </w:r>
          </w:p>
        </w:tc>
        <w:tc>
          <w:tcPr>
            <w:tcW w:w="452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207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220.58</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220.58</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2010402</w:t>
            </w:r>
          </w:p>
        </w:tc>
        <w:tc>
          <w:tcPr>
            <w:tcW w:w="452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07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40.30</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40.30</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52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207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43.84</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43.84</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52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207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43.84</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43.84</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52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07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29.42</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29.42</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452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207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14.43</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14.43</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52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207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52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207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452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207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13.77</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13.77</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452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207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7.59</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7.59</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452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207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22.37</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22.37</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452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207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22.37</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22.37</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52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207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21.49</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21.49</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2210203</w:t>
            </w:r>
          </w:p>
        </w:tc>
        <w:tc>
          <w:tcPr>
            <w:tcW w:w="452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购房补贴</w:t>
            </w:r>
          </w:p>
        </w:tc>
        <w:tc>
          <w:tcPr>
            <w:tcW w:w="207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0.88</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0.88</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0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3988" w:type="dxa"/>
            <w:gridSpan w:val="8"/>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w:t>
            </w:r>
          </w:p>
        </w:tc>
      </w:tr>
    </w:tbl>
    <w:p>
      <w:pPr>
        <w:ind w:firstLine="640" w:firstLineChars="200"/>
        <w:rPr>
          <w:rFonts w:hint="eastAsia" w:ascii="仿宋_GB2312" w:hAnsi="黑体" w:eastAsia="仿宋_GB2312"/>
          <w:sz w:val="32"/>
          <w:szCs w:val="32"/>
        </w:rPr>
      </w:pPr>
    </w:p>
    <w:tbl>
      <w:tblPr>
        <w:tblStyle w:val="7"/>
        <w:tblW w:w="139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485"/>
        <w:gridCol w:w="2544"/>
        <w:gridCol w:w="2765"/>
        <w:gridCol w:w="1402"/>
        <w:gridCol w:w="883"/>
        <w:gridCol w:w="2480"/>
        <w:gridCol w:w="1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987" w:type="dxa"/>
            <w:gridSpan w:val="7"/>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cs="宋体"/>
                <w:i w:val="0"/>
                <w:color w:val="000000"/>
                <w:kern w:val="0"/>
                <w:sz w:val="30"/>
                <w:szCs w:val="30"/>
                <w:u w:val="none"/>
                <w:lang w:val="en-US" w:eastAsia="zh-CN" w:bidi="ar"/>
              </w:rPr>
              <w:t>表四：</w:t>
            </w:r>
            <w:r>
              <w:rPr>
                <w:rFonts w:hint="eastAsia" w:ascii="宋体" w:hAnsi="宋体" w:eastAsia="宋体" w:cs="宋体"/>
                <w:i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794"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部门：柳州市项目促进中心</w:t>
            </w:r>
          </w:p>
        </w:tc>
        <w:tc>
          <w:tcPr>
            <w:tcW w:w="6193" w:type="dxa"/>
            <w:gridSpan w:val="4"/>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50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8958" w:type="dxa"/>
            <w:gridSpan w:val="5"/>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85"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544"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276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402"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883"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248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1428"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2485"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544"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76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402"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883"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48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42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8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544"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76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402"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83"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48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8"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8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254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349.82</w:t>
            </w:r>
          </w:p>
        </w:tc>
        <w:tc>
          <w:tcPr>
            <w:tcW w:w="276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40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260.88</w:t>
            </w:r>
          </w:p>
        </w:tc>
        <w:tc>
          <w:tcPr>
            <w:tcW w:w="88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260.88</w:t>
            </w:r>
          </w:p>
        </w:tc>
        <w:tc>
          <w:tcPr>
            <w:tcW w:w="248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2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8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54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76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140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43.84</w:t>
            </w:r>
          </w:p>
        </w:tc>
        <w:tc>
          <w:tcPr>
            <w:tcW w:w="88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43.84</w:t>
            </w:r>
          </w:p>
        </w:tc>
        <w:tc>
          <w:tcPr>
            <w:tcW w:w="248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2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8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54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76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140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w:t>
            </w:r>
          </w:p>
        </w:tc>
        <w:tc>
          <w:tcPr>
            <w:tcW w:w="88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w:t>
            </w:r>
          </w:p>
        </w:tc>
        <w:tc>
          <w:tcPr>
            <w:tcW w:w="248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2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8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54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76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140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22.37</w:t>
            </w:r>
          </w:p>
        </w:tc>
        <w:tc>
          <w:tcPr>
            <w:tcW w:w="88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22.37</w:t>
            </w:r>
          </w:p>
        </w:tc>
        <w:tc>
          <w:tcPr>
            <w:tcW w:w="248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2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8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54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349.82</w:t>
            </w:r>
          </w:p>
        </w:tc>
        <w:tc>
          <w:tcPr>
            <w:tcW w:w="276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40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348.44</w:t>
            </w:r>
          </w:p>
        </w:tc>
        <w:tc>
          <w:tcPr>
            <w:tcW w:w="88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348.44</w:t>
            </w:r>
          </w:p>
        </w:tc>
        <w:tc>
          <w:tcPr>
            <w:tcW w:w="248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2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8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254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9.36</w:t>
            </w:r>
          </w:p>
        </w:tc>
        <w:tc>
          <w:tcPr>
            <w:tcW w:w="276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140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10.74</w:t>
            </w:r>
          </w:p>
        </w:tc>
        <w:tc>
          <w:tcPr>
            <w:tcW w:w="88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10.74</w:t>
            </w:r>
          </w:p>
        </w:tc>
        <w:tc>
          <w:tcPr>
            <w:tcW w:w="248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2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8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254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9.36</w:t>
            </w:r>
          </w:p>
        </w:tc>
        <w:tc>
          <w:tcPr>
            <w:tcW w:w="2765"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88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4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4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8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254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765"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88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4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4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8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254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765"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88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4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4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8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54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359.18</w:t>
            </w:r>
          </w:p>
        </w:tc>
        <w:tc>
          <w:tcPr>
            <w:tcW w:w="276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40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359.18</w:t>
            </w:r>
          </w:p>
        </w:tc>
        <w:tc>
          <w:tcPr>
            <w:tcW w:w="88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359.18</w:t>
            </w:r>
          </w:p>
        </w:tc>
        <w:tc>
          <w:tcPr>
            <w:tcW w:w="248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2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2559" w:type="dxa"/>
            <w:gridSpan w:val="6"/>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428" w:type="dxa"/>
            <w:shd w:val="clear" w:color="auto" w:fill="FFFFFF"/>
            <w:vAlign w:val="center"/>
          </w:tcPr>
          <w:p>
            <w:pPr>
              <w:jc w:val="left"/>
              <w:rPr>
                <w:rFonts w:hint="eastAsia" w:ascii="宋体" w:hAnsi="宋体" w:eastAsia="宋体" w:cs="宋体"/>
                <w:i w:val="0"/>
                <w:color w:val="000000"/>
                <w:sz w:val="20"/>
                <w:szCs w:val="20"/>
                <w:u w:val="none"/>
              </w:rPr>
            </w:pPr>
          </w:p>
        </w:tc>
      </w:tr>
    </w:tbl>
    <w:p>
      <w:pPr>
        <w:ind w:firstLine="640" w:firstLineChars="200"/>
        <w:rPr>
          <w:rFonts w:hint="eastAsia" w:ascii="仿宋_GB2312" w:hAnsi="黑体" w:eastAsia="仿宋_GB2312"/>
          <w:sz w:val="32"/>
          <w:szCs w:val="32"/>
        </w:rPr>
      </w:pPr>
    </w:p>
    <w:tbl>
      <w:tblPr>
        <w:tblStyle w:val="7"/>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099"/>
        <w:gridCol w:w="4900"/>
        <w:gridCol w:w="2868"/>
        <w:gridCol w:w="2010"/>
        <w:gridCol w:w="2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988" w:type="dxa"/>
            <w:gridSpan w:val="5"/>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cs="宋体"/>
                <w:i w:val="0"/>
                <w:color w:val="000000"/>
                <w:kern w:val="0"/>
                <w:sz w:val="30"/>
                <w:szCs w:val="30"/>
                <w:u w:val="none"/>
                <w:lang w:val="en-US" w:eastAsia="zh-CN" w:bidi="ar"/>
              </w:rPr>
              <w:t>表五：</w:t>
            </w:r>
            <w:r>
              <w:rPr>
                <w:rFonts w:hint="eastAsia" w:ascii="宋体" w:hAnsi="宋体" w:eastAsia="宋体" w:cs="宋体"/>
                <w:i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867" w:type="dxa"/>
            <w:gridSpan w:val="3"/>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部门：柳州市项目促进中心</w:t>
            </w:r>
          </w:p>
        </w:tc>
        <w:tc>
          <w:tcPr>
            <w:tcW w:w="4121" w:type="dxa"/>
            <w:gridSpan w:val="2"/>
            <w:shd w:val="clear" w:color="auto" w:fill="FFFFFF"/>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9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989" w:type="dxa"/>
            <w:gridSpan w:val="3"/>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099"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90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868"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201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111"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2099"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490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86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01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111"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099"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490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86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01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111"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999"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868"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01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111"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999"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86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348.44</w:t>
            </w:r>
          </w:p>
        </w:tc>
        <w:tc>
          <w:tcPr>
            <w:tcW w:w="201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308.15</w:t>
            </w:r>
          </w:p>
        </w:tc>
        <w:tc>
          <w:tcPr>
            <w:tcW w:w="211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09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90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286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260.88</w:t>
            </w:r>
          </w:p>
        </w:tc>
        <w:tc>
          <w:tcPr>
            <w:tcW w:w="201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220.58</w:t>
            </w:r>
          </w:p>
        </w:tc>
        <w:tc>
          <w:tcPr>
            <w:tcW w:w="211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09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w:t>
            </w:r>
          </w:p>
        </w:tc>
        <w:tc>
          <w:tcPr>
            <w:tcW w:w="490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发展与改革事务</w:t>
            </w:r>
          </w:p>
        </w:tc>
        <w:tc>
          <w:tcPr>
            <w:tcW w:w="286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260.88</w:t>
            </w:r>
          </w:p>
        </w:tc>
        <w:tc>
          <w:tcPr>
            <w:tcW w:w="201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220.58</w:t>
            </w:r>
          </w:p>
        </w:tc>
        <w:tc>
          <w:tcPr>
            <w:tcW w:w="211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09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2010401</w:t>
            </w:r>
          </w:p>
        </w:tc>
        <w:tc>
          <w:tcPr>
            <w:tcW w:w="490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286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220.58</w:t>
            </w:r>
          </w:p>
        </w:tc>
        <w:tc>
          <w:tcPr>
            <w:tcW w:w="201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220.58</w:t>
            </w:r>
          </w:p>
        </w:tc>
        <w:tc>
          <w:tcPr>
            <w:tcW w:w="211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09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2010402</w:t>
            </w:r>
          </w:p>
        </w:tc>
        <w:tc>
          <w:tcPr>
            <w:tcW w:w="490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86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40.30</w:t>
            </w:r>
          </w:p>
        </w:tc>
        <w:tc>
          <w:tcPr>
            <w:tcW w:w="201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11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09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90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286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43.84</w:t>
            </w:r>
          </w:p>
        </w:tc>
        <w:tc>
          <w:tcPr>
            <w:tcW w:w="201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43.84</w:t>
            </w:r>
          </w:p>
        </w:tc>
        <w:tc>
          <w:tcPr>
            <w:tcW w:w="211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09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90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286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43.84</w:t>
            </w:r>
          </w:p>
        </w:tc>
        <w:tc>
          <w:tcPr>
            <w:tcW w:w="201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43.84</w:t>
            </w:r>
          </w:p>
        </w:tc>
        <w:tc>
          <w:tcPr>
            <w:tcW w:w="211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09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90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86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29.42</w:t>
            </w:r>
          </w:p>
        </w:tc>
        <w:tc>
          <w:tcPr>
            <w:tcW w:w="201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29.42</w:t>
            </w:r>
          </w:p>
        </w:tc>
        <w:tc>
          <w:tcPr>
            <w:tcW w:w="211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09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490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286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14.43</w:t>
            </w:r>
          </w:p>
        </w:tc>
        <w:tc>
          <w:tcPr>
            <w:tcW w:w="201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14.43</w:t>
            </w:r>
          </w:p>
        </w:tc>
        <w:tc>
          <w:tcPr>
            <w:tcW w:w="211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09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90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286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w:t>
            </w:r>
          </w:p>
        </w:tc>
        <w:tc>
          <w:tcPr>
            <w:tcW w:w="201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w:t>
            </w:r>
          </w:p>
        </w:tc>
        <w:tc>
          <w:tcPr>
            <w:tcW w:w="211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09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90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286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w:t>
            </w:r>
          </w:p>
        </w:tc>
        <w:tc>
          <w:tcPr>
            <w:tcW w:w="201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w:t>
            </w:r>
          </w:p>
        </w:tc>
        <w:tc>
          <w:tcPr>
            <w:tcW w:w="211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09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490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286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13.77</w:t>
            </w:r>
          </w:p>
        </w:tc>
        <w:tc>
          <w:tcPr>
            <w:tcW w:w="201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13.77</w:t>
            </w:r>
          </w:p>
        </w:tc>
        <w:tc>
          <w:tcPr>
            <w:tcW w:w="211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09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490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286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7.59</w:t>
            </w:r>
          </w:p>
        </w:tc>
        <w:tc>
          <w:tcPr>
            <w:tcW w:w="201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7.59</w:t>
            </w:r>
          </w:p>
        </w:tc>
        <w:tc>
          <w:tcPr>
            <w:tcW w:w="211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09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490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286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22.37</w:t>
            </w:r>
          </w:p>
        </w:tc>
        <w:tc>
          <w:tcPr>
            <w:tcW w:w="201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22.37</w:t>
            </w:r>
          </w:p>
        </w:tc>
        <w:tc>
          <w:tcPr>
            <w:tcW w:w="211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09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490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286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22.37</w:t>
            </w:r>
          </w:p>
        </w:tc>
        <w:tc>
          <w:tcPr>
            <w:tcW w:w="201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22.37</w:t>
            </w:r>
          </w:p>
        </w:tc>
        <w:tc>
          <w:tcPr>
            <w:tcW w:w="211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09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90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286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21.49</w:t>
            </w:r>
          </w:p>
        </w:tc>
        <w:tc>
          <w:tcPr>
            <w:tcW w:w="201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21.49</w:t>
            </w:r>
          </w:p>
        </w:tc>
        <w:tc>
          <w:tcPr>
            <w:tcW w:w="211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09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2210203</w:t>
            </w:r>
          </w:p>
        </w:tc>
        <w:tc>
          <w:tcPr>
            <w:tcW w:w="490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购房补贴</w:t>
            </w:r>
          </w:p>
        </w:tc>
        <w:tc>
          <w:tcPr>
            <w:tcW w:w="286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0.88</w:t>
            </w:r>
          </w:p>
        </w:tc>
        <w:tc>
          <w:tcPr>
            <w:tcW w:w="201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0.88</w:t>
            </w:r>
          </w:p>
        </w:tc>
        <w:tc>
          <w:tcPr>
            <w:tcW w:w="211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3988" w:type="dxa"/>
            <w:gridSpan w:val="5"/>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注：本表反映部门本年度一般公共预算财政拨款支出情况。</w:t>
            </w:r>
          </w:p>
        </w:tc>
      </w:tr>
    </w:tbl>
    <w:p>
      <w:pPr>
        <w:ind w:firstLine="640" w:firstLineChars="200"/>
        <w:rPr>
          <w:rFonts w:hint="eastAsia" w:ascii="仿宋_GB2312" w:hAnsi="黑体" w:eastAsia="仿宋_GB2312"/>
          <w:sz w:val="32"/>
          <w:szCs w:val="32"/>
        </w:rPr>
      </w:pPr>
    </w:p>
    <w:tbl>
      <w:tblPr>
        <w:tblStyle w:val="7"/>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03"/>
        <w:gridCol w:w="4337"/>
        <w:gridCol w:w="2216"/>
        <w:gridCol w:w="904"/>
        <w:gridCol w:w="3414"/>
        <w:gridCol w:w="22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988" w:type="dxa"/>
            <w:gridSpan w:val="6"/>
            <w:shd w:val="clear" w:color="auto" w:fill="auto"/>
            <w:vAlign w:val="bottom"/>
          </w:tcPr>
          <w:p>
            <w:pPr>
              <w:keepNext w:val="0"/>
              <w:keepLines w:val="0"/>
              <w:widowControl/>
              <w:suppressLineNumbers w:val="0"/>
              <w:tabs>
                <w:tab w:val="left" w:pos="4378"/>
                <w:tab w:val="center" w:pos="7039"/>
              </w:tabs>
              <w:jc w:val="left"/>
              <w:textAlignment w:val="bottom"/>
              <w:rPr>
                <w:rFonts w:hint="eastAsia" w:ascii="宋体" w:hAnsi="宋体" w:eastAsia="宋体" w:cs="宋体"/>
                <w:i w:val="0"/>
                <w:color w:val="000000"/>
                <w:sz w:val="30"/>
                <w:szCs w:val="30"/>
                <w:u w:val="none"/>
              </w:rPr>
            </w:pPr>
            <w:r>
              <w:rPr>
                <w:rFonts w:hint="eastAsia" w:ascii="宋体" w:hAnsi="宋体" w:cs="宋体"/>
                <w:i w:val="0"/>
                <w:color w:val="000000"/>
                <w:kern w:val="0"/>
                <w:sz w:val="30"/>
                <w:szCs w:val="30"/>
                <w:u w:val="none"/>
                <w:lang w:val="en-US" w:eastAsia="zh-CN" w:bidi="ar"/>
              </w:rPr>
              <w:tab/>
            </w:r>
            <w:r>
              <w:rPr>
                <w:rFonts w:hint="eastAsia" w:ascii="宋体" w:hAnsi="宋体" w:cs="宋体"/>
                <w:i w:val="0"/>
                <w:color w:val="000000"/>
                <w:kern w:val="0"/>
                <w:sz w:val="30"/>
                <w:szCs w:val="30"/>
                <w:u w:val="none"/>
                <w:lang w:val="en-US" w:eastAsia="zh-CN" w:bidi="ar"/>
              </w:rPr>
              <w:t>表六：</w:t>
            </w:r>
            <w:r>
              <w:rPr>
                <w:rFonts w:hint="eastAsia" w:ascii="宋体" w:hAnsi="宋体" w:cs="宋体"/>
                <w:i w:val="0"/>
                <w:color w:val="000000"/>
                <w:kern w:val="0"/>
                <w:sz w:val="30"/>
                <w:szCs w:val="30"/>
                <w:u w:val="none"/>
                <w:lang w:val="en-US" w:eastAsia="zh-CN" w:bidi="ar"/>
              </w:rPr>
              <w:tab/>
            </w:r>
            <w:r>
              <w:rPr>
                <w:rFonts w:hint="eastAsia" w:ascii="宋体" w:hAnsi="宋体" w:eastAsia="宋体" w:cs="宋体"/>
                <w:i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456"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部门：柳州市项目促进中心</w:t>
            </w:r>
          </w:p>
        </w:tc>
        <w:tc>
          <w:tcPr>
            <w:tcW w:w="6532" w:type="dxa"/>
            <w:gridSpan w:val="3"/>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4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6532" w:type="dxa"/>
            <w:gridSpan w:val="3"/>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03"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4337"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216"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904"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414"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214"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03"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433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216"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904"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3414"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214"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259.50</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50.07</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42.25</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77.47</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29.42</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14.43</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13.77</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7.59</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21.49</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337"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21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5240"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259.50</w:t>
            </w:r>
          </w:p>
        </w:tc>
        <w:tc>
          <w:tcPr>
            <w:tcW w:w="4318"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3988" w:type="dxa"/>
            <w:gridSpan w:val="6"/>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注：本表反映部门本年度一般公共预算财政拨款基本支出明细情况。</w:t>
            </w:r>
          </w:p>
        </w:tc>
      </w:tr>
    </w:tbl>
    <w:p>
      <w:pPr>
        <w:ind w:firstLine="640" w:firstLineChars="200"/>
        <w:rPr>
          <w:rFonts w:hint="eastAsia" w:ascii="仿宋_GB2312" w:hAnsi="黑体" w:eastAsia="仿宋_GB2312"/>
          <w:sz w:val="32"/>
          <w:szCs w:val="32"/>
        </w:rPr>
      </w:pPr>
    </w:p>
    <w:tbl>
      <w:tblPr>
        <w:tblStyle w:val="7"/>
        <w:tblW w:w="139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44"/>
        <w:gridCol w:w="1063"/>
        <w:gridCol w:w="1014"/>
        <w:gridCol w:w="1014"/>
        <w:gridCol w:w="1442"/>
        <w:gridCol w:w="1442"/>
        <w:gridCol w:w="1015"/>
        <w:gridCol w:w="1063"/>
        <w:gridCol w:w="1014"/>
        <w:gridCol w:w="1014"/>
        <w:gridCol w:w="1015"/>
        <w:gridCol w:w="1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13982" w:type="dxa"/>
            <w:gridSpan w:val="12"/>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cs="宋体"/>
                <w:i w:val="0"/>
                <w:color w:val="000000"/>
                <w:kern w:val="0"/>
                <w:sz w:val="44"/>
                <w:szCs w:val="44"/>
                <w:u w:val="none"/>
                <w:lang w:val="en-US" w:eastAsia="zh-CN" w:bidi="ar"/>
              </w:rPr>
              <w:t>表七：</w:t>
            </w:r>
            <w:r>
              <w:rPr>
                <w:rFonts w:hint="eastAsia" w:ascii="宋体" w:hAnsi="宋体" w:eastAsia="宋体" w:cs="宋体"/>
                <w:i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977" w:type="dxa"/>
            <w:gridSpan w:val="5"/>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部门：柳州市项目促进中心</w:t>
            </w:r>
          </w:p>
        </w:tc>
        <w:tc>
          <w:tcPr>
            <w:tcW w:w="8005" w:type="dxa"/>
            <w:gridSpan w:val="7"/>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41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6563" w:type="dxa"/>
            <w:gridSpan w:val="6"/>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44"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63"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470" w:type="dxa"/>
            <w:gridSpan w:val="3"/>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442"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01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63"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043" w:type="dxa"/>
            <w:gridSpan w:val="3"/>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442"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1444"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63"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14"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014"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442"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442"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1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63"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14"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014"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01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442"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4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63"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14"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14"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42"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42"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1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63"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14"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14"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1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42"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44"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0.76</w:t>
            </w:r>
          </w:p>
        </w:tc>
        <w:tc>
          <w:tcPr>
            <w:tcW w:w="106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0.76</w:t>
            </w:r>
          </w:p>
        </w:tc>
        <w:tc>
          <w:tcPr>
            <w:tcW w:w="101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0.76</w:t>
            </w:r>
          </w:p>
        </w:tc>
        <w:tc>
          <w:tcPr>
            <w:tcW w:w="106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1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13982" w:type="dxa"/>
            <w:gridSpan w:val="1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ind w:firstLine="640" w:firstLineChars="200"/>
        <w:rPr>
          <w:rFonts w:hint="eastAsia" w:ascii="仿宋_GB2312" w:hAnsi="黑体" w:eastAsia="仿宋_GB2312"/>
          <w:sz w:val="32"/>
          <w:szCs w:val="32"/>
        </w:rPr>
      </w:pPr>
    </w:p>
    <w:tbl>
      <w:tblPr>
        <w:tblStyle w:val="7"/>
        <w:tblW w:w="139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84"/>
        <w:gridCol w:w="4571"/>
        <w:gridCol w:w="1954"/>
        <w:gridCol w:w="1115"/>
        <w:gridCol w:w="1116"/>
        <w:gridCol w:w="1115"/>
        <w:gridCol w:w="1117"/>
        <w:gridCol w:w="1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987" w:type="dxa"/>
            <w:gridSpan w:val="8"/>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cs="宋体"/>
                <w:i w:val="0"/>
                <w:color w:val="000000"/>
                <w:kern w:val="0"/>
                <w:sz w:val="30"/>
                <w:szCs w:val="30"/>
                <w:u w:val="none"/>
                <w:lang w:val="en-US" w:eastAsia="zh-CN" w:bidi="ar"/>
              </w:rPr>
              <w:t>表八：</w:t>
            </w: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409"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部门：柳州市项目促进中心</w:t>
            </w:r>
          </w:p>
        </w:tc>
        <w:tc>
          <w:tcPr>
            <w:tcW w:w="1115" w:type="dxa"/>
            <w:shd w:val="clear" w:color="auto" w:fill="auto"/>
            <w:vAlign w:val="bottom"/>
          </w:tcPr>
          <w:p>
            <w:pPr>
              <w:rPr>
                <w:rFonts w:hint="eastAsia" w:ascii="Arial" w:hAnsi="Arial" w:cs="Arial"/>
                <w:i w:val="0"/>
                <w:color w:val="000000"/>
                <w:sz w:val="20"/>
                <w:szCs w:val="20"/>
                <w:u w:val="none"/>
              </w:rPr>
            </w:pPr>
          </w:p>
        </w:tc>
        <w:tc>
          <w:tcPr>
            <w:tcW w:w="1116" w:type="dxa"/>
            <w:shd w:val="clear" w:color="auto" w:fill="auto"/>
            <w:vAlign w:val="bottom"/>
          </w:tcPr>
          <w:p>
            <w:pPr>
              <w:rPr>
                <w:rFonts w:hint="default" w:ascii="Arial" w:hAnsi="Arial" w:cs="Arial"/>
                <w:i w:val="0"/>
                <w:color w:val="000000"/>
                <w:sz w:val="20"/>
                <w:szCs w:val="20"/>
                <w:u w:val="none"/>
              </w:rPr>
            </w:pPr>
          </w:p>
        </w:tc>
        <w:tc>
          <w:tcPr>
            <w:tcW w:w="1115" w:type="dxa"/>
            <w:shd w:val="clear" w:color="auto" w:fill="auto"/>
            <w:vAlign w:val="bottom"/>
          </w:tcPr>
          <w:p>
            <w:pPr>
              <w:rPr>
                <w:rFonts w:hint="default" w:ascii="Arial" w:hAnsi="Arial" w:cs="Arial"/>
                <w:i w:val="0"/>
                <w:color w:val="000000"/>
                <w:sz w:val="20"/>
                <w:szCs w:val="20"/>
                <w:u w:val="none"/>
              </w:rPr>
            </w:pPr>
          </w:p>
        </w:tc>
        <w:tc>
          <w:tcPr>
            <w:tcW w:w="2232"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954"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1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348" w:type="dxa"/>
            <w:gridSpan w:val="3"/>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11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884"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571"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95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16"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1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117"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11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884"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4571"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95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16"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1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1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884"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4571"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95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16"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1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1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455"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54"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1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16"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1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1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455"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5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1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11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1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11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1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84"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457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954"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84"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457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954"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84"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457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954"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84"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457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954"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84"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457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954"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84"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457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954"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3987" w:type="dxa"/>
            <w:gridSpan w:val="8"/>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w:t>
            </w:r>
            <w:r>
              <w:rPr>
                <w:rFonts w:hint="eastAsia" w:ascii="宋体" w:hAnsi="宋体" w:cs="宋体"/>
                <w:i w:val="0"/>
                <w:color w:val="000000"/>
                <w:kern w:val="0"/>
                <w:sz w:val="22"/>
                <w:szCs w:val="22"/>
                <w:u w:val="none"/>
                <w:lang w:val="en-US" w:eastAsia="zh-CN" w:bidi="ar"/>
              </w:rPr>
              <w:t>柳州市项目促进中心没有政府性基金预算财政拨款收入，也没有政府性基金预算财政拨款支出，故本表无数据</w:t>
            </w:r>
          </w:p>
        </w:tc>
      </w:tr>
    </w:tbl>
    <w:tbl>
      <w:tblPr>
        <w:tblStyle w:val="7"/>
        <w:tblpPr w:leftFromText="180" w:rightFromText="180" w:vertAnchor="text" w:horzAnchor="page" w:tblpX="1432" w:tblpY="607"/>
        <w:tblOverlap w:val="never"/>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97"/>
        <w:gridCol w:w="5567"/>
        <w:gridCol w:w="2382"/>
        <w:gridCol w:w="1362"/>
        <w:gridCol w:w="2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988" w:type="dxa"/>
            <w:gridSpan w:val="5"/>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cs="宋体"/>
                <w:i w:val="0"/>
                <w:color w:val="000000"/>
                <w:kern w:val="0"/>
                <w:sz w:val="30"/>
                <w:szCs w:val="30"/>
                <w:u w:val="none"/>
                <w:lang w:val="en-US" w:eastAsia="zh-CN" w:bidi="ar"/>
              </w:rPr>
              <w:t>表九：</w:t>
            </w:r>
            <w:r>
              <w:rPr>
                <w:rFonts w:hint="eastAsia" w:ascii="宋体" w:hAnsi="宋体" w:eastAsia="宋体" w:cs="宋体"/>
                <w:i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864" w:type="dxa"/>
            <w:gridSpan w:val="2"/>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部门：柳州市项目促进中心</w:t>
            </w:r>
          </w:p>
        </w:tc>
        <w:tc>
          <w:tcPr>
            <w:tcW w:w="2382" w:type="dxa"/>
            <w:shd w:val="clear" w:color="auto" w:fill="auto"/>
            <w:vAlign w:val="bottom"/>
          </w:tcPr>
          <w:p>
            <w:pPr>
              <w:rPr>
                <w:rFonts w:hint="eastAsia" w:ascii="Arial" w:hAnsi="Arial" w:cs="Arial"/>
                <w:i w:val="0"/>
                <w:color w:val="000000"/>
                <w:sz w:val="20"/>
                <w:szCs w:val="20"/>
                <w:u w:val="none"/>
              </w:rPr>
            </w:pPr>
          </w:p>
        </w:tc>
        <w:tc>
          <w:tcPr>
            <w:tcW w:w="3742"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8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124" w:type="dxa"/>
            <w:gridSpan w:val="3"/>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97"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5567"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382"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62"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38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97"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556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382"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362"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38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97"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556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382"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362"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38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864"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382"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62"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38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864"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38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36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23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97"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5567"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238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6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3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97"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5567"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238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6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3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97"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5567"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38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36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38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97"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5567"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38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36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38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97"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5567"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38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36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38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297"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5567"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38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36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38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3988" w:type="dxa"/>
            <w:gridSpan w:val="5"/>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w:t>
            </w:r>
            <w:r>
              <w:rPr>
                <w:rFonts w:hint="eastAsia" w:ascii="宋体" w:hAnsi="宋体" w:cs="宋体"/>
                <w:i w:val="0"/>
                <w:color w:val="000000"/>
                <w:kern w:val="0"/>
                <w:sz w:val="22"/>
                <w:szCs w:val="22"/>
                <w:u w:val="none"/>
                <w:lang w:val="en-US" w:eastAsia="zh-CN" w:bidi="ar"/>
              </w:rPr>
              <w:t>柳州市项目促进中心没有国有资本经营预算财政拨款收入，也没有国有资本经营预算财政拨款支出，故本表无数据</w:t>
            </w:r>
          </w:p>
        </w:tc>
      </w:tr>
    </w:tbl>
    <w:p>
      <w:pPr>
        <w:ind w:firstLine="640" w:firstLineChars="200"/>
        <w:rPr>
          <w:rFonts w:hint="eastAsia" w:ascii="仿宋_GB2312" w:hAnsi="黑体" w:eastAsia="仿宋_GB2312"/>
          <w:sz w:val="32"/>
          <w:szCs w:val="32"/>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：柳州市项目促进中心</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359.18</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359.18</w:t>
      </w:r>
      <w:r>
        <w:rPr>
          <w:rFonts w:hint="eastAsia" w:ascii="仿宋_GB2312" w:eastAsia="仿宋_GB2312" w:cs="仿宋_GB2312"/>
          <w:bCs/>
          <w:kern w:val="0"/>
          <w:sz w:val="32"/>
          <w:szCs w:val="32"/>
        </w:rPr>
        <w:t>万元，与2019年相比，收、支分别</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16.82</w:t>
      </w:r>
      <w:r>
        <w:rPr>
          <w:rFonts w:hint="eastAsia" w:ascii="仿宋_GB2312" w:eastAsia="仿宋_GB2312" w:cs="仿宋_GB2312"/>
          <w:bCs/>
          <w:kern w:val="0"/>
          <w:sz w:val="32"/>
          <w:szCs w:val="32"/>
        </w:rPr>
        <w:t>；分别</w:t>
      </w:r>
      <w:r>
        <w:rPr>
          <w:rFonts w:hint="eastAsia" w:ascii="仿宋_GB2312" w:eastAsia="仿宋_GB2312" w:cs="仿宋_GB2312"/>
          <w:bCs/>
          <w:kern w:val="0"/>
          <w:sz w:val="32"/>
          <w:szCs w:val="32"/>
          <w:lang w:eastAsia="zh-CN"/>
        </w:rPr>
        <w:t>降低</w:t>
      </w:r>
      <w:r>
        <w:rPr>
          <w:rFonts w:hint="eastAsia" w:ascii="仿宋_GB2312" w:eastAsia="仿宋_GB2312" w:cs="仿宋_GB2312"/>
          <w:bCs/>
          <w:kern w:val="0"/>
          <w:sz w:val="32"/>
          <w:szCs w:val="32"/>
          <w:lang w:val="en-US" w:eastAsia="zh-CN"/>
        </w:rPr>
        <w:t>4.47</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359.18</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349.82</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97.39%</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上年结转结余</w:t>
      </w:r>
      <w:r>
        <w:rPr>
          <w:rFonts w:hint="eastAsia" w:ascii="仿宋_GB2312" w:eastAsia="仿宋_GB2312" w:cs="仿宋_GB2312"/>
          <w:bCs/>
          <w:kern w:val="0"/>
          <w:sz w:val="32"/>
          <w:szCs w:val="32"/>
          <w:lang w:val="en-US" w:eastAsia="zh-CN"/>
        </w:rPr>
        <w:t>9.36</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2.61%</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348.44</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308.15</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88.44</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40.3</w:t>
      </w:r>
      <w:r>
        <w:rPr>
          <w:rFonts w:hint="eastAsia" w:ascii="仿宋_GB2312" w:eastAsia="仿宋_GB2312" w:cs="仿宋_GB2312"/>
          <w:bCs/>
          <w:kern w:val="0"/>
          <w:sz w:val="32"/>
          <w:szCs w:val="32"/>
        </w:rPr>
        <w:t>万元， 占</w:t>
      </w:r>
      <w:r>
        <w:rPr>
          <w:rFonts w:hint="eastAsia" w:ascii="仿宋_GB2312" w:eastAsia="仿宋_GB2312" w:cs="仿宋_GB2312"/>
          <w:bCs/>
          <w:kern w:val="0"/>
          <w:sz w:val="32"/>
          <w:szCs w:val="32"/>
          <w:lang w:val="en-US" w:eastAsia="zh-CN"/>
        </w:rPr>
        <w:t>11.56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2020年度财政拨款收、支总决算</w:t>
      </w:r>
      <w:r>
        <w:rPr>
          <w:rFonts w:hint="eastAsia" w:ascii="仿宋_GB2312" w:eastAsia="仿宋_GB2312" w:cs="仿宋_GB2312"/>
          <w:bCs/>
          <w:kern w:val="0"/>
          <w:sz w:val="32"/>
          <w:szCs w:val="32"/>
          <w:lang w:val="en-US" w:eastAsia="zh-CN"/>
        </w:rPr>
        <w:t>359.18</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359.18</w:t>
      </w:r>
      <w:r>
        <w:rPr>
          <w:rFonts w:hint="eastAsia" w:ascii="仿宋_GB2312" w:eastAsia="仿宋_GB2312" w:cs="仿宋_GB2312"/>
          <w:bCs/>
          <w:kern w:val="0"/>
          <w:sz w:val="32"/>
          <w:szCs w:val="32"/>
        </w:rPr>
        <w:t>万元。与 2019 年相比，财政拨款收、支总计各</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16.82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降低</w:t>
      </w:r>
      <w:r>
        <w:rPr>
          <w:rFonts w:hint="eastAsia" w:ascii="仿宋_GB2312" w:eastAsia="仿宋_GB2312" w:cs="仿宋_GB2312"/>
          <w:bCs/>
          <w:kern w:val="0"/>
          <w:sz w:val="32"/>
          <w:szCs w:val="32"/>
          <w:lang w:val="en-US" w:eastAsia="zh-CN"/>
        </w:rPr>
        <w:t>4.47</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2020年度财政拨款支出</w:t>
      </w:r>
      <w:r>
        <w:rPr>
          <w:rFonts w:hint="eastAsia" w:ascii="仿宋_GB2312" w:eastAsia="仿宋_GB2312" w:cs="仿宋_GB2312"/>
          <w:bCs/>
          <w:kern w:val="0"/>
          <w:sz w:val="32"/>
          <w:szCs w:val="32"/>
          <w:lang w:val="en-US" w:eastAsia="zh-CN"/>
        </w:rPr>
        <w:t>348.44</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%。与 2019 年相比，财政拨款支出减</w:t>
      </w:r>
      <w:r>
        <w:rPr>
          <w:rFonts w:hint="eastAsia" w:ascii="仿宋_GB2312" w:eastAsia="仿宋_GB2312" w:cs="仿宋_GB2312"/>
          <w:bCs/>
          <w:kern w:val="0"/>
          <w:sz w:val="32"/>
          <w:szCs w:val="32"/>
          <w:lang w:eastAsia="zh-CN"/>
        </w:rPr>
        <w:t>少</w:t>
      </w:r>
      <w:r>
        <w:rPr>
          <w:rFonts w:hint="eastAsia" w:ascii="仿宋_GB2312" w:eastAsia="仿宋_GB2312" w:cs="仿宋_GB2312"/>
          <w:bCs/>
          <w:kern w:val="0"/>
          <w:sz w:val="32"/>
          <w:szCs w:val="32"/>
          <w:lang w:val="en-US" w:eastAsia="zh-CN"/>
        </w:rPr>
        <w:t>15.27</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4.2</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（二）财政拨款支出决算结构情况</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2020 年度财政拨款支出</w:t>
      </w:r>
      <w:r>
        <w:rPr>
          <w:rFonts w:hint="eastAsia" w:ascii="仿宋_GB2312" w:eastAsia="仿宋_GB2312" w:cs="仿宋_GB2312"/>
          <w:bCs/>
          <w:kern w:val="0"/>
          <w:sz w:val="32"/>
          <w:szCs w:val="32"/>
          <w:lang w:val="en-US" w:eastAsia="zh-CN"/>
        </w:rPr>
        <w:t>348.44</w:t>
      </w:r>
      <w:r>
        <w:rPr>
          <w:rFonts w:hint="eastAsia" w:ascii="仿宋_GB2312" w:eastAsia="仿宋_GB2312" w:cs="仿宋_GB2312"/>
          <w:bCs/>
          <w:kern w:val="0"/>
          <w:sz w:val="32"/>
          <w:szCs w:val="32"/>
        </w:rPr>
        <w:t xml:space="preserve">万元，主要用于以下方面：一般公共服务（类）支出 </w:t>
      </w:r>
      <w:r>
        <w:rPr>
          <w:rFonts w:hint="eastAsia" w:ascii="仿宋_GB2312" w:eastAsia="仿宋_GB2312" w:cs="仿宋_GB2312"/>
          <w:bCs/>
          <w:kern w:val="0"/>
          <w:sz w:val="32"/>
          <w:szCs w:val="32"/>
          <w:lang w:val="en-US" w:eastAsia="zh-CN"/>
        </w:rPr>
        <w:t>260.88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74.87</w:t>
      </w:r>
      <w:r>
        <w:rPr>
          <w:rFonts w:hint="eastAsia" w:ascii="仿宋_GB2312" w:eastAsia="仿宋_GB2312" w:cs="仿宋_GB2312"/>
          <w:bCs/>
          <w:kern w:val="0"/>
          <w:sz w:val="32"/>
          <w:szCs w:val="32"/>
        </w:rPr>
        <w:t>%；社会保障和就业（类）支出</w:t>
      </w:r>
      <w:r>
        <w:rPr>
          <w:rFonts w:hint="eastAsia" w:ascii="仿宋_GB2312" w:eastAsia="仿宋_GB2312" w:cs="仿宋_GB2312"/>
          <w:bCs/>
          <w:kern w:val="0"/>
          <w:sz w:val="32"/>
          <w:szCs w:val="32"/>
          <w:lang w:val="en-US" w:eastAsia="zh-CN"/>
        </w:rPr>
        <w:t>43.84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12.58</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w:t>
      </w:r>
      <w:r>
        <w:rPr>
          <w:rFonts w:hint="eastAsia" w:ascii="仿宋_GB2312" w:eastAsia="仿宋_GB2312" w:cs="仿宋_GB2312"/>
          <w:bCs/>
          <w:kern w:val="0"/>
          <w:sz w:val="32"/>
          <w:szCs w:val="32"/>
        </w:rPr>
        <w:t>（类）支出</w:t>
      </w:r>
      <w:r>
        <w:rPr>
          <w:rFonts w:hint="eastAsia" w:ascii="仿宋_GB2312" w:eastAsia="仿宋_GB2312" w:cs="仿宋_GB2312"/>
          <w:bCs/>
          <w:kern w:val="0"/>
          <w:sz w:val="32"/>
          <w:szCs w:val="32"/>
          <w:lang w:val="en-US" w:eastAsia="zh-CN"/>
        </w:rPr>
        <w:t>21.36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6.13</w:t>
      </w:r>
      <w:r>
        <w:rPr>
          <w:rFonts w:hint="eastAsia" w:ascii="仿宋_GB2312" w:eastAsia="仿宋_GB2312" w:cs="仿宋_GB2312"/>
          <w:bCs/>
          <w:kern w:val="0"/>
          <w:sz w:val="32"/>
          <w:szCs w:val="32"/>
        </w:rPr>
        <w:t>%； 住房保障（类）支出</w:t>
      </w:r>
      <w:r>
        <w:rPr>
          <w:rFonts w:hint="eastAsia" w:ascii="仿宋_GB2312" w:eastAsia="仿宋_GB2312" w:cs="仿宋_GB2312"/>
          <w:bCs/>
          <w:kern w:val="0"/>
          <w:sz w:val="32"/>
          <w:szCs w:val="32"/>
          <w:lang w:val="en-US" w:eastAsia="zh-CN"/>
        </w:rPr>
        <w:t>22.37</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6.42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w:t>
      </w:r>
      <w:r>
        <w:rPr>
          <w:rFonts w:hint="eastAsia" w:ascii="仿宋_GB2312" w:eastAsia="仿宋_GB2312" w:cs="仿宋_GB2312"/>
          <w:bCs/>
          <w:kern w:val="0"/>
          <w:sz w:val="32"/>
          <w:szCs w:val="32"/>
          <w:lang w:val="en-US" w:eastAsia="zh-CN"/>
        </w:rPr>
        <w:t>337.26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348.44</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103.31</w:t>
      </w:r>
      <w:r>
        <w:rPr>
          <w:rFonts w:hint="eastAsia" w:ascii="仿宋_GB2312" w:eastAsia="仿宋_GB2312" w:cs="仿宋_GB2312"/>
          <w:bCs/>
          <w:kern w:val="0"/>
          <w:sz w:val="32"/>
          <w:szCs w:val="32"/>
        </w:rPr>
        <w:t>%。决算数大于预算数的主要原因：一是年中追加安排财政拨款支出预算，涉及项目有</w:t>
      </w:r>
      <w:r>
        <w:rPr>
          <w:rFonts w:hint="eastAsia" w:ascii="仿宋_GB2312" w:eastAsia="仿宋_GB2312" w:cs="仿宋_GB2312"/>
          <w:bCs/>
          <w:kern w:val="0"/>
          <w:sz w:val="32"/>
          <w:szCs w:val="32"/>
          <w:lang w:eastAsia="zh-CN"/>
        </w:rPr>
        <w:t>公务员医疗补助、绩效考评奖等</w:t>
      </w:r>
      <w:r>
        <w:rPr>
          <w:rFonts w:hint="eastAsia" w:ascii="仿宋_GB2312" w:eastAsia="仿宋_GB2312" w:cs="仿宋_GB2312"/>
          <w:bCs/>
          <w:kern w:val="0"/>
          <w:sz w:val="32"/>
          <w:szCs w:val="32"/>
        </w:rPr>
        <w:t>；二是部分支出按规定，通过使用以前年度财政拨款结转资金解决。</w:t>
      </w:r>
    </w:p>
    <w:p>
      <w:pPr>
        <w:spacing w:line="560" w:lineRule="exact"/>
        <w:ind w:firstLine="435"/>
        <w:rPr>
          <w:rFonts w:hint="eastAsia" w:ascii="仿宋_GB2312" w:eastAsia="仿宋_GB2312"/>
          <w:sz w:val="32"/>
          <w:szCs w:val="32"/>
          <w:lang w:val="en-US" w:eastAsia="zh-CN"/>
        </w:rPr>
      </w:pPr>
      <w:r>
        <w:rPr>
          <w:rFonts w:hint="eastAsia" w:ascii="仿宋_GB2312" w:eastAsia="仿宋_GB2312"/>
          <w:sz w:val="32"/>
          <w:szCs w:val="32"/>
          <w:highlight w:val="none"/>
        </w:rPr>
        <w:t>1、201类04款01项行政运行</w:t>
      </w:r>
      <w:r>
        <w:rPr>
          <w:rFonts w:hint="eastAsia" w:ascii="仿宋_GB2312" w:eastAsia="仿宋_GB2312"/>
          <w:sz w:val="32"/>
          <w:szCs w:val="32"/>
          <w:highlight w:val="none"/>
          <w:lang w:eastAsia="zh-CN"/>
        </w:rPr>
        <w:t>（发展与改革事务）</w:t>
      </w:r>
      <w:r>
        <w:rPr>
          <w:rFonts w:hint="eastAsia" w:ascii="仿宋_GB2312" w:eastAsia="仿宋_GB2312"/>
          <w:sz w:val="32"/>
          <w:szCs w:val="32"/>
          <w:highlight w:val="none"/>
          <w:lang w:val="en-US" w:eastAsia="zh-CN"/>
        </w:rPr>
        <w:t>260.88万元，与年初预算212.9</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相比，多</w:t>
      </w:r>
      <w:r>
        <w:rPr>
          <w:rFonts w:hint="eastAsia" w:ascii="仿宋_GB2312" w:eastAsia="仿宋_GB2312"/>
          <w:sz w:val="32"/>
          <w:szCs w:val="32"/>
          <w:highlight w:val="none"/>
          <w:lang w:val="en-US" w:eastAsia="zh-CN"/>
        </w:rPr>
        <w:t>47.98万元</w:t>
      </w:r>
      <w:r>
        <w:rPr>
          <w:rFonts w:hint="eastAsia" w:ascii="仿宋_GB2312" w:eastAsia="仿宋_GB2312"/>
          <w:sz w:val="32"/>
          <w:szCs w:val="32"/>
        </w:rPr>
        <w:t>为年</w:t>
      </w:r>
      <w:r>
        <w:rPr>
          <w:rFonts w:hint="eastAsia" w:ascii="仿宋_GB2312" w:eastAsia="仿宋_GB2312"/>
          <w:sz w:val="32"/>
          <w:szCs w:val="32"/>
          <w:lang w:eastAsia="zh-CN"/>
        </w:rPr>
        <w:t>初</w:t>
      </w:r>
      <w:r>
        <w:rPr>
          <w:rFonts w:hint="eastAsia" w:ascii="仿宋_GB2312" w:eastAsia="仿宋_GB2312"/>
          <w:sz w:val="32"/>
          <w:szCs w:val="32"/>
        </w:rPr>
        <w:t>预算的</w:t>
      </w:r>
      <w:r>
        <w:rPr>
          <w:rFonts w:hint="eastAsia" w:ascii="仿宋_GB2312" w:eastAsia="仿宋_GB2312"/>
          <w:sz w:val="32"/>
          <w:szCs w:val="32"/>
          <w:lang w:val="en-US" w:eastAsia="zh-CN"/>
        </w:rPr>
        <w:t>122.53</w:t>
      </w:r>
      <w:r>
        <w:rPr>
          <w:rFonts w:hint="eastAsia" w:ascii="仿宋_GB2312" w:eastAsia="仿宋_GB2312"/>
          <w:sz w:val="32"/>
          <w:szCs w:val="32"/>
        </w:rPr>
        <w:t>%。决算数与年</w:t>
      </w:r>
      <w:r>
        <w:rPr>
          <w:rFonts w:hint="eastAsia" w:ascii="仿宋_GB2312" w:eastAsia="仿宋_GB2312"/>
          <w:sz w:val="32"/>
          <w:szCs w:val="32"/>
          <w:lang w:eastAsia="zh-CN"/>
        </w:rPr>
        <w:t>初</w:t>
      </w:r>
      <w:r>
        <w:rPr>
          <w:rFonts w:hint="eastAsia" w:ascii="仿宋_GB2312" w:eastAsia="仿宋_GB2312"/>
          <w:sz w:val="32"/>
          <w:szCs w:val="32"/>
        </w:rPr>
        <w:t>预算数存在差异原因如下：</w:t>
      </w:r>
      <w:r>
        <w:rPr>
          <w:rFonts w:hint="eastAsia" w:ascii="仿宋_GB2312" w:eastAsia="仿宋_GB2312"/>
          <w:sz w:val="32"/>
          <w:szCs w:val="32"/>
          <w:lang w:eastAsia="zh-CN"/>
        </w:rPr>
        <w:t>使用上一年度财政结转增人增资伙食补助、</w:t>
      </w:r>
      <w:r>
        <w:rPr>
          <w:rFonts w:hint="eastAsia" w:ascii="仿宋_GB2312" w:eastAsia="仿宋_GB2312"/>
          <w:sz w:val="32"/>
          <w:szCs w:val="32"/>
          <w:lang w:val="en-US" w:eastAsia="zh-CN"/>
        </w:rPr>
        <w:t>2020年人员调资工资上涨故决算数大于年初预算数。</w:t>
      </w:r>
    </w:p>
    <w:p>
      <w:pPr>
        <w:spacing w:line="560" w:lineRule="exact"/>
        <w:ind w:firstLine="435"/>
        <w:rPr>
          <w:rFonts w:hint="eastAsia" w:ascii="仿宋_GB2312" w:eastAsia="仿宋_GB2312"/>
          <w:sz w:val="32"/>
          <w:szCs w:val="32"/>
          <w:highlight w:val="none"/>
        </w:rPr>
      </w:pPr>
      <w:r>
        <w:rPr>
          <w:rFonts w:hint="eastAsia" w:ascii="仿宋_GB2312" w:eastAsia="仿宋_GB2312"/>
          <w:sz w:val="32"/>
          <w:szCs w:val="32"/>
          <w:highlight w:val="none"/>
        </w:rPr>
        <w:t>2、201类04款02项一般行政管理事务</w:t>
      </w:r>
      <w:r>
        <w:rPr>
          <w:rFonts w:hint="eastAsia" w:ascii="仿宋_GB2312" w:eastAsia="仿宋_GB2312"/>
          <w:sz w:val="32"/>
          <w:szCs w:val="32"/>
          <w:highlight w:val="none"/>
          <w:lang w:eastAsia="zh-CN"/>
        </w:rPr>
        <w:t>（发展与改革事务）</w:t>
      </w:r>
      <w:r>
        <w:rPr>
          <w:rFonts w:hint="eastAsia" w:ascii="仿宋_GB2312" w:eastAsia="仿宋_GB2312"/>
          <w:sz w:val="32"/>
          <w:szCs w:val="32"/>
          <w:highlight w:val="none"/>
          <w:lang w:val="en-US" w:eastAsia="zh-CN"/>
        </w:rPr>
        <w:t>40.3</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w:t>
      </w:r>
      <w:r>
        <w:rPr>
          <w:rFonts w:hint="eastAsia" w:ascii="仿宋_GB2312" w:eastAsia="仿宋_GB2312"/>
          <w:sz w:val="32"/>
          <w:szCs w:val="32"/>
          <w:lang w:eastAsia="zh-CN"/>
        </w:rPr>
        <w:t>初</w:t>
      </w:r>
      <w:r>
        <w:rPr>
          <w:rFonts w:hint="eastAsia" w:ascii="仿宋_GB2312" w:eastAsia="仿宋_GB2312"/>
          <w:sz w:val="32"/>
          <w:szCs w:val="32"/>
        </w:rPr>
        <w:t>预算</w:t>
      </w:r>
      <w:r>
        <w:rPr>
          <w:rFonts w:hint="eastAsia" w:ascii="仿宋_GB2312" w:eastAsia="仿宋_GB2312"/>
          <w:sz w:val="32"/>
          <w:szCs w:val="32"/>
          <w:lang w:val="en-US" w:eastAsia="zh-CN"/>
        </w:rPr>
        <w:t>36.71</w:t>
      </w:r>
      <w:r>
        <w:rPr>
          <w:rFonts w:hint="eastAsia" w:ascii="仿宋_GB2312" w:eastAsia="仿宋_GB2312"/>
          <w:sz w:val="32"/>
          <w:szCs w:val="32"/>
        </w:rPr>
        <w:t>万元相比，</w:t>
      </w:r>
      <w:r>
        <w:rPr>
          <w:rFonts w:hint="eastAsia" w:ascii="仿宋_GB2312" w:eastAsia="仿宋_GB2312"/>
          <w:sz w:val="32"/>
          <w:szCs w:val="32"/>
          <w:lang w:eastAsia="zh-CN"/>
        </w:rPr>
        <w:t>多</w:t>
      </w:r>
      <w:r>
        <w:rPr>
          <w:rFonts w:hint="eastAsia" w:ascii="仿宋_GB2312" w:eastAsia="仿宋_GB2312"/>
          <w:sz w:val="32"/>
          <w:szCs w:val="32"/>
          <w:lang w:val="en-US" w:eastAsia="zh-CN"/>
        </w:rPr>
        <w:t>3.59</w:t>
      </w:r>
      <w:r>
        <w:rPr>
          <w:rFonts w:hint="eastAsia" w:ascii="仿宋_GB2312" w:eastAsia="仿宋_GB2312"/>
          <w:sz w:val="32"/>
          <w:szCs w:val="32"/>
        </w:rPr>
        <w:t>万元，为年</w:t>
      </w:r>
      <w:r>
        <w:rPr>
          <w:rFonts w:hint="eastAsia" w:ascii="仿宋_GB2312" w:eastAsia="仿宋_GB2312"/>
          <w:sz w:val="32"/>
          <w:szCs w:val="32"/>
          <w:lang w:eastAsia="zh-CN"/>
        </w:rPr>
        <w:t>初</w:t>
      </w:r>
      <w:r>
        <w:rPr>
          <w:rFonts w:hint="eastAsia" w:ascii="仿宋_GB2312" w:eastAsia="仿宋_GB2312"/>
          <w:sz w:val="32"/>
          <w:szCs w:val="32"/>
        </w:rPr>
        <w:t>预算的</w:t>
      </w:r>
      <w:r>
        <w:rPr>
          <w:rFonts w:hint="eastAsia" w:ascii="仿宋_GB2312" w:eastAsia="仿宋_GB2312"/>
          <w:sz w:val="32"/>
          <w:szCs w:val="32"/>
          <w:lang w:val="en-US" w:eastAsia="zh-CN"/>
        </w:rPr>
        <w:t>109.78</w:t>
      </w:r>
      <w:r>
        <w:rPr>
          <w:rFonts w:hint="eastAsia" w:ascii="仿宋_GB2312" w:eastAsia="仿宋_GB2312"/>
          <w:sz w:val="32"/>
          <w:szCs w:val="32"/>
        </w:rPr>
        <w:t>%。决算数与年</w:t>
      </w:r>
      <w:r>
        <w:rPr>
          <w:rFonts w:hint="eastAsia" w:ascii="仿宋_GB2312" w:eastAsia="仿宋_GB2312"/>
          <w:sz w:val="32"/>
          <w:szCs w:val="32"/>
          <w:lang w:eastAsia="zh-CN"/>
        </w:rPr>
        <w:t>初</w:t>
      </w:r>
      <w:r>
        <w:rPr>
          <w:rFonts w:hint="eastAsia" w:ascii="仿宋_GB2312" w:eastAsia="仿宋_GB2312"/>
          <w:sz w:val="32"/>
          <w:szCs w:val="32"/>
        </w:rPr>
        <w:t>预算数存在差异原因如下：</w:t>
      </w:r>
      <w:r>
        <w:rPr>
          <w:rFonts w:hint="eastAsia" w:ascii="仿宋_GB2312" w:eastAsia="仿宋_GB2312"/>
          <w:sz w:val="32"/>
          <w:szCs w:val="32"/>
          <w:highlight w:val="none"/>
          <w:lang w:eastAsia="zh-CN"/>
        </w:rPr>
        <w:t>主要</w:t>
      </w:r>
      <w:r>
        <w:rPr>
          <w:rFonts w:hint="eastAsia" w:ascii="仿宋_GB2312" w:eastAsia="仿宋_GB2312"/>
          <w:sz w:val="32"/>
          <w:szCs w:val="32"/>
          <w:highlight w:val="none"/>
          <w:lang w:val="en-US" w:eastAsia="zh-CN"/>
        </w:rPr>
        <w:t>由于我中心项目前期调研、策划及资料经费项目上年有少量结转用于今年相关项目支付。故决算数大于年初预算数。</w:t>
      </w:r>
    </w:p>
    <w:p>
      <w:pPr>
        <w:spacing w:line="560" w:lineRule="exact"/>
        <w:ind w:firstLine="435"/>
        <w:rPr>
          <w:rFonts w:hint="eastAsia" w:ascii="仿宋_GB2312" w:eastAsia="仿宋_GB2312"/>
          <w:sz w:val="32"/>
          <w:szCs w:val="32"/>
          <w:lang w:val="en-US" w:eastAsia="zh-CN"/>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、208类05款0</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项</w:t>
      </w:r>
      <w:r>
        <w:rPr>
          <w:rFonts w:hint="eastAsia" w:ascii="仿宋_GB2312" w:eastAsia="仿宋_GB2312"/>
          <w:sz w:val="32"/>
          <w:szCs w:val="32"/>
          <w:highlight w:val="none"/>
          <w:lang w:eastAsia="zh-CN"/>
        </w:rPr>
        <w:t>机关事业单位基本养老保险缴费支出</w:t>
      </w:r>
      <w:r>
        <w:rPr>
          <w:rFonts w:hint="eastAsia" w:ascii="仿宋_GB2312" w:eastAsia="仿宋_GB2312"/>
          <w:sz w:val="32"/>
          <w:szCs w:val="32"/>
          <w:highlight w:val="none"/>
          <w:lang w:val="en-US" w:eastAsia="zh-CN"/>
        </w:rPr>
        <w:t>29.42</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w:t>
      </w:r>
      <w:r>
        <w:rPr>
          <w:rFonts w:hint="eastAsia" w:ascii="仿宋_GB2312" w:eastAsia="仿宋_GB2312"/>
          <w:sz w:val="32"/>
          <w:szCs w:val="32"/>
          <w:lang w:eastAsia="zh-CN"/>
        </w:rPr>
        <w:t>初</w:t>
      </w:r>
      <w:r>
        <w:rPr>
          <w:rFonts w:hint="eastAsia" w:ascii="仿宋_GB2312" w:eastAsia="仿宋_GB2312"/>
          <w:sz w:val="32"/>
          <w:szCs w:val="32"/>
        </w:rPr>
        <w:t>预算</w:t>
      </w:r>
      <w:r>
        <w:rPr>
          <w:rFonts w:hint="eastAsia" w:ascii="仿宋_GB2312" w:eastAsia="仿宋_GB2312"/>
          <w:sz w:val="32"/>
          <w:szCs w:val="32"/>
          <w:highlight w:val="none"/>
          <w:lang w:val="en-US" w:eastAsia="zh-CN"/>
        </w:rPr>
        <w:t>28.85</w:t>
      </w:r>
      <w:r>
        <w:rPr>
          <w:rFonts w:hint="eastAsia" w:ascii="仿宋_GB2312" w:eastAsia="仿宋_GB2312"/>
          <w:sz w:val="32"/>
          <w:szCs w:val="32"/>
        </w:rPr>
        <w:t>万元相比，</w:t>
      </w:r>
      <w:r>
        <w:rPr>
          <w:rFonts w:hint="eastAsia" w:ascii="仿宋_GB2312" w:eastAsia="仿宋_GB2312"/>
          <w:sz w:val="32"/>
          <w:szCs w:val="32"/>
          <w:lang w:eastAsia="zh-CN"/>
        </w:rPr>
        <w:t>多</w:t>
      </w:r>
      <w:r>
        <w:rPr>
          <w:rFonts w:hint="eastAsia" w:ascii="仿宋_GB2312" w:eastAsia="仿宋_GB2312"/>
          <w:sz w:val="32"/>
          <w:szCs w:val="32"/>
          <w:lang w:val="en-US" w:eastAsia="zh-CN"/>
        </w:rPr>
        <w:t>0.57</w:t>
      </w:r>
      <w:r>
        <w:rPr>
          <w:rFonts w:hint="eastAsia" w:ascii="仿宋_GB2312" w:eastAsia="仿宋_GB2312"/>
          <w:sz w:val="32"/>
          <w:szCs w:val="32"/>
        </w:rPr>
        <w:t>万元，为年</w:t>
      </w:r>
      <w:r>
        <w:rPr>
          <w:rFonts w:hint="eastAsia" w:ascii="仿宋_GB2312" w:eastAsia="仿宋_GB2312"/>
          <w:sz w:val="32"/>
          <w:szCs w:val="32"/>
          <w:lang w:eastAsia="zh-CN"/>
        </w:rPr>
        <w:t>初</w:t>
      </w:r>
      <w:r>
        <w:rPr>
          <w:rFonts w:hint="eastAsia" w:ascii="仿宋_GB2312" w:eastAsia="仿宋_GB2312"/>
          <w:sz w:val="32"/>
          <w:szCs w:val="32"/>
        </w:rPr>
        <w:t>预算的</w:t>
      </w:r>
      <w:r>
        <w:rPr>
          <w:rFonts w:hint="eastAsia" w:ascii="仿宋_GB2312" w:eastAsia="仿宋_GB2312"/>
          <w:sz w:val="32"/>
          <w:szCs w:val="32"/>
          <w:lang w:val="en-US" w:eastAsia="zh-CN"/>
        </w:rPr>
        <w:t>101.98</w:t>
      </w:r>
      <w:r>
        <w:rPr>
          <w:rFonts w:hint="eastAsia" w:ascii="仿宋_GB2312" w:eastAsia="仿宋_GB2312"/>
          <w:sz w:val="32"/>
          <w:szCs w:val="32"/>
        </w:rPr>
        <w:t>%。决算数与年</w:t>
      </w:r>
      <w:r>
        <w:rPr>
          <w:rFonts w:hint="eastAsia" w:ascii="仿宋_GB2312" w:eastAsia="仿宋_GB2312"/>
          <w:sz w:val="32"/>
          <w:szCs w:val="32"/>
          <w:lang w:eastAsia="zh-CN"/>
        </w:rPr>
        <w:t>初</w:t>
      </w:r>
      <w:r>
        <w:rPr>
          <w:rFonts w:hint="eastAsia" w:ascii="仿宋_GB2312" w:eastAsia="仿宋_GB2312"/>
          <w:sz w:val="32"/>
          <w:szCs w:val="32"/>
        </w:rPr>
        <w:t>预算数存在差异原因如下：</w:t>
      </w:r>
      <w:r>
        <w:rPr>
          <w:rFonts w:hint="eastAsia" w:ascii="仿宋_GB2312" w:eastAsia="仿宋_GB2312"/>
          <w:sz w:val="32"/>
          <w:szCs w:val="32"/>
          <w:lang w:eastAsia="zh-CN"/>
        </w:rPr>
        <w:t>财政补充下达</w:t>
      </w:r>
      <w:r>
        <w:rPr>
          <w:rFonts w:hint="eastAsia" w:ascii="仿宋_GB2312" w:eastAsia="仿宋_GB2312"/>
          <w:sz w:val="32"/>
          <w:szCs w:val="32"/>
          <w:lang w:val="en-US" w:eastAsia="zh-CN"/>
        </w:rPr>
        <w:t>2019年未拨付养老保险缴费支出</w:t>
      </w:r>
      <w:r>
        <w:rPr>
          <w:rFonts w:hint="eastAsia" w:ascii="仿宋_GB2312" w:eastAsia="仿宋_GB2312"/>
          <w:sz w:val="32"/>
          <w:szCs w:val="32"/>
          <w:lang w:eastAsia="zh-CN"/>
        </w:rPr>
        <w:t>，故决算数大于年初预算数</w:t>
      </w:r>
      <w:r>
        <w:rPr>
          <w:rFonts w:hint="eastAsia" w:ascii="仿宋_GB2312" w:eastAsia="仿宋_GB2312"/>
          <w:sz w:val="32"/>
          <w:szCs w:val="32"/>
          <w:lang w:val="en-US" w:eastAsia="zh-CN"/>
        </w:rPr>
        <w:t>。</w:t>
      </w:r>
    </w:p>
    <w:p>
      <w:pPr>
        <w:spacing w:line="560" w:lineRule="exact"/>
        <w:ind w:firstLine="435"/>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、208类05款0</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机关事业单位职业年金缴费支出14.43</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w:t>
      </w:r>
      <w:r>
        <w:rPr>
          <w:rFonts w:hint="eastAsia" w:ascii="仿宋_GB2312" w:eastAsia="仿宋_GB2312"/>
          <w:sz w:val="32"/>
          <w:szCs w:val="32"/>
          <w:lang w:eastAsia="zh-CN"/>
        </w:rPr>
        <w:t>初</w:t>
      </w:r>
      <w:r>
        <w:rPr>
          <w:rFonts w:hint="eastAsia" w:ascii="仿宋_GB2312" w:eastAsia="仿宋_GB2312"/>
          <w:sz w:val="32"/>
          <w:szCs w:val="32"/>
        </w:rPr>
        <w:t>预算</w:t>
      </w:r>
      <w:r>
        <w:rPr>
          <w:rFonts w:hint="eastAsia" w:ascii="仿宋_GB2312" w:eastAsia="仿宋_GB2312"/>
          <w:sz w:val="32"/>
          <w:szCs w:val="32"/>
          <w:lang w:val="en-US" w:eastAsia="zh-CN"/>
        </w:rPr>
        <w:t>14.43</w:t>
      </w:r>
      <w:r>
        <w:rPr>
          <w:rFonts w:hint="eastAsia" w:ascii="仿宋_GB2312" w:eastAsia="仿宋_GB2312"/>
          <w:sz w:val="32"/>
          <w:szCs w:val="32"/>
        </w:rPr>
        <w:t>万元相比</w:t>
      </w:r>
      <w:r>
        <w:rPr>
          <w:rFonts w:hint="eastAsia" w:ascii="仿宋_GB2312" w:eastAsia="仿宋_GB2312"/>
          <w:sz w:val="32"/>
          <w:szCs w:val="32"/>
          <w:lang w:eastAsia="zh-CN"/>
        </w:rPr>
        <w:t>持平</w:t>
      </w:r>
      <w:r>
        <w:rPr>
          <w:rFonts w:hint="eastAsia" w:ascii="仿宋_GB2312" w:eastAsia="仿宋_GB2312"/>
          <w:sz w:val="32"/>
          <w:szCs w:val="32"/>
        </w:rPr>
        <w:t>，为年</w:t>
      </w:r>
      <w:r>
        <w:rPr>
          <w:rFonts w:hint="eastAsia" w:ascii="仿宋_GB2312" w:eastAsia="仿宋_GB2312"/>
          <w:sz w:val="32"/>
          <w:szCs w:val="32"/>
          <w:lang w:eastAsia="zh-CN"/>
        </w:rPr>
        <w:t>初</w:t>
      </w:r>
      <w:r>
        <w:rPr>
          <w:rFonts w:hint="eastAsia" w:ascii="仿宋_GB2312" w:eastAsia="仿宋_GB2312"/>
          <w:sz w:val="32"/>
          <w:szCs w:val="32"/>
        </w:rPr>
        <w:t>预算的</w:t>
      </w:r>
      <w:r>
        <w:rPr>
          <w:rFonts w:hint="eastAsia" w:ascii="仿宋_GB2312" w:eastAsia="仿宋_GB2312"/>
          <w:sz w:val="32"/>
          <w:szCs w:val="32"/>
          <w:lang w:val="en-US" w:eastAsia="zh-CN"/>
        </w:rPr>
        <w:t>100</w:t>
      </w:r>
      <w:r>
        <w:rPr>
          <w:rFonts w:hint="eastAsia" w:ascii="仿宋_GB2312" w:eastAsia="仿宋_GB2312"/>
          <w:sz w:val="32"/>
          <w:szCs w:val="32"/>
        </w:rPr>
        <w:t>%。</w:t>
      </w:r>
    </w:p>
    <w:p>
      <w:pPr>
        <w:spacing w:line="560" w:lineRule="exact"/>
        <w:ind w:firstLine="435"/>
        <w:rPr>
          <w:rFonts w:hint="eastAsia" w:ascii="仿宋_GB2312" w:eastAsia="仿宋_GB2312"/>
          <w:sz w:val="32"/>
          <w:szCs w:val="32"/>
          <w:highlight w:val="none"/>
        </w:rPr>
      </w:pP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、210类</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款01项行政单位医疗</w:t>
      </w:r>
      <w:r>
        <w:rPr>
          <w:rFonts w:hint="eastAsia" w:ascii="仿宋_GB2312" w:eastAsia="仿宋_GB2312"/>
          <w:sz w:val="32"/>
          <w:szCs w:val="32"/>
          <w:highlight w:val="none"/>
          <w:lang w:val="en-US" w:eastAsia="zh-CN"/>
        </w:rPr>
        <w:t>21.36</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w:t>
      </w:r>
      <w:r>
        <w:rPr>
          <w:rFonts w:hint="eastAsia" w:ascii="仿宋_GB2312" w:eastAsia="仿宋_GB2312"/>
          <w:sz w:val="32"/>
          <w:szCs w:val="32"/>
          <w:lang w:eastAsia="zh-CN"/>
        </w:rPr>
        <w:t>初</w:t>
      </w:r>
      <w:r>
        <w:rPr>
          <w:rFonts w:hint="eastAsia" w:ascii="仿宋_GB2312" w:eastAsia="仿宋_GB2312"/>
          <w:sz w:val="32"/>
          <w:szCs w:val="32"/>
        </w:rPr>
        <w:t>预算</w:t>
      </w:r>
      <w:r>
        <w:rPr>
          <w:rFonts w:hint="eastAsia" w:ascii="仿宋_GB2312" w:eastAsia="仿宋_GB2312"/>
          <w:sz w:val="32"/>
          <w:szCs w:val="32"/>
          <w:lang w:val="en-US" w:eastAsia="zh-CN"/>
        </w:rPr>
        <w:t>13.52</w:t>
      </w:r>
      <w:r>
        <w:rPr>
          <w:rFonts w:hint="eastAsia" w:ascii="仿宋_GB2312" w:eastAsia="仿宋_GB2312"/>
          <w:sz w:val="32"/>
          <w:szCs w:val="32"/>
        </w:rPr>
        <w:t>万元相比</w:t>
      </w:r>
      <w:r>
        <w:rPr>
          <w:rFonts w:hint="eastAsia" w:ascii="仿宋_GB2312" w:eastAsia="仿宋_GB2312"/>
          <w:sz w:val="32"/>
          <w:szCs w:val="32"/>
          <w:lang w:eastAsia="zh-CN"/>
        </w:rPr>
        <w:t>，多</w:t>
      </w:r>
      <w:r>
        <w:rPr>
          <w:rFonts w:hint="eastAsia" w:ascii="仿宋_GB2312" w:eastAsia="仿宋_GB2312"/>
          <w:sz w:val="32"/>
          <w:szCs w:val="32"/>
          <w:lang w:val="en-US" w:eastAsia="zh-CN"/>
        </w:rPr>
        <w:t>7.84万元，为年初预算的157.99%</w:t>
      </w:r>
      <w:r>
        <w:rPr>
          <w:rFonts w:hint="eastAsia" w:ascii="仿宋_GB2312" w:eastAsia="仿宋_GB2312"/>
          <w:sz w:val="32"/>
          <w:szCs w:val="32"/>
        </w:rPr>
        <w:t>。决算数与年</w:t>
      </w:r>
      <w:r>
        <w:rPr>
          <w:rFonts w:hint="eastAsia" w:ascii="仿宋_GB2312" w:eastAsia="仿宋_GB2312"/>
          <w:sz w:val="32"/>
          <w:szCs w:val="32"/>
          <w:lang w:eastAsia="zh-CN"/>
        </w:rPr>
        <w:t>初</w:t>
      </w:r>
      <w:r>
        <w:rPr>
          <w:rFonts w:hint="eastAsia" w:ascii="仿宋_GB2312" w:eastAsia="仿宋_GB2312"/>
          <w:sz w:val="32"/>
          <w:szCs w:val="32"/>
        </w:rPr>
        <w:t>预算数存在差异原因如下：</w:t>
      </w:r>
      <w:r>
        <w:rPr>
          <w:rFonts w:hint="eastAsia" w:ascii="仿宋_GB2312" w:eastAsia="仿宋_GB2312"/>
          <w:sz w:val="32"/>
          <w:szCs w:val="32"/>
          <w:lang w:eastAsia="zh-CN"/>
        </w:rPr>
        <w:t>财政补充下达</w:t>
      </w:r>
      <w:r>
        <w:rPr>
          <w:rFonts w:hint="eastAsia" w:ascii="仿宋_GB2312" w:eastAsia="仿宋_GB2312"/>
          <w:sz w:val="32"/>
          <w:szCs w:val="32"/>
          <w:lang w:val="en-US" w:eastAsia="zh-CN"/>
        </w:rPr>
        <w:t>2019年未拨付行政单位医疗支出</w:t>
      </w:r>
      <w:r>
        <w:rPr>
          <w:rFonts w:hint="eastAsia" w:ascii="仿宋_GB2312" w:eastAsia="仿宋_GB2312"/>
          <w:sz w:val="32"/>
          <w:szCs w:val="32"/>
          <w:lang w:eastAsia="zh-CN"/>
        </w:rPr>
        <w:t>，故决算数大于年初预算数</w:t>
      </w:r>
      <w:r>
        <w:rPr>
          <w:rFonts w:hint="eastAsia" w:ascii="仿宋_GB2312" w:eastAsia="仿宋_GB2312"/>
          <w:sz w:val="32"/>
          <w:szCs w:val="32"/>
          <w:lang w:val="en-US" w:eastAsia="zh-CN"/>
        </w:rPr>
        <w:t>。</w:t>
      </w:r>
    </w:p>
    <w:p>
      <w:pPr>
        <w:spacing w:line="560" w:lineRule="exact"/>
        <w:ind w:firstLine="633" w:firstLineChars="198"/>
        <w:rPr>
          <w:rFonts w:hint="eastAsia" w:ascii="仿宋_GB2312" w:eastAsia="仿宋_GB2312"/>
          <w:sz w:val="32"/>
          <w:szCs w:val="32"/>
          <w:lang w:eastAsia="zh-CN"/>
        </w:rPr>
      </w:pP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、210类</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款0</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项</w:t>
      </w:r>
      <w:r>
        <w:rPr>
          <w:rFonts w:hint="eastAsia" w:ascii="仿宋_GB2312" w:eastAsia="仿宋_GB2312"/>
          <w:sz w:val="32"/>
          <w:szCs w:val="32"/>
          <w:highlight w:val="none"/>
          <w:lang w:eastAsia="zh-CN"/>
        </w:rPr>
        <w:t>公务员医疗补助</w:t>
      </w:r>
      <w:r>
        <w:rPr>
          <w:rFonts w:hint="eastAsia" w:ascii="仿宋_GB2312" w:eastAsia="仿宋_GB2312"/>
          <w:sz w:val="32"/>
          <w:szCs w:val="32"/>
          <w:highlight w:val="none"/>
          <w:lang w:val="en-US" w:eastAsia="zh-CN"/>
        </w:rPr>
        <w:t>7.59</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w:t>
      </w:r>
      <w:r>
        <w:rPr>
          <w:rFonts w:hint="eastAsia" w:ascii="仿宋_GB2312" w:eastAsia="仿宋_GB2312"/>
          <w:sz w:val="32"/>
          <w:szCs w:val="32"/>
          <w:lang w:eastAsia="zh-CN"/>
        </w:rPr>
        <w:t>初</w:t>
      </w:r>
      <w:r>
        <w:rPr>
          <w:rFonts w:hint="eastAsia" w:ascii="仿宋_GB2312" w:eastAsia="仿宋_GB2312"/>
          <w:sz w:val="32"/>
          <w:szCs w:val="32"/>
        </w:rPr>
        <w:t>预算</w:t>
      </w:r>
      <w:r>
        <w:rPr>
          <w:rFonts w:hint="eastAsia" w:ascii="仿宋_GB2312" w:eastAsia="仿宋_GB2312"/>
          <w:sz w:val="32"/>
          <w:szCs w:val="32"/>
          <w:lang w:val="en-US" w:eastAsia="zh-CN"/>
        </w:rPr>
        <w:t>9.21</w:t>
      </w:r>
      <w:r>
        <w:rPr>
          <w:rFonts w:hint="eastAsia" w:ascii="仿宋_GB2312" w:eastAsia="仿宋_GB2312"/>
          <w:sz w:val="32"/>
          <w:szCs w:val="32"/>
        </w:rPr>
        <w:t>万元相比</w:t>
      </w:r>
      <w:r>
        <w:rPr>
          <w:rFonts w:hint="eastAsia" w:ascii="仿宋_GB2312" w:eastAsia="仿宋_GB2312"/>
          <w:sz w:val="32"/>
          <w:szCs w:val="32"/>
          <w:lang w:eastAsia="zh-CN"/>
        </w:rPr>
        <w:t>，少</w:t>
      </w:r>
      <w:r>
        <w:rPr>
          <w:rFonts w:hint="eastAsia" w:ascii="仿宋_GB2312" w:eastAsia="仿宋_GB2312"/>
          <w:sz w:val="32"/>
          <w:szCs w:val="32"/>
          <w:lang w:val="en-US" w:eastAsia="zh-CN"/>
        </w:rPr>
        <w:t>1.62万元，为年初预算的82.41%。</w:t>
      </w:r>
    </w:p>
    <w:p>
      <w:pPr>
        <w:spacing w:line="560" w:lineRule="exact"/>
        <w:ind w:firstLine="633" w:firstLineChars="198"/>
        <w:rPr>
          <w:rFonts w:hint="eastAsia" w:ascii="仿宋_GB2312" w:eastAsia="仿宋_GB2312"/>
          <w:sz w:val="32"/>
          <w:szCs w:val="32"/>
          <w:highlight w:val="none"/>
        </w:rPr>
      </w:pP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、221类02款01项住房公积金</w:t>
      </w:r>
      <w:r>
        <w:rPr>
          <w:rFonts w:hint="eastAsia" w:ascii="仿宋_GB2312" w:eastAsia="仿宋_GB2312"/>
          <w:sz w:val="32"/>
          <w:szCs w:val="32"/>
          <w:highlight w:val="none"/>
          <w:lang w:val="en-US" w:eastAsia="zh-CN"/>
        </w:rPr>
        <w:t>21.49</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w:t>
      </w:r>
      <w:r>
        <w:rPr>
          <w:rFonts w:hint="eastAsia" w:ascii="仿宋_GB2312" w:eastAsia="仿宋_GB2312"/>
          <w:sz w:val="32"/>
          <w:szCs w:val="32"/>
          <w:lang w:eastAsia="zh-CN"/>
        </w:rPr>
        <w:t>初</w:t>
      </w:r>
      <w:r>
        <w:rPr>
          <w:rFonts w:hint="eastAsia" w:ascii="仿宋_GB2312" w:eastAsia="仿宋_GB2312"/>
          <w:sz w:val="32"/>
          <w:szCs w:val="32"/>
        </w:rPr>
        <w:t>预算</w:t>
      </w:r>
      <w:r>
        <w:rPr>
          <w:rFonts w:hint="eastAsia" w:ascii="仿宋_GB2312" w:eastAsia="仿宋_GB2312"/>
          <w:sz w:val="32"/>
          <w:szCs w:val="32"/>
          <w:lang w:val="en-US" w:eastAsia="zh-CN"/>
        </w:rPr>
        <w:t>21.64</w:t>
      </w:r>
      <w:r>
        <w:rPr>
          <w:rFonts w:hint="eastAsia" w:ascii="仿宋_GB2312" w:eastAsia="仿宋_GB2312"/>
          <w:sz w:val="32"/>
          <w:szCs w:val="32"/>
        </w:rPr>
        <w:t>万元相比</w:t>
      </w:r>
      <w:r>
        <w:rPr>
          <w:rFonts w:hint="eastAsia" w:ascii="仿宋_GB2312" w:eastAsia="仿宋_GB2312"/>
          <w:sz w:val="32"/>
          <w:szCs w:val="32"/>
          <w:lang w:eastAsia="zh-CN"/>
        </w:rPr>
        <w:t>，少</w:t>
      </w:r>
      <w:r>
        <w:rPr>
          <w:rFonts w:hint="eastAsia" w:ascii="仿宋_GB2312" w:eastAsia="仿宋_GB2312"/>
          <w:sz w:val="32"/>
          <w:szCs w:val="32"/>
          <w:lang w:val="en-US" w:eastAsia="zh-CN"/>
        </w:rPr>
        <w:t>0.15万元，为年初预算的99.31%。</w:t>
      </w:r>
    </w:p>
    <w:p>
      <w:pPr>
        <w:spacing w:line="560" w:lineRule="exact"/>
        <w:ind w:firstLine="633" w:firstLineChars="198"/>
        <w:rPr>
          <w:rFonts w:hint="eastAsia" w:ascii="仿宋_GB2312" w:eastAsia="仿宋_GB2312"/>
          <w:sz w:val="32"/>
          <w:szCs w:val="32"/>
          <w:highlight w:val="none"/>
          <w:lang w:val="en-US"/>
        </w:rPr>
      </w:pP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、221类02款03项</w:t>
      </w:r>
      <w:r>
        <w:rPr>
          <w:rFonts w:hint="eastAsia" w:ascii="仿宋_GB2312" w:eastAsia="仿宋_GB2312"/>
          <w:sz w:val="32"/>
          <w:szCs w:val="32"/>
          <w:highlight w:val="none"/>
          <w:lang w:eastAsia="zh-CN"/>
        </w:rPr>
        <w:t>购</w:t>
      </w:r>
      <w:r>
        <w:rPr>
          <w:rFonts w:hint="eastAsia" w:ascii="仿宋_GB2312" w:eastAsia="仿宋_GB2312"/>
          <w:sz w:val="32"/>
          <w:szCs w:val="32"/>
          <w:highlight w:val="none"/>
        </w:rPr>
        <w:t>房补贴</w:t>
      </w:r>
      <w:r>
        <w:rPr>
          <w:rFonts w:hint="eastAsia" w:ascii="仿宋_GB2312" w:eastAsia="仿宋_GB2312"/>
          <w:sz w:val="32"/>
          <w:szCs w:val="32"/>
          <w:highlight w:val="none"/>
          <w:lang w:val="en-US" w:eastAsia="zh-CN"/>
        </w:rPr>
        <w:t>0.88</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rPr>
        <w:t>与年</w:t>
      </w:r>
      <w:r>
        <w:rPr>
          <w:rFonts w:hint="eastAsia" w:ascii="仿宋_GB2312" w:eastAsia="仿宋_GB2312"/>
          <w:sz w:val="32"/>
          <w:szCs w:val="32"/>
          <w:lang w:eastAsia="zh-CN"/>
        </w:rPr>
        <w:t>初</w:t>
      </w:r>
      <w:r>
        <w:rPr>
          <w:rFonts w:hint="eastAsia" w:ascii="仿宋_GB2312" w:eastAsia="仿宋_GB2312"/>
          <w:sz w:val="32"/>
          <w:szCs w:val="32"/>
        </w:rPr>
        <w:t>预算</w:t>
      </w:r>
      <w:r>
        <w:rPr>
          <w:rFonts w:hint="eastAsia" w:ascii="仿宋_GB2312" w:eastAsia="仿宋_GB2312"/>
          <w:sz w:val="32"/>
          <w:szCs w:val="32"/>
          <w:lang w:val="en-US" w:eastAsia="zh-CN"/>
        </w:rPr>
        <w:t>0</w:t>
      </w:r>
      <w:r>
        <w:rPr>
          <w:rFonts w:hint="eastAsia" w:ascii="仿宋_GB2312" w:eastAsia="仿宋_GB2312"/>
          <w:sz w:val="32"/>
          <w:szCs w:val="32"/>
        </w:rPr>
        <w:t>万元相比</w:t>
      </w:r>
      <w:r>
        <w:rPr>
          <w:rFonts w:hint="eastAsia" w:ascii="仿宋_GB2312" w:eastAsia="仿宋_GB2312"/>
          <w:sz w:val="32"/>
          <w:szCs w:val="32"/>
          <w:lang w:eastAsia="zh-CN"/>
        </w:rPr>
        <w:t>，多</w:t>
      </w:r>
      <w:r>
        <w:rPr>
          <w:rFonts w:hint="eastAsia" w:ascii="仿宋_GB2312" w:eastAsia="仿宋_GB2312"/>
          <w:sz w:val="32"/>
          <w:szCs w:val="32"/>
          <w:lang w:val="en-US" w:eastAsia="zh-CN"/>
        </w:rPr>
        <w:t>0.88万元，</w:t>
      </w:r>
      <w:r>
        <w:rPr>
          <w:rFonts w:hint="eastAsia" w:ascii="仿宋_GB2312" w:eastAsia="仿宋_GB2312"/>
          <w:sz w:val="32"/>
          <w:szCs w:val="32"/>
        </w:rPr>
        <w:t>决算数与年</w:t>
      </w:r>
      <w:r>
        <w:rPr>
          <w:rFonts w:hint="eastAsia" w:ascii="仿宋_GB2312" w:eastAsia="仿宋_GB2312"/>
          <w:sz w:val="32"/>
          <w:szCs w:val="32"/>
          <w:lang w:eastAsia="zh-CN"/>
        </w:rPr>
        <w:t>初</w:t>
      </w:r>
      <w:r>
        <w:rPr>
          <w:rFonts w:hint="eastAsia" w:ascii="仿宋_GB2312" w:eastAsia="仿宋_GB2312"/>
          <w:sz w:val="32"/>
          <w:szCs w:val="32"/>
        </w:rPr>
        <w:t>预算数存在差异原因如下：</w:t>
      </w:r>
      <w:r>
        <w:rPr>
          <w:rFonts w:hint="eastAsia" w:ascii="仿宋_GB2312" w:eastAsia="仿宋_GB2312"/>
          <w:sz w:val="32"/>
          <w:szCs w:val="32"/>
          <w:lang w:eastAsia="zh-CN"/>
        </w:rPr>
        <w:t>财政于年中下达购房补贴相关指标，故年初预算金额为</w:t>
      </w:r>
      <w:r>
        <w:rPr>
          <w:rFonts w:hint="eastAsia" w:ascii="仿宋_GB2312" w:eastAsia="仿宋_GB2312"/>
          <w:sz w:val="32"/>
          <w:szCs w:val="32"/>
          <w:lang w:val="en-US" w:eastAsia="zh-CN"/>
        </w:rPr>
        <w:t>0。</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308.15</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w:t>
      </w:r>
      <w:r>
        <w:rPr>
          <w:rFonts w:hint="eastAsia" w:ascii="仿宋_GB2312" w:eastAsia="仿宋_GB2312" w:cs="仿宋_GB2312"/>
          <w:bCs/>
          <w:kern w:val="0"/>
          <w:sz w:val="32"/>
          <w:szCs w:val="32"/>
          <w:lang w:val="en-US" w:eastAsia="zh-CN"/>
        </w:rPr>
        <w:t>259.5</w:t>
      </w:r>
      <w:r>
        <w:rPr>
          <w:rFonts w:hint="eastAsia" w:ascii="仿宋_GB2312" w:eastAsia="仿宋_GB2312" w:cs="仿宋_GB2312"/>
          <w:bCs/>
          <w:kern w:val="0"/>
          <w:sz w:val="32"/>
          <w:szCs w:val="32"/>
        </w:rPr>
        <w:t>万元，主要包括：基本工资</w:t>
      </w:r>
      <w:r>
        <w:rPr>
          <w:rFonts w:hint="eastAsia" w:ascii="仿宋_GB2312" w:eastAsia="仿宋_GB2312" w:cs="仿宋_GB2312"/>
          <w:bCs/>
          <w:kern w:val="0"/>
          <w:sz w:val="32"/>
          <w:szCs w:val="32"/>
          <w:lang w:val="en-US" w:eastAsia="zh-CN"/>
        </w:rPr>
        <w:t>50.07万元</w:t>
      </w:r>
      <w:r>
        <w:rPr>
          <w:rFonts w:hint="eastAsia" w:ascii="仿宋_GB2312" w:eastAsia="仿宋_GB2312" w:cs="仿宋_GB2312"/>
          <w:bCs/>
          <w:kern w:val="0"/>
          <w:sz w:val="32"/>
          <w:szCs w:val="32"/>
        </w:rPr>
        <w:t>、津贴补贴</w:t>
      </w:r>
      <w:r>
        <w:rPr>
          <w:rFonts w:hint="eastAsia" w:ascii="仿宋_GB2312" w:eastAsia="仿宋_GB2312" w:cs="仿宋_GB2312"/>
          <w:bCs/>
          <w:kern w:val="0"/>
          <w:sz w:val="32"/>
          <w:szCs w:val="32"/>
          <w:lang w:val="en-US" w:eastAsia="zh-CN"/>
        </w:rPr>
        <w:t>42.25万元</w:t>
      </w:r>
      <w:r>
        <w:rPr>
          <w:rFonts w:hint="eastAsia" w:ascii="仿宋_GB2312" w:eastAsia="仿宋_GB2312" w:cs="仿宋_GB2312"/>
          <w:bCs/>
          <w:kern w:val="0"/>
          <w:sz w:val="32"/>
          <w:szCs w:val="32"/>
        </w:rPr>
        <w:t>、 奖金</w:t>
      </w:r>
      <w:r>
        <w:rPr>
          <w:rFonts w:hint="eastAsia" w:ascii="仿宋_GB2312" w:eastAsia="仿宋_GB2312" w:cs="仿宋_GB2312"/>
          <w:bCs/>
          <w:kern w:val="0"/>
          <w:sz w:val="32"/>
          <w:szCs w:val="32"/>
          <w:lang w:val="en-US" w:eastAsia="zh-CN"/>
        </w:rPr>
        <w:t>77.47万元</w:t>
      </w:r>
      <w:r>
        <w:rPr>
          <w:rFonts w:hint="eastAsia" w:ascii="仿宋_GB2312" w:eastAsia="仿宋_GB2312" w:cs="仿宋_GB2312"/>
          <w:bCs/>
          <w:kern w:val="0"/>
          <w:sz w:val="32"/>
          <w:szCs w:val="32"/>
        </w:rPr>
        <w:t>、机关事业单位基本养老保险缴费</w:t>
      </w:r>
      <w:r>
        <w:rPr>
          <w:rFonts w:hint="eastAsia" w:ascii="仿宋_GB2312" w:eastAsia="仿宋_GB2312" w:cs="仿宋_GB2312"/>
          <w:bCs/>
          <w:kern w:val="0"/>
          <w:sz w:val="32"/>
          <w:szCs w:val="32"/>
          <w:lang w:val="en-US" w:eastAsia="zh-CN"/>
        </w:rPr>
        <w:t>29.42万元</w:t>
      </w:r>
      <w:r>
        <w:rPr>
          <w:rFonts w:hint="eastAsia" w:ascii="仿宋_GB2312" w:eastAsia="仿宋_GB2312" w:cs="仿宋_GB2312"/>
          <w:bCs/>
          <w:kern w:val="0"/>
          <w:sz w:val="32"/>
          <w:szCs w:val="32"/>
        </w:rPr>
        <w:t>、职业年金缴费</w:t>
      </w:r>
      <w:r>
        <w:rPr>
          <w:rFonts w:hint="eastAsia" w:ascii="仿宋_GB2312" w:eastAsia="仿宋_GB2312" w:cs="仿宋_GB2312"/>
          <w:bCs/>
          <w:kern w:val="0"/>
          <w:sz w:val="32"/>
          <w:szCs w:val="32"/>
          <w:lang w:val="en-US" w:eastAsia="zh-CN"/>
        </w:rPr>
        <w:t>14.43万元</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职工基本医疗保险缴费</w:t>
      </w:r>
      <w:r>
        <w:rPr>
          <w:rFonts w:hint="eastAsia" w:ascii="仿宋_GB2312" w:eastAsia="仿宋_GB2312" w:cs="仿宋_GB2312"/>
          <w:bCs/>
          <w:kern w:val="0"/>
          <w:sz w:val="32"/>
          <w:szCs w:val="32"/>
          <w:lang w:val="en-US" w:eastAsia="zh-CN"/>
        </w:rPr>
        <w:t>13.77万元、公务员医疗补助缴费7.59万元、</w:t>
      </w:r>
      <w:r>
        <w:rPr>
          <w:rFonts w:hint="eastAsia" w:ascii="仿宋_GB2312" w:eastAsia="仿宋_GB2312" w:cs="仿宋_GB2312"/>
          <w:bCs/>
          <w:kern w:val="0"/>
          <w:sz w:val="32"/>
          <w:szCs w:val="32"/>
        </w:rPr>
        <w:t>其他社会保障缴费</w:t>
      </w:r>
      <w:r>
        <w:rPr>
          <w:rFonts w:hint="eastAsia" w:ascii="仿宋_GB2312" w:eastAsia="仿宋_GB2312" w:cs="仿宋_GB2312"/>
          <w:bCs/>
          <w:kern w:val="0"/>
          <w:sz w:val="32"/>
          <w:szCs w:val="32"/>
          <w:lang w:val="en-US" w:eastAsia="zh-CN"/>
        </w:rPr>
        <w:t>3.02万元、</w:t>
      </w:r>
      <w:r>
        <w:rPr>
          <w:rFonts w:hint="eastAsia" w:ascii="仿宋_GB2312" w:eastAsia="仿宋_GB2312" w:cs="仿宋_GB2312"/>
          <w:bCs/>
          <w:kern w:val="0"/>
          <w:sz w:val="32"/>
          <w:szCs w:val="32"/>
        </w:rPr>
        <w:t>住房公积金</w:t>
      </w:r>
      <w:r>
        <w:rPr>
          <w:rFonts w:hint="eastAsia" w:ascii="仿宋_GB2312" w:eastAsia="仿宋_GB2312" w:cs="仿宋_GB2312"/>
          <w:bCs/>
          <w:kern w:val="0"/>
          <w:sz w:val="32"/>
          <w:szCs w:val="32"/>
          <w:lang w:val="en-US" w:eastAsia="zh-CN"/>
        </w:rPr>
        <w:t>21.49万元；</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48.65</w:t>
      </w:r>
      <w:r>
        <w:rPr>
          <w:rFonts w:hint="eastAsia" w:ascii="仿宋_GB2312" w:eastAsia="仿宋_GB2312" w:cs="仿宋_GB2312"/>
          <w:bCs/>
          <w:kern w:val="0"/>
          <w:sz w:val="32"/>
          <w:szCs w:val="32"/>
        </w:rPr>
        <w:t>万元，主要 包括：办公费</w:t>
      </w:r>
      <w:r>
        <w:rPr>
          <w:rFonts w:hint="eastAsia" w:ascii="仿宋_GB2312" w:eastAsia="仿宋_GB2312" w:cs="仿宋_GB2312"/>
          <w:bCs/>
          <w:kern w:val="0"/>
          <w:sz w:val="32"/>
          <w:szCs w:val="32"/>
          <w:lang w:val="en-US" w:eastAsia="zh-CN"/>
        </w:rPr>
        <w:t>7.46万元</w:t>
      </w:r>
      <w:r>
        <w:rPr>
          <w:rFonts w:hint="eastAsia" w:ascii="仿宋_GB2312" w:eastAsia="仿宋_GB2312" w:cs="仿宋_GB2312"/>
          <w:bCs/>
          <w:kern w:val="0"/>
          <w:sz w:val="32"/>
          <w:szCs w:val="32"/>
        </w:rPr>
        <w:t>、印刷费</w:t>
      </w:r>
      <w:r>
        <w:rPr>
          <w:rFonts w:hint="eastAsia" w:ascii="仿宋_GB2312" w:eastAsia="仿宋_GB2312" w:cs="仿宋_GB2312"/>
          <w:bCs/>
          <w:kern w:val="0"/>
          <w:sz w:val="32"/>
          <w:szCs w:val="32"/>
          <w:lang w:val="en-US" w:eastAsia="zh-CN"/>
        </w:rPr>
        <w:t>0.57万元</w:t>
      </w:r>
      <w:r>
        <w:rPr>
          <w:rFonts w:hint="eastAsia" w:ascii="仿宋_GB2312" w:eastAsia="仿宋_GB2312" w:cs="仿宋_GB2312"/>
          <w:bCs/>
          <w:kern w:val="0"/>
          <w:sz w:val="32"/>
          <w:szCs w:val="32"/>
        </w:rPr>
        <w:t>、邮电费</w:t>
      </w:r>
      <w:r>
        <w:rPr>
          <w:rFonts w:hint="eastAsia" w:ascii="仿宋_GB2312" w:eastAsia="仿宋_GB2312" w:cs="仿宋_GB2312"/>
          <w:bCs/>
          <w:kern w:val="0"/>
          <w:sz w:val="32"/>
          <w:szCs w:val="32"/>
          <w:lang w:val="en-US" w:eastAsia="zh-CN"/>
        </w:rPr>
        <w:t>3.67万元</w:t>
      </w:r>
      <w:r>
        <w:rPr>
          <w:rFonts w:hint="eastAsia" w:ascii="仿宋_GB2312" w:eastAsia="仿宋_GB2312" w:cs="仿宋_GB2312"/>
          <w:bCs/>
          <w:kern w:val="0"/>
          <w:sz w:val="32"/>
          <w:szCs w:val="32"/>
        </w:rPr>
        <w:t>、物业管理费</w:t>
      </w:r>
      <w:r>
        <w:rPr>
          <w:rFonts w:hint="eastAsia" w:ascii="仿宋_GB2312" w:eastAsia="仿宋_GB2312" w:cs="仿宋_GB2312"/>
          <w:bCs/>
          <w:kern w:val="0"/>
          <w:sz w:val="32"/>
          <w:szCs w:val="32"/>
          <w:lang w:val="en-US" w:eastAsia="zh-CN"/>
        </w:rPr>
        <w:t>0.38万元</w:t>
      </w:r>
      <w:r>
        <w:rPr>
          <w:rFonts w:hint="eastAsia" w:ascii="仿宋_GB2312" w:eastAsia="仿宋_GB2312" w:cs="仿宋_GB2312"/>
          <w:bCs/>
          <w:kern w:val="0"/>
          <w:sz w:val="32"/>
          <w:szCs w:val="32"/>
        </w:rPr>
        <w:t>、差旅费</w:t>
      </w:r>
      <w:r>
        <w:rPr>
          <w:rFonts w:hint="eastAsia" w:ascii="仿宋_GB2312" w:eastAsia="仿宋_GB2312" w:cs="仿宋_GB2312"/>
          <w:bCs/>
          <w:kern w:val="0"/>
          <w:sz w:val="32"/>
          <w:szCs w:val="32"/>
          <w:lang w:val="en-US" w:eastAsia="zh-CN"/>
        </w:rPr>
        <w:t>6.96万元</w:t>
      </w:r>
      <w:r>
        <w:rPr>
          <w:rFonts w:hint="eastAsia" w:ascii="仿宋_GB2312" w:eastAsia="仿宋_GB2312" w:cs="仿宋_GB2312"/>
          <w:bCs/>
          <w:kern w:val="0"/>
          <w:sz w:val="32"/>
          <w:szCs w:val="32"/>
        </w:rPr>
        <w:t>、维修（护）费</w:t>
      </w:r>
      <w:r>
        <w:rPr>
          <w:rFonts w:hint="eastAsia" w:ascii="仿宋_GB2312" w:eastAsia="仿宋_GB2312" w:cs="仿宋_GB2312"/>
          <w:bCs/>
          <w:kern w:val="0"/>
          <w:sz w:val="32"/>
          <w:szCs w:val="32"/>
          <w:lang w:val="en-US" w:eastAsia="zh-CN"/>
        </w:rPr>
        <w:t>1.14万元</w:t>
      </w:r>
      <w:r>
        <w:rPr>
          <w:rFonts w:hint="eastAsia" w:ascii="仿宋_GB2312" w:eastAsia="仿宋_GB2312" w:cs="仿宋_GB2312"/>
          <w:bCs/>
          <w:kern w:val="0"/>
          <w:sz w:val="32"/>
          <w:szCs w:val="32"/>
        </w:rPr>
        <w:t>、会议费</w:t>
      </w:r>
      <w:r>
        <w:rPr>
          <w:rFonts w:hint="eastAsia" w:ascii="仿宋_GB2312" w:eastAsia="仿宋_GB2312" w:cs="仿宋_GB2312"/>
          <w:bCs/>
          <w:kern w:val="0"/>
          <w:sz w:val="32"/>
          <w:szCs w:val="32"/>
          <w:lang w:val="en-US" w:eastAsia="zh-CN"/>
        </w:rPr>
        <w:t>1.33万元</w:t>
      </w:r>
      <w:r>
        <w:rPr>
          <w:rFonts w:hint="eastAsia" w:ascii="仿宋_GB2312" w:eastAsia="仿宋_GB2312" w:cs="仿宋_GB2312"/>
          <w:bCs/>
          <w:kern w:val="0"/>
          <w:sz w:val="32"/>
          <w:szCs w:val="32"/>
        </w:rPr>
        <w:t>、培训费</w:t>
      </w:r>
      <w:r>
        <w:rPr>
          <w:rFonts w:hint="eastAsia" w:ascii="仿宋_GB2312" w:eastAsia="仿宋_GB2312" w:cs="仿宋_GB2312"/>
          <w:bCs/>
          <w:kern w:val="0"/>
          <w:sz w:val="32"/>
          <w:szCs w:val="32"/>
          <w:lang w:val="en-US" w:eastAsia="zh-CN"/>
        </w:rPr>
        <w:t>1.14万元</w:t>
      </w:r>
      <w:r>
        <w:rPr>
          <w:rFonts w:hint="eastAsia" w:ascii="仿宋_GB2312" w:eastAsia="仿宋_GB2312" w:cs="仿宋_GB2312"/>
          <w:bCs/>
          <w:kern w:val="0"/>
          <w:sz w:val="32"/>
          <w:szCs w:val="32"/>
        </w:rPr>
        <w:t>、公务接待费</w:t>
      </w:r>
      <w:r>
        <w:rPr>
          <w:rFonts w:hint="eastAsia" w:ascii="仿宋_GB2312" w:eastAsia="仿宋_GB2312" w:cs="仿宋_GB2312"/>
          <w:bCs/>
          <w:kern w:val="0"/>
          <w:sz w:val="32"/>
          <w:szCs w:val="32"/>
          <w:lang w:val="en-US" w:eastAsia="zh-CN"/>
        </w:rPr>
        <w:t>0.76万元</w:t>
      </w:r>
      <w:r>
        <w:rPr>
          <w:rFonts w:hint="eastAsia" w:ascii="仿宋_GB2312" w:eastAsia="仿宋_GB2312" w:cs="仿宋_GB2312"/>
          <w:bCs/>
          <w:kern w:val="0"/>
          <w:sz w:val="32"/>
          <w:szCs w:val="32"/>
        </w:rPr>
        <w:t>、其他交通费用</w:t>
      </w:r>
      <w:r>
        <w:rPr>
          <w:rFonts w:hint="eastAsia" w:ascii="仿宋_GB2312" w:eastAsia="仿宋_GB2312" w:cs="仿宋_GB2312"/>
          <w:bCs/>
          <w:kern w:val="0"/>
          <w:sz w:val="32"/>
          <w:szCs w:val="32"/>
          <w:lang w:val="en-US" w:eastAsia="zh-CN"/>
        </w:rPr>
        <w:t>12.68万元</w:t>
      </w:r>
      <w:r>
        <w:rPr>
          <w:rFonts w:hint="eastAsia" w:ascii="仿宋_GB2312" w:eastAsia="仿宋_GB2312" w:cs="仿宋_GB2312"/>
          <w:bCs/>
          <w:kern w:val="0"/>
          <w:sz w:val="32"/>
          <w:szCs w:val="32"/>
        </w:rPr>
        <w:t>、其他商品和服务支出</w:t>
      </w:r>
      <w:r>
        <w:rPr>
          <w:rFonts w:hint="eastAsia" w:ascii="仿宋_GB2312" w:eastAsia="仿宋_GB2312" w:cs="仿宋_GB2312"/>
          <w:bCs/>
          <w:kern w:val="0"/>
          <w:sz w:val="32"/>
          <w:szCs w:val="32"/>
          <w:lang w:val="en-US" w:eastAsia="zh-CN"/>
        </w:rPr>
        <w:t>8.97万元。</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2020 年度“三公”经费财政拨款支出预算为 </w:t>
      </w:r>
      <w:r>
        <w:rPr>
          <w:rFonts w:hint="eastAsia" w:ascii="仿宋_GB2312" w:eastAsia="仿宋_GB2312" w:cs="仿宋_GB2312"/>
          <w:bCs/>
          <w:kern w:val="0"/>
          <w:sz w:val="32"/>
          <w:szCs w:val="32"/>
          <w:lang w:val="en-US" w:eastAsia="zh-CN"/>
        </w:rPr>
        <w:t>0.76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0.76</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0.76</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0.76</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上升</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%，其中：公务接待费支出决算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0.76</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公务接待费支出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rPr>
        <w:t>的主要原因是</w:t>
      </w:r>
      <w:r>
        <w:rPr>
          <w:rFonts w:hint="eastAsia" w:ascii="仿宋_GB2312" w:eastAsia="仿宋_GB2312" w:cs="仿宋_GB2312"/>
          <w:bCs/>
          <w:kern w:val="0"/>
          <w:sz w:val="32"/>
          <w:szCs w:val="32"/>
          <w:lang w:val="en-US" w:eastAsia="zh-CN"/>
        </w:rPr>
        <w:t>2019年无公务接待。2020年有少量公务接待</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万元；公务接待费支出决算</w:t>
      </w:r>
      <w:r>
        <w:rPr>
          <w:rFonts w:hint="eastAsia" w:ascii="仿宋_GB2312" w:eastAsia="仿宋_GB2312" w:cs="仿宋_GB2312"/>
          <w:bCs/>
          <w:kern w:val="0"/>
          <w:sz w:val="32"/>
          <w:szCs w:val="32"/>
          <w:lang w:val="en-US" w:eastAsia="zh-CN"/>
        </w:rPr>
        <w:t>0.76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xml:space="preserve">%。具体情况如下：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 （境）团组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万元。其中：公务用车购置支出为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万元。2020年，机关所属单位开支财政拨款的公务用车保有量为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w:t>
      </w:r>
      <w:r>
        <w:rPr>
          <w:rFonts w:hint="eastAsia" w:ascii="仿宋_GB2312" w:eastAsia="仿宋_GB2312" w:cs="仿宋_GB2312"/>
          <w:bCs/>
          <w:kern w:val="0"/>
          <w:sz w:val="32"/>
          <w:szCs w:val="32"/>
          <w:lang w:val="en-US" w:eastAsia="zh-CN"/>
        </w:rPr>
        <w:t>0.76</w:t>
      </w:r>
      <w:r>
        <w:rPr>
          <w:rFonts w:hint="eastAsia" w:ascii="仿宋_GB2312" w:eastAsia="仿宋_GB2312" w:cs="仿宋_GB2312"/>
          <w:bCs/>
          <w:kern w:val="0"/>
          <w:sz w:val="32"/>
          <w:szCs w:val="32"/>
        </w:rPr>
        <w:t>万元。其中：</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万元。2020年共接待国（境）外来访团组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国内公务接待支出</w:t>
      </w:r>
      <w:r>
        <w:rPr>
          <w:rFonts w:hint="eastAsia" w:ascii="仿宋_GB2312" w:eastAsia="仿宋_GB2312" w:cs="仿宋_GB2312"/>
          <w:bCs/>
          <w:kern w:val="0"/>
          <w:sz w:val="32"/>
          <w:szCs w:val="32"/>
          <w:lang w:val="en-US" w:eastAsia="zh-CN"/>
        </w:rPr>
        <w:t>0.76</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接待国内各地来访考察、调研人员</w:t>
      </w:r>
      <w:r>
        <w:rPr>
          <w:rFonts w:hint="eastAsia" w:ascii="仿宋_GB2312" w:eastAsia="仿宋_GB2312" w:cs="仿宋_GB2312"/>
          <w:bCs/>
          <w:kern w:val="0"/>
          <w:sz w:val="32"/>
          <w:szCs w:val="32"/>
        </w:rPr>
        <w:t>。2020 年共接待国内来访团组</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61</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2020年度政府基金预算财政拨款收、支总决算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万元。与 2019 年相比，收、支总计各增加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p>
    <w:p>
      <w:pPr>
        <w:numPr>
          <w:ilvl w:val="0"/>
          <w:numId w:val="1"/>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numPr>
          <w:ilvl w:val="0"/>
          <w:numId w:val="0"/>
        </w:numPr>
        <w:autoSpaceDE w:val="0"/>
        <w:autoSpaceDN w:val="0"/>
        <w:adjustRightInd w:val="0"/>
        <w:spacing w:line="580" w:lineRule="exact"/>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2020年度国有资本经营预算财政拨款本年支出0万元。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numPr>
          <w:ilvl w:val="0"/>
          <w:numId w:val="0"/>
        </w:numPr>
        <w:ind w:leftChars="0" w:firstLine="1280" w:firstLineChars="400"/>
        <w:rPr>
          <w:rFonts w:hint="eastAsia" w:ascii="微软雅黑" w:hAnsi="微软雅黑" w:eastAsia="微软雅黑" w:cs="微软雅黑"/>
          <w:color w:val="000000"/>
          <w:sz w:val="24"/>
          <w:szCs w:val="24"/>
          <w:shd w:val="clear" w:fill="FFFFFF"/>
          <w:lang w:val="en-US" w:eastAsia="zh-CN"/>
        </w:rPr>
      </w:pPr>
      <w:r>
        <w:rPr>
          <w:rFonts w:hint="eastAsia" w:ascii="仿宋_GB2312" w:eastAsia="仿宋_GB2312" w:cs="仿宋_GB2312"/>
          <w:kern w:val="0"/>
          <w:sz w:val="32"/>
          <w:szCs w:val="32"/>
        </w:rPr>
        <w:t>根据财政预算管理要求，我</w:t>
      </w:r>
      <w:r>
        <w:rPr>
          <w:rFonts w:hint="eastAsia" w:ascii="仿宋_GB2312" w:eastAsia="仿宋_GB2312" w:cs="仿宋_GB2312"/>
          <w:kern w:val="0"/>
          <w:sz w:val="32"/>
          <w:szCs w:val="32"/>
          <w:lang w:eastAsia="zh-CN"/>
        </w:rPr>
        <w:t>单位没有达到</w:t>
      </w:r>
      <w:r>
        <w:rPr>
          <w:rFonts w:hint="eastAsia" w:ascii="仿宋_GB2312" w:eastAsia="仿宋_GB2312" w:cs="仿宋_GB2312"/>
          <w:kern w:val="0"/>
          <w:sz w:val="32"/>
          <w:szCs w:val="32"/>
          <w:lang w:val="en-US" w:eastAsia="zh-CN"/>
        </w:rPr>
        <w:t>100万元以上的项目，不需设定项目绩效目标。</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bookmarkStart w:id="0" w:name="_GoBack"/>
      <w:bookmarkEnd w:id="0"/>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w:t>
      </w:r>
      <w:r>
        <w:rPr>
          <w:rFonts w:hint="eastAsia" w:ascii="仿宋_GB2312" w:eastAsia="仿宋_GB2312" w:cs="仿宋_GB2312"/>
          <w:kern w:val="0"/>
          <w:sz w:val="32"/>
          <w:szCs w:val="32"/>
          <w:lang w:val="en-US" w:eastAsia="zh-CN"/>
        </w:rPr>
        <w:t>48.65</w:t>
      </w:r>
      <w:r>
        <w:rPr>
          <w:rFonts w:hint="eastAsia" w:ascii="仿宋_GB2312" w:eastAsia="仿宋_GB2312" w:cs="仿宋_GB2312"/>
          <w:kern w:val="0"/>
          <w:sz w:val="32"/>
          <w:szCs w:val="32"/>
        </w:rPr>
        <w:t>万元，比 2019年</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lang w:val="en-US" w:eastAsia="zh-CN"/>
        </w:rPr>
        <w:t>16.32</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降低</w:t>
      </w:r>
      <w:r>
        <w:rPr>
          <w:rFonts w:hint="eastAsia" w:ascii="仿宋_GB2312" w:eastAsia="仿宋_GB2312" w:cs="仿宋_GB2312"/>
          <w:kern w:val="0"/>
          <w:sz w:val="32"/>
          <w:szCs w:val="32"/>
          <w:lang w:val="en-US" w:eastAsia="zh-CN"/>
        </w:rPr>
        <w:t>25.12</w:t>
      </w:r>
      <w:r>
        <w:rPr>
          <w:rFonts w:hint="eastAsia" w:ascii="仿宋_GB2312" w:eastAsia="仿宋_GB2312" w:cs="仿宋_GB2312"/>
          <w:kern w:val="0"/>
          <w:sz w:val="32"/>
          <w:szCs w:val="32"/>
        </w:rPr>
        <w:t>%，减</w:t>
      </w:r>
      <w:r>
        <w:rPr>
          <w:rFonts w:hint="eastAsia" w:ascii="仿宋_GB2312" w:eastAsia="仿宋_GB2312" w:cs="仿宋_GB2312"/>
          <w:kern w:val="0"/>
          <w:sz w:val="32"/>
          <w:szCs w:val="32"/>
          <w:lang w:eastAsia="zh-CN"/>
        </w:rPr>
        <w:t>少</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2020年我中心人员减少</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辆。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headerReference r:id="rId3" w:type="default"/>
      <w:footerReference r:id="rId4" w:type="default"/>
      <w:pgSz w:w="16838" w:h="11906" w:orient="landscape"/>
      <w:pgMar w:top="1797" w:right="1440" w:bottom="1797"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 w:name="Wingdings 3">
    <w:panose1 w:val="05040102010807070707"/>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方正大标宋简体">
    <w:altName w:val="Arial Unicode MS"/>
    <w:panose1 w:val="02010601030101010101"/>
    <w:charset w:val="86"/>
    <w:family w:val="auto"/>
    <w:pitch w:val="default"/>
    <w:sig w:usb0="00000000" w:usb1="00000000" w:usb2="00000010" w:usb3="00000000" w:csb0="00040000" w:csb1="00000000"/>
  </w:font>
  <w:font w:name="Consolas">
    <w:panose1 w:val="020B0609020204030204"/>
    <w:charset w:val="00"/>
    <w:family w:val="auto"/>
    <w:pitch w:val="default"/>
    <w:sig w:usb0="E10002FF" w:usb1="4000FCFF" w:usb2="00000009" w:usb3="00000000" w:csb0="600001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17C07B6"/>
    <w:rsid w:val="0DA86951"/>
    <w:rsid w:val="0DFD5338"/>
    <w:rsid w:val="0E074DDF"/>
    <w:rsid w:val="124204B5"/>
    <w:rsid w:val="182962AB"/>
    <w:rsid w:val="19640B60"/>
    <w:rsid w:val="19D073EB"/>
    <w:rsid w:val="1CC31F67"/>
    <w:rsid w:val="24D337DC"/>
    <w:rsid w:val="259367E8"/>
    <w:rsid w:val="26460DBA"/>
    <w:rsid w:val="2A526C7D"/>
    <w:rsid w:val="2B6F74EB"/>
    <w:rsid w:val="2C4219FE"/>
    <w:rsid w:val="2F2F4F77"/>
    <w:rsid w:val="3206199D"/>
    <w:rsid w:val="34020F86"/>
    <w:rsid w:val="39A63F06"/>
    <w:rsid w:val="3C3360D1"/>
    <w:rsid w:val="3ED1439F"/>
    <w:rsid w:val="44500BF5"/>
    <w:rsid w:val="48374EDC"/>
    <w:rsid w:val="4C256E3D"/>
    <w:rsid w:val="4CB52F0F"/>
    <w:rsid w:val="532F1F9A"/>
    <w:rsid w:val="5979211F"/>
    <w:rsid w:val="5E995A3E"/>
    <w:rsid w:val="61636573"/>
    <w:rsid w:val="62163194"/>
    <w:rsid w:val="624D024D"/>
    <w:rsid w:val="650E086A"/>
    <w:rsid w:val="65E37C06"/>
    <w:rsid w:val="695C5DD1"/>
    <w:rsid w:val="6BAA0708"/>
    <w:rsid w:val="7D162B61"/>
    <w:rsid w:val="7FDE1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8">
    <w:name w:val="批注框文本 Char"/>
    <w:basedOn w:val="5"/>
    <w:link w:val="2"/>
    <w:qFormat/>
    <w:uiPriority w:val="0"/>
    <w:rPr>
      <w:kern w:val="2"/>
      <w:sz w:val="18"/>
      <w:szCs w:val="18"/>
    </w:rPr>
  </w:style>
  <w:style w:type="character" w:customStyle="1" w:styleId="9">
    <w:name w:val="font11"/>
    <w:basedOn w:val="5"/>
    <w:uiPriority w:val="0"/>
    <w:rPr>
      <w:rFonts w:hint="eastAsia" w:ascii="宋体" w:hAnsi="宋体" w:eastAsia="宋体" w:cs="宋体"/>
      <w:color w:val="000000"/>
      <w:sz w:val="22"/>
      <w:szCs w:val="22"/>
      <w:u w:val="none"/>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0</TotalTime>
  <ScaleCrop>false</ScaleCrop>
  <LinksUpToDate>false</LinksUpToDate>
  <CharactersWithSpaces>8540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肖莹</cp:lastModifiedBy>
  <cp:lastPrinted>2021-07-07T01:10:00Z</cp:lastPrinted>
  <dcterms:modified xsi:type="dcterms:W3CDTF">2021-07-28T07:56:52Z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