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textAlignment w:val="auto"/>
        <w:rPr>
          <w:rFonts w:ascii="黑体" w:eastAsia="黑体" w:cs="ArialUnicodeMS"/>
          <w:kern w:val="0"/>
          <w:sz w:val="72"/>
          <w:szCs w:val="7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jc w:val="center"/>
        <w:textAlignment w:val="auto"/>
        <w:outlineLvl w:val="9"/>
        <w:rPr>
          <w:color w:val="auto"/>
          <w:sz w:val="32"/>
          <w:szCs w:val="32"/>
        </w:rPr>
      </w:pPr>
      <w:r>
        <w:rPr>
          <w:rStyle w:val="8"/>
          <w:rFonts w:ascii="方正小标宋简体" w:hAnsi="方正小标宋简体" w:eastAsia="方正小标宋简体" w:cs="方正小标宋简体"/>
          <w:color w:val="auto"/>
          <w:sz w:val="32"/>
          <w:szCs w:val="32"/>
          <w:shd w:val="clear" w:fill="FFFFFF"/>
        </w:rPr>
        <w:t>目</w:t>
      </w:r>
      <w:r>
        <w:rPr>
          <w:rStyle w:val="8"/>
          <w:rFonts w:hint="eastAsia" w:ascii="方正小标宋简体" w:hAnsi="方正小标宋简体" w:eastAsia="方正小标宋简体" w:cs="方正小标宋简体"/>
          <w:color w:val="auto"/>
          <w:sz w:val="32"/>
          <w:szCs w:val="32"/>
          <w:shd w:val="clear" w:fill="FFFFFF"/>
        </w:rPr>
        <w:t>   录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Style w:val="8"/>
          <w:rFonts w:ascii="仿宋_GB2312" w:hAnsi="微软雅黑" w:eastAsia="仿宋_GB2312" w:cs="仿宋_GB2312"/>
          <w:color w:val="auto"/>
          <w:sz w:val="32"/>
          <w:szCs w:val="32"/>
          <w:shd w:val="clear" w:fill="FFFFFF"/>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Style w:val="8"/>
          <w:rFonts w:hint="eastAsia" w:ascii="仿宋_GB2312" w:hAnsi="微软雅黑" w:eastAsia="仿宋_GB2312" w:cs="仿宋_GB2312"/>
          <w:color w:val="auto"/>
          <w:sz w:val="32"/>
          <w:szCs w:val="32"/>
          <w:shd w:val="clear" w:fill="FFFFFF"/>
        </w:rPr>
        <w:t>第一部分：</w:t>
      </w:r>
      <w:r>
        <w:rPr>
          <w:rStyle w:val="8"/>
          <w:rFonts w:hint="eastAsia" w:ascii="仿宋_GB2312" w:hAnsi="微软雅黑" w:eastAsia="仿宋_GB2312" w:cs="仿宋_GB2312"/>
          <w:color w:val="auto"/>
          <w:sz w:val="32"/>
          <w:szCs w:val="32"/>
          <w:shd w:val="clear" w:fill="FFFFFF"/>
          <w:lang w:eastAsia="zh-CN"/>
        </w:rPr>
        <w:t>柳州市信息化建设管理中心</w:t>
      </w:r>
      <w:r>
        <w:rPr>
          <w:rStyle w:val="8"/>
          <w:rFonts w:hint="eastAsia" w:ascii="仿宋_GB2312" w:hAnsi="微软雅黑" w:eastAsia="仿宋_GB2312" w:cs="仿宋_GB2312"/>
          <w:color w:val="auto"/>
          <w:sz w:val="32"/>
          <w:szCs w:val="32"/>
          <w:shd w:val="clear" w:fill="FFFFFF"/>
        </w:rPr>
        <w:t>概况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一、主要职能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二、部门决算单位构成</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Style w:val="8"/>
          <w:rFonts w:hint="eastAsia" w:ascii="仿宋_GB2312" w:hAnsi="微软雅黑" w:eastAsia="仿宋_GB2312" w:cs="仿宋_GB2312"/>
          <w:color w:val="auto"/>
          <w:sz w:val="32"/>
          <w:szCs w:val="32"/>
          <w:shd w:val="clear" w:fill="FFFFFF"/>
        </w:rPr>
        <w:t>第二部分：</w:t>
      </w:r>
      <w:r>
        <w:rPr>
          <w:rStyle w:val="8"/>
          <w:rFonts w:hint="eastAsia" w:ascii="仿宋_GB2312" w:hAnsi="微软雅黑" w:eastAsia="仿宋_GB2312" w:cs="仿宋_GB2312"/>
          <w:color w:val="auto"/>
          <w:sz w:val="32"/>
          <w:szCs w:val="32"/>
          <w:shd w:val="clear" w:fill="FFFFFF"/>
          <w:lang w:eastAsia="zh-CN"/>
        </w:rPr>
        <w:t>柳州市信息化建设管理中心</w:t>
      </w:r>
      <w:r>
        <w:rPr>
          <w:rStyle w:val="8"/>
          <w:rFonts w:hint="eastAsia" w:ascii="仿宋_GB2312" w:hAnsi="微软雅黑" w:eastAsia="仿宋_GB2312" w:cs="仿宋_GB2312"/>
          <w:color w:val="auto"/>
          <w:sz w:val="32"/>
          <w:szCs w:val="32"/>
          <w:shd w:val="clear" w:fill="FFFFFF"/>
        </w:rPr>
        <w:t>20</w:t>
      </w:r>
      <w:r>
        <w:rPr>
          <w:rStyle w:val="8"/>
          <w:rFonts w:hint="eastAsia" w:ascii="仿宋_GB2312" w:hAnsi="微软雅黑" w:eastAsia="仿宋_GB2312" w:cs="仿宋_GB2312"/>
          <w:color w:val="auto"/>
          <w:sz w:val="32"/>
          <w:szCs w:val="32"/>
          <w:shd w:val="clear" w:fill="FFFFFF"/>
          <w:lang w:val="en-US" w:eastAsia="zh-CN"/>
        </w:rPr>
        <w:t>20</w:t>
      </w:r>
      <w:r>
        <w:rPr>
          <w:rStyle w:val="8"/>
          <w:rFonts w:hint="eastAsia" w:ascii="仿宋_GB2312" w:hAnsi="微软雅黑" w:eastAsia="仿宋_GB2312" w:cs="仿宋_GB2312"/>
          <w:color w:val="auto"/>
          <w:sz w:val="32"/>
          <w:szCs w:val="32"/>
          <w:shd w:val="clear" w:fill="FFFFFF"/>
        </w:rPr>
        <w:t>年部门决算报表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表一：收入支出决算总表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表二：收入决算表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表三：支出决算表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表四：财政拨款收入支出决算总表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表五：一般公共预算财政拨款支出决算表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表六：一般公共预算财政拨款基本支出决算表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表七：一般公共预算财政拨款安排的“三公”经费支出决算表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表八：政府性基金预算财政拨款收入支出决算表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Style w:val="8"/>
          <w:rFonts w:hint="eastAsia" w:ascii="仿宋_GB2312" w:hAnsi="微软雅黑" w:eastAsia="仿宋_GB2312" w:cs="仿宋_GB2312"/>
          <w:color w:val="auto"/>
          <w:sz w:val="32"/>
          <w:szCs w:val="32"/>
          <w:shd w:val="clear" w:fill="FFFFFF"/>
        </w:rPr>
        <w:t>第三部分：</w:t>
      </w:r>
      <w:r>
        <w:rPr>
          <w:rStyle w:val="8"/>
          <w:rFonts w:hint="eastAsia" w:ascii="仿宋_GB2312" w:hAnsi="微软雅黑" w:eastAsia="仿宋_GB2312" w:cs="仿宋_GB2312"/>
          <w:color w:val="auto"/>
          <w:sz w:val="32"/>
          <w:szCs w:val="32"/>
          <w:shd w:val="clear" w:fill="FFFFFF"/>
          <w:lang w:eastAsia="zh-CN"/>
        </w:rPr>
        <w:t>柳州市信息化建设管理中心</w:t>
      </w:r>
      <w:r>
        <w:rPr>
          <w:rStyle w:val="8"/>
          <w:rFonts w:hint="eastAsia" w:ascii="仿宋_GB2312" w:hAnsi="微软雅黑" w:eastAsia="仿宋_GB2312" w:cs="仿宋_GB2312"/>
          <w:color w:val="auto"/>
          <w:sz w:val="32"/>
          <w:szCs w:val="32"/>
          <w:shd w:val="clear" w:fill="FFFFFF"/>
        </w:rPr>
        <w:t>20</w:t>
      </w:r>
      <w:r>
        <w:rPr>
          <w:rStyle w:val="8"/>
          <w:rFonts w:hint="eastAsia" w:ascii="仿宋_GB2312" w:hAnsi="微软雅黑" w:eastAsia="仿宋_GB2312" w:cs="仿宋_GB2312"/>
          <w:color w:val="auto"/>
          <w:sz w:val="32"/>
          <w:szCs w:val="32"/>
          <w:shd w:val="clear" w:fill="FFFFFF"/>
          <w:lang w:val="en-US" w:eastAsia="zh-CN"/>
        </w:rPr>
        <w:t>20</w:t>
      </w:r>
      <w:r>
        <w:rPr>
          <w:rStyle w:val="8"/>
          <w:rFonts w:hint="eastAsia" w:ascii="仿宋_GB2312" w:hAnsi="微软雅黑" w:eastAsia="仿宋_GB2312" w:cs="仿宋_GB2312"/>
          <w:color w:val="auto"/>
          <w:sz w:val="32"/>
          <w:szCs w:val="32"/>
          <w:shd w:val="clear" w:fill="FFFFFF"/>
        </w:rPr>
        <w:t>年度部门决算情况说明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一、20</w:t>
      </w:r>
      <w:r>
        <w:rPr>
          <w:rFonts w:hint="eastAsia" w:ascii="仿宋_GB2312" w:hAnsi="微软雅黑" w:eastAsia="仿宋_GB2312" w:cs="仿宋_GB2312"/>
          <w:color w:val="auto"/>
          <w:sz w:val="32"/>
          <w:szCs w:val="32"/>
          <w:shd w:val="clear" w:fill="FFFFFF"/>
          <w:lang w:val="en-US" w:eastAsia="zh-CN"/>
        </w:rPr>
        <w:t>20</w:t>
      </w:r>
      <w:r>
        <w:rPr>
          <w:rFonts w:hint="eastAsia" w:ascii="仿宋_GB2312" w:hAnsi="微软雅黑" w:eastAsia="仿宋_GB2312" w:cs="仿宋_GB2312"/>
          <w:color w:val="auto"/>
          <w:sz w:val="32"/>
          <w:szCs w:val="32"/>
          <w:shd w:val="clear" w:fill="FFFFFF"/>
        </w:rPr>
        <w:t>年度收入支出决算总体情况。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二、20</w:t>
      </w:r>
      <w:r>
        <w:rPr>
          <w:rFonts w:hint="eastAsia" w:ascii="仿宋_GB2312" w:hAnsi="微软雅黑" w:eastAsia="仿宋_GB2312" w:cs="仿宋_GB2312"/>
          <w:color w:val="auto"/>
          <w:sz w:val="32"/>
          <w:szCs w:val="32"/>
          <w:shd w:val="clear" w:fill="FFFFFF"/>
          <w:lang w:val="en-US" w:eastAsia="zh-CN"/>
        </w:rPr>
        <w:t>20</w:t>
      </w:r>
      <w:r>
        <w:rPr>
          <w:rFonts w:hint="default" w:ascii="Times New Roman" w:hAnsi="Times New Roman" w:eastAsia="微软雅黑" w:cs="Times New Roman"/>
          <w:color w:val="auto"/>
          <w:sz w:val="32"/>
          <w:szCs w:val="32"/>
          <w:shd w:val="clear" w:fill="FFFFFF"/>
        </w:rPr>
        <w:t> </w:t>
      </w:r>
      <w:r>
        <w:rPr>
          <w:rFonts w:hint="eastAsia" w:ascii="仿宋_GB2312" w:hAnsi="微软雅黑" w:eastAsia="仿宋_GB2312" w:cs="仿宋_GB2312"/>
          <w:color w:val="auto"/>
          <w:sz w:val="32"/>
          <w:szCs w:val="32"/>
          <w:shd w:val="clear" w:fill="FFFFFF"/>
        </w:rPr>
        <w:t>年度收入决算情况。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三、20</w:t>
      </w:r>
      <w:r>
        <w:rPr>
          <w:rFonts w:hint="eastAsia" w:ascii="仿宋_GB2312" w:hAnsi="微软雅黑" w:eastAsia="仿宋_GB2312" w:cs="仿宋_GB2312"/>
          <w:color w:val="auto"/>
          <w:sz w:val="32"/>
          <w:szCs w:val="32"/>
          <w:shd w:val="clear" w:fill="FFFFFF"/>
          <w:lang w:val="en-US" w:eastAsia="zh-CN"/>
        </w:rPr>
        <w:t>20</w:t>
      </w:r>
      <w:r>
        <w:rPr>
          <w:rFonts w:hint="default" w:ascii="Times New Roman" w:hAnsi="Times New Roman" w:eastAsia="微软雅黑" w:cs="Times New Roman"/>
          <w:color w:val="auto"/>
          <w:sz w:val="32"/>
          <w:szCs w:val="32"/>
          <w:shd w:val="clear" w:fill="FFFFFF"/>
        </w:rPr>
        <w:t> </w:t>
      </w:r>
      <w:r>
        <w:rPr>
          <w:rFonts w:hint="eastAsia" w:ascii="仿宋_GB2312" w:hAnsi="微软雅黑" w:eastAsia="仿宋_GB2312" w:cs="仿宋_GB2312"/>
          <w:color w:val="auto"/>
          <w:sz w:val="32"/>
          <w:szCs w:val="32"/>
          <w:shd w:val="clear" w:fill="FFFFFF"/>
        </w:rPr>
        <w:t>年度支出决算情况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四、20</w:t>
      </w:r>
      <w:r>
        <w:rPr>
          <w:rFonts w:hint="eastAsia" w:ascii="仿宋_GB2312" w:hAnsi="微软雅黑" w:eastAsia="仿宋_GB2312" w:cs="仿宋_GB2312"/>
          <w:color w:val="auto"/>
          <w:sz w:val="32"/>
          <w:szCs w:val="32"/>
          <w:shd w:val="clear" w:fill="FFFFFF"/>
          <w:lang w:val="en-US" w:eastAsia="zh-CN"/>
        </w:rPr>
        <w:t>20</w:t>
      </w:r>
      <w:r>
        <w:rPr>
          <w:rFonts w:hint="eastAsia" w:ascii="仿宋_GB2312" w:hAnsi="微软雅黑" w:eastAsia="仿宋_GB2312" w:cs="仿宋_GB2312"/>
          <w:color w:val="auto"/>
          <w:sz w:val="32"/>
          <w:szCs w:val="32"/>
          <w:shd w:val="clear" w:fill="FFFFFF"/>
        </w:rPr>
        <w:t>年度财政拨款收入支出决算情况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五、20</w:t>
      </w:r>
      <w:r>
        <w:rPr>
          <w:rFonts w:hint="eastAsia" w:ascii="仿宋_GB2312" w:hAnsi="微软雅黑" w:eastAsia="仿宋_GB2312" w:cs="仿宋_GB2312"/>
          <w:color w:val="auto"/>
          <w:sz w:val="32"/>
          <w:szCs w:val="32"/>
          <w:shd w:val="clear" w:fill="FFFFFF"/>
          <w:lang w:val="en-US" w:eastAsia="zh-CN"/>
        </w:rPr>
        <w:t>20</w:t>
      </w:r>
      <w:r>
        <w:rPr>
          <w:rFonts w:hint="default" w:ascii="Times New Roman" w:hAnsi="Times New Roman" w:eastAsia="微软雅黑" w:cs="Times New Roman"/>
          <w:color w:val="auto"/>
          <w:sz w:val="32"/>
          <w:szCs w:val="32"/>
          <w:shd w:val="clear" w:fill="FFFFFF"/>
        </w:rPr>
        <w:t> </w:t>
      </w:r>
      <w:r>
        <w:rPr>
          <w:rFonts w:hint="eastAsia" w:ascii="仿宋_GB2312" w:hAnsi="微软雅黑" w:eastAsia="仿宋_GB2312" w:cs="仿宋_GB2312"/>
          <w:color w:val="auto"/>
          <w:sz w:val="32"/>
          <w:szCs w:val="32"/>
          <w:shd w:val="clear" w:fill="FFFFFF"/>
        </w:rPr>
        <w:t>年度一般公共预算财政拨款支出决算情况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六、20</w:t>
      </w:r>
      <w:r>
        <w:rPr>
          <w:rFonts w:hint="eastAsia" w:ascii="仿宋_GB2312" w:hAnsi="微软雅黑" w:eastAsia="仿宋_GB2312" w:cs="仿宋_GB2312"/>
          <w:color w:val="auto"/>
          <w:sz w:val="32"/>
          <w:szCs w:val="32"/>
          <w:shd w:val="clear" w:fill="FFFFFF"/>
          <w:lang w:val="en-US" w:eastAsia="zh-CN"/>
        </w:rPr>
        <w:t>20</w:t>
      </w:r>
      <w:r>
        <w:rPr>
          <w:rFonts w:hint="default" w:ascii="Times New Roman" w:hAnsi="Times New Roman" w:eastAsia="微软雅黑" w:cs="Times New Roman"/>
          <w:color w:val="auto"/>
          <w:sz w:val="32"/>
          <w:szCs w:val="32"/>
          <w:shd w:val="clear" w:fill="FFFFFF"/>
        </w:rPr>
        <w:t> </w:t>
      </w:r>
      <w:r>
        <w:rPr>
          <w:rFonts w:hint="eastAsia" w:ascii="仿宋_GB2312" w:hAnsi="微软雅黑" w:eastAsia="仿宋_GB2312" w:cs="仿宋_GB2312"/>
          <w:color w:val="auto"/>
          <w:sz w:val="32"/>
          <w:szCs w:val="32"/>
          <w:shd w:val="clear" w:fill="FFFFFF"/>
        </w:rPr>
        <w:t>年度一般公共预算财政拨款基本支出决算情况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七、20</w:t>
      </w:r>
      <w:r>
        <w:rPr>
          <w:rFonts w:hint="eastAsia" w:ascii="仿宋_GB2312" w:hAnsi="微软雅黑" w:eastAsia="仿宋_GB2312" w:cs="仿宋_GB2312"/>
          <w:color w:val="auto"/>
          <w:sz w:val="32"/>
          <w:szCs w:val="32"/>
          <w:shd w:val="clear" w:fill="FFFFFF"/>
          <w:lang w:val="en-US" w:eastAsia="zh-CN"/>
        </w:rPr>
        <w:t>20</w:t>
      </w:r>
      <w:r>
        <w:rPr>
          <w:rFonts w:hint="default" w:ascii="Times New Roman" w:hAnsi="Times New Roman" w:eastAsia="微软雅黑" w:cs="Times New Roman"/>
          <w:color w:val="auto"/>
          <w:sz w:val="32"/>
          <w:szCs w:val="32"/>
          <w:shd w:val="clear" w:fill="FFFFFF"/>
        </w:rPr>
        <w:t> </w:t>
      </w:r>
      <w:r>
        <w:rPr>
          <w:rFonts w:hint="eastAsia" w:ascii="仿宋_GB2312" w:hAnsi="微软雅黑" w:eastAsia="仿宋_GB2312" w:cs="仿宋_GB2312"/>
          <w:color w:val="auto"/>
          <w:sz w:val="32"/>
          <w:szCs w:val="32"/>
          <w:shd w:val="clear" w:fill="FFFFFF"/>
        </w:rPr>
        <w:t>年度一般公共预算财政拨款“三公”经费支出决算情况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八、20</w:t>
      </w:r>
      <w:r>
        <w:rPr>
          <w:rFonts w:hint="eastAsia" w:ascii="仿宋_GB2312" w:hAnsi="微软雅黑" w:eastAsia="仿宋_GB2312" w:cs="仿宋_GB2312"/>
          <w:color w:val="auto"/>
          <w:sz w:val="32"/>
          <w:szCs w:val="32"/>
          <w:shd w:val="clear" w:fill="FFFFFF"/>
          <w:lang w:val="en-US" w:eastAsia="zh-CN"/>
        </w:rPr>
        <w:t>20</w:t>
      </w:r>
      <w:r>
        <w:rPr>
          <w:rFonts w:hint="eastAsia" w:ascii="仿宋_GB2312" w:hAnsi="微软雅黑" w:eastAsia="仿宋_GB2312" w:cs="仿宋_GB2312"/>
          <w:color w:val="auto"/>
          <w:sz w:val="32"/>
          <w:szCs w:val="32"/>
          <w:shd w:val="clear" w:fill="FFFFFF"/>
        </w:rPr>
        <w:t> 年度政府性基金预算财政拨款收入支出决算情况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九、20</w:t>
      </w:r>
      <w:r>
        <w:rPr>
          <w:rFonts w:hint="eastAsia" w:ascii="仿宋_GB2312" w:hAnsi="微软雅黑" w:eastAsia="仿宋_GB2312" w:cs="仿宋_GB2312"/>
          <w:color w:val="auto"/>
          <w:sz w:val="32"/>
          <w:szCs w:val="32"/>
          <w:shd w:val="clear" w:fill="FFFFFF"/>
          <w:lang w:val="en-US" w:eastAsia="zh-CN"/>
        </w:rPr>
        <w:t>20</w:t>
      </w:r>
      <w:r>
        <w:rPr>
          <w:rFonts w:hint="eastAsia" w:ascii="仿宋_GB2312" w:hAnsi="微软雅黑" w:eastAsia="仿宋_GB2312" w:cs="仿宋_GB2312"/>
          <w:color w:val="auto"/>
          <w:sz w:val="32"/>
          <w:szCs w:val="32"/>
          <w:shd w:val="clear" w:fill="FFFFFF"/>
        </w:rPr>
        <w:t> 年度预算绩效情况说明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十、其他重要事项的情况说明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rStyle w:val="8"/>
          <w:rFonts w:hint="eastAsia" w:ascii="仿宋_GB2312" w:hAnsi="微软雅黑" w:eastAsia="仿宋_GB2312" w:cs="仿宋_GB2312"/>
          <w:color w:val="auto"/>
          <w:sz w:val="32"/>
          <w:szCs w:val="32"/>
          <w:shd w:val="clear" w:fill="FFFFFF"/>
        </w:rPr>
      </w:pPr>
      <w:r>
        <w:rPr>
          <w:rStyle w:val="8"/>
          <w:rFonts w:hint="eastAsia" w:ascii="仿宋_GB2312" w:hAnsi="微软雅黑" w:eastAsia="仿宋_GB2312" w:cs="仿宋_GB2312"/>
          <w:color w:val="auto"/>
          <w:sz w:val="32"/>
          <w:szCs w:val="32"/>
          <w:shd w:val="clear" w:fill="FFFFFF"/>
        </w:rPr>
        <w:t>第四部分：名词解释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rStyle w:val="8"/>
          <w:rFonts w:hint="eastAsia" w:ascii="仿宋_GB2312" w:hAnsi="微软雅黑" w:eastAsia="仿宋_GB2312" w:cs="仿宋_GB2312"/>
          <w:color w:val="auto"/>
          <w:sz w:val="32"/>
          <w:szCs w:val="32"/>
          <w:shd w:val="clear" w:fill="FFFFFF"/>
        </w:rPr>
      </w:pPr>
    </w:p>
    <w:p>
      <w:pPr>
        <w:keepNext w:val="0"/>
        <w:keepLines w:val="0"/>
        <w:pageBreakBefore w:val="0"/>
        <w:kinsoku/>
        <w:wordWrap/>
        <w:overflowPunct/>
        <w:topLinePunct w:val="0"/>
        <w:bidi w:val="0"/>
        <w:snapToGri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单位</w:t>
      </w:r>
      <w:r>
        <w:rPr>
          <w:rFonts w:hint="eastAsia" w:ascii="仿宋_GB2312" w:eastAsia="仿宋_GB2312"/>
          <w:b/>
          <w:sz w:val="32"/>
          <w:szCs w:val="32"/>
        </w:rPr>
        <w:t>概况</w:t>
      </w:r>
    </w:p>
    <w:p>
      <w:pPr>
        <w:keepNext w:val="0"/>
        <w:keepLines w:val="0"/>
        <w:pageBreakBefore w:val="0"/>
        <w:kinsoku/>
        <w:wordWrap/>
        <w:overflowPunct/>
        <w:topLinePunct w:val="0"/>
        <w:bidi w:val="0"/>
        <w:snapToGrid/>
        <w:spacing w:line="560" w:lineRule="exact"/>
        <w:ind w:firstLine="646"/>
        <w:textAlignment w:val="auto"/>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kinsoku/>
        <w:wordWrap/>
        <w:overflowPunct/>
        <w:topLinePunct w:val="0"/>
        <w:bidi w:val="0"/>
        <w:snapToGrid/>
        <w:spacing w:line="560" w:lineRule="exact"/>
        <w:ind w:firstLine="646"/>
        <w:textAlignment w:val="auto"/>
        <w:rPr>
          <w:rFonts w:ascii="仿宋_GB2312" w:eastAsia="仿宋_GB2312"/>
          <w:sz w:val="32"/>
          <w:szCs w:val="32"/>
        </w:rPr>
      </w:pPr>
      <w:r>
        <w:rPr>
          <w:rFonts w:hint="eastAsia" w:ascii="仿宋_GB2312" w:eastAsia="仿宋_GB2312"/>
          <w:sz w:val="32"/>
          <w:szCs w:val="32"/>
        </w:rPr>
        <w:t>做好全市政务信息化、政府网站群建设和管理工的基础上，同时负责柳州市信息化基础设施建设的具体实施和日常管理；负责柳州市信息资源的整合利用；负责柳州市大数据战略、规划和政策措施的组织实施，引导和推动大数据研究和应用工作；协助主管部门编制和实施全市信息化发展规划和年度投资计划；协助主管部门对审批的重大信息化项目的立项、评估和检查验收提出技术性意见。</w:t>
      </w:r>
    </w:p>
    <w:p>
      <w:pPr>
        <w:keepNext w:val="0"/>
        <w:keepLines w:val="0"/>
        <w:pageBreakBefore w:val="0"/>
        <w:kinsoku/>
        <w:wordWrap/>
        <w:overflowPunct/>
        <w:topLinePunct w:val="0"/>
        <w:bidi w:val="0"/>
        <w:snapToGrid/>
        <w:spacing w:line="560" w:lineRule="exact"/>
        <w:ind w:firstLine="646"/>
        <w:textAlignment w:val="auto"/>
        <w:rPr>
          <w:rFonts w:ascii="仿宋_GB2312" w:eastAsia="仿宋_GB2312"/>
          <w:sz w:val="32"/>
          <w:szCs w:val="32"/>
        </w:rPr>
      </w:pPr>
      <w:r>
        <w:rPr>
          <w:rFonts w:hint="eastAsia" w:ascii="仿宋_GB2312" w:eastAsia="仿宋_GB2312"/>
          <w:sz w:val="32"/>
          <w:szCs w:val="32"/>
        </w:rPr>
        <w:t>二、部门决算单位构成</w:t>
      </w:r>
    </w:p>
    <w:p>
      <w:pPr>
        <w:keepNext w:val="0"/>
        <w:keepLines w:val="0"/>
        <w:pageBreakBefore w:val="0"/>
        <w:kinsoku/>
        <w:wordWrap/>
        <w:overflowPunct/>
        <w:topLinePunct w:val="0"/>
        <w:bidi w:val="0"/>
        <w:snapToGrid/>
        <w:spacing w:line="560" w:lineRule="exact"/>
        <w:ind w:firstLine="646"/>
        <w:textAlignment w:val="auto"/>
        <w:rPr>
          <w:rFonts w:ascii="仿宋_GB2312" w:eastAsia="仿宋_GB2312"/>
          <w:sz w:val="32"/>
          <w:szCs w:val="32"/>
        </w:rPr>
      </w:pPr>
      <w:r>
        <w:rPr>
          <w:rFonts w:hint="eastAsia" w:ascii="仿宋_GB2312" w:eastAsia="仿宋_GB2312"/>
          <w:sz w:val="32"/>
          <w:szCs w:val="32"/>
        </w:rPr>
        <w:t>核定编制数38人，核定办公室、网站管理与信息资源科、电子政务与技术应用科、项目规划与管理科、信息基础设施建设管理科、网络与信息安全科6个内设科室。</w:t>
      </w:r>
    </w:p>
    <w:p>
      <w:pPr>
        <w:keepNext w:val="0"/>
        <w:keepLines w:val="0"/>
        <w:pageBreakBefore w:val="0"/>
        <w:kinsoku/>
        <w:wordWrap/>
        <w:overflowPunct/>
        <w:topLinePunct w:val="0"/>
        <w:bidi w:val="0"/>
        <w:snapToGrid/>
        <w:spacing w:line="560" w:lineRule="exact"/>
        <w:ind w:firstLine="630" w:firstLineChars="196"/>
        <w:textAlignment w:val="auto"/>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单位</w:t>
      </w:r>
      <w:r>
        <w:rPr>
          <w:rFonts w:hint="eastAsia" w:ascii="仿宋_GB2312" w:eastAsia="仿宋_GB2312"/>
          <w:b/>
          <w:sz w:val="32"/>
          <w:szCs w:val="32"/>
        </w:rPr>
        <w:t>2020年部门决算报表</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eastAsia="zh-CN"/>
        </w:rPr>
        <w:t>详见附件</w:t>
      </w:r>
    </w:p>
    <w:p>
      <w:pPr>
        <w:keepNext w:val="0"/>
        <w:keepLines w:val="0"/>
        <w:pageBreakBefore w:val="0"/>
        <w:kinsoku/>
        <w:wordWrap/>
        <w:overflowPunct/>
        <w:topLinePunct w:val="0"/>
        <w:bidi w:val="0"/>
        <w:snapToGri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柳州市信息化建设管理中心</w:t>
      </w:r>
      <w:r>
        <w:rPr>
          <w:rFonts w:hint="eastAsia" w:ascii="仿宋_GB2312" w:eastAsia="仿宋_GB2312"/>
          <w:b/>
          <w:sz w:val="32"/>
          <w:szCs w:val="32"/>
        </w:rPr>
        <w:t>2020年度部门决算情况说明</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2020年度收入总计5876.98万元，支出总计5876.98万元，与2019年相比，收、支分别减少962.17万元；分别下降14.07%。</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
          <w:kern w:val="0"/>
          <w:sz w:val="32"/>
          <w:szCs w:val="32"/>
        </w:rPr>
      </w:pPr>
      <w:r>
        <w:rPr>
          <w:rFonts w:hint="eastAsia" w:ascii="仿宋_GB2312" w:eastAsia="仿宋_GB2312" w:cs="仿宋_GB2312"/>
          <w:bCs/>
          <w:kern w:val="0"/>
          <w:sz w:val="32"/>
          <w:szCs w:val="32"/>
        </w:rPr>
        <w:t>本年收入总计5642.39万元。社会保障和就业支出97.36万元，卫生健康支出41.42万元，城乡社区支出4623.4万元，资源勘探工业信息等支出837.63万元，住房保障支出42.59万元。 其中：一般公共预算财政拨款收入5187.39万元；占比91.94%；政府基金预算财政拨款收入455万元；占比8.06%；上级补助收入0万元，占比0；事业收入0万元，占比0；事业单位经营收入0万元，占比0；其他收入0.03万元。</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5072.1万元。社会保障和就业支出87.66万元，卫生健康支出55.37万元，城乡社区支出4048.89万元，资源勘探工业信息等支出837.6万元，住房保障支出42.59万元。其中：基本支出618.72万元，占12.2%；项目支出4453.37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占87.8%。</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本单位2020年度财政拨款收、支总决算5876.93万元。与2019年相比，财政拨款收、支总计各减少962.2万元，下降14.07%。</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（一）财政拨款支出决算情况。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本单位2020年度财政拨款支出4617.09万元，占本年支出合计的91.03%。与2019年相比，财政拨款支出增加246.27万元，增加5.63%。</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4617.09万元，主要用于以下方面：卫生健康支出55.37万元，占1.2%；城乡社区支出3593.88万元，占77.84%；资源勘探工业信息等支出837.59万元，占18.14%；社会保障和就业（类）支出87.66万元，占1.9%；住房保障（类）支出42.59万元，占0.9%。</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年初预算为1003.94万元，支出决算为4617.09万元，完成年初预算的459.9%。决算数大于预算数的主要原因：一是年中追加安排财政拨款支出预算，涉及项目有2020年第一、二批智慧城市专项支出、城乡社区事务规划编制专项支出；二是部分支出按规定，通过使用以前年度财政拨款结转资金解决。</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1.社会保障和就业类行政事业单位养老：离退休费，年初预算为11.13万元，支出决算为10.87万元，完成年初预算的97.66%。养老保险缴费年初预算为57.31万元，支出决算为51.23万元，完成年初预算的89.39%。职业年金缴费年初预算为28.65万元，支出决算为25.56万元，完成年初预算的89.21%</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卫生健康类行政事业单位医疗：行政单位医疗，年初预算为26.86万元，支出决算为20.01万元。公务员医疗补助，年初预算数为21.63万元，支出决算数为35.36万元，完成年初预算的163.48%。决算数大于预算数的主要原因是支出中使用以前年度的财政拨款结转资金。</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3.城乡社区类：城乡社区规划与管理，年初预算为0万元，支出决算为147.95万元，决算数大于预算数的主要原因是年中追加安排财政拨款支出预算。城乡社区公共设施其他城乡社区公共设施，年初预算数为0，支出决算数3445.93万元，一是年中追加安排财政拨款支出预算，二是部分支出按规定，通过使用以前年度财政拨款结转资金解决。</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4.资源勘探工业信息类：工业和信息监管事务行政运行，年初预算为403.98万元，支出决算为433.11万元，完成年初预算的107.21%。决算数大于预算数的主要原因是年中追加安排财政拨款支出预算。工业和信息产业监管事务其他工业和信息产业监管，年初预算数为411.4万元，支出决算数为404.59万元，完成年初预算的98.34%。</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5.住房保障类：住房改革事务住房公积金，年初预算为42.98万元，支出决算为41.7万元，完成年初预算的97.02%。住房改革事务购房补贴，年初预算数为0万元，支出决算数为0.89万元，决算数大于预算数的主要原因是年中追加安排财政拨款支出预算。</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2020年度财政拨款基本支出618.72万元，其中：</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人员经费544.92万元，主要包括：基本工资、津贴补贴、奖金、伙食补助费、机关事业单位基本养老保险缴费、职业年金缴费、其他社会保障缴费、退休费、生活补助、住房公积金。</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公用经费73.8万元，主要包括：办公费、咨询费、手续费、水费、电费、邮电费、、物业管理费、差旅费、维修（护）费、租赁费、会议费、培训费、公务接待费、劳务费、委托业务费、工会经费、福利费、其他交通费用、其他商品和服务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2020年度一般公共预算财政拨款“三公”经费支出决算情况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（一）“三公”经费财政拨款支出决算总体情况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元，支出决算为0万元，完成预算的0%，其中：因公出国（境）费支出决算为0万元，完成预算的0%；公务用车购置及运行费支出决算为0万元，完成预算的0%；公务接待费支出决算为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万元，完成预算的0%。2020年度“三公”经费支出决算数小于预算数的主要原因是认真贯彻落实中央“八项规定”精神和厉行节约要求，进一步从严控制“三公”经费开支，</w:t>
      </w:r>
      <w:r>
        <w:rPr>
          <w:rFonts w:hint="eastAsia" w:ascii="仿宋_GB2312" w:eastAsia="仿宋_GB2312" w:cs="仿宋_GB2312"/>
          <w:bCs/>
          <w:kern w:val="0"/>
          <w:sz w:val="32"/>
          <w:szCs w:val="32"/>
          <w:lang w:val="en-US" w:eastAsia="zh-CN"/>
        </w:rPr>
        <w:t>2020年无相关公务接待支出</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0.09万元，下降100%，其中：因公出国（境）费支出决算减少0万元，下0%；公务用车购置及运行费支出决算减少0万元，下降0%；公务接待费支出决算减少0.09万元，下降100%。</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%。具体情况如下：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人次。开支内容包括：</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万元。2020年，机关所属单位开支财政拨款的公务用车保有量为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。2020年共接待国内来访团组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八、</w:t>
      </w:r>
      <w:r>
        <w:rPr>
          <w:rFonts w:hint="eastAsia" w:ascii="仿宋_GB2312" w:eastAsia="仿宋_GB2312" w:cs="仿宋_GB2312"/>
          <w:b/>
          <w:kern w:val="0"/>
          <w:sz w:val="32"/>
          <w:szCs w:val="32"/>
        </w:rPr>
        <w:t>2020年度政府性基金预算财政拨款收入支出决算情况说明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本部门2020年度政府基金预算财政拨款收、支总决算</w:t>
      </w:r>
      <w:r>
        <w:rPr>
          <w:rFonts w:hint="eastAsia" w:ascii="仿宋_GB2312" w:eastAsia="仿宋_GB2312" w:cs="仿宋_GB2312"/>
          <w:bCs/>
          <w:kern w:val="0"/>
          <w:sz w:val="32"/>
          <w:szCs w:val="32"/>
          <w:lang w:val="en-US" w:eastAsia="zh-CN"/>
        </w:rPr>
        <w:t>455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455</w:t>
      </w:r>
      <w:r>
        <w:rPr>
          <w:rFonts w:hint="eastAsia" w:ascii="仿宋_GB2312" w:eastAsia="仿宋_GB2312" w:cs="仿宋_GB2312"/>
          <w:bCs/>
          <w:kern w:val="0"/>
          <w:sz w:val="32"/>
          <w:szCs w:val="32"/>
        </w:rPr>
        <w:t>万元。其中，支出情况为：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2020年基金拨款年初预算为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455</w:t>
      </w:r>
      <w:r>
        <w:rPr>
          <w:rFonts w:hint="eastAsia" w:ascii="仿宋_GB2312" w:eastAsia="仿宋_GB2312" w:cs="仿宋_GB2312"/>
          <w:bCs/>
          <w:kern w:val="0"/>
          <w:sz w:val="32"/>
          <w:szCs w:val="32"/>
        </w:rPr>
        <w:t>万元，决算大于预算数主要原因：</w:t>
      </w:r>
      <w:r>
        <w:rPr>
          <w:rFonts w:hint="eastAsia" w:ascii="仿宋_GB2312" w:eastAsia="仿宋_GB2312" w:cs="仿宋_GB2312"/>
          <w:bCs/>
          <w:kern w:val="0"/>
          <w:sz w:val="32"/>
          <w:szCs w:val="32"/>
          <w:lang w:val="en-US" w:eastAsia="zh-CN"/>
        </w:rPr>
        <w:t>2020</w:t>
      </w:r>
      <w:r>
        <w:rPr>
          <w:rFonts w:hint="eastAsia" w:ascii="仿宋_GB2312" w:eastAsia="仿宋_GB2312" w:cs="仿宋_GB2312"/>
          <w:bCs/>
          <w:kern w:val="0"/>
          <w:sz w:val="32"/>
          <w:szCs w:val="32"/>
        </w:rPr>
        <w:t>年中追加安排财政拨款支出预算</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其中：</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1.城乡社区支出（类）政府住房基金及对应专项债务收入安排支出（款）费用支出（项）。年初预算为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455</w:t>
      </w:r>
      <w:r>
        <w:rPr>
          <w:rFonts w:hint="eastAsia" w:ascii="仿宋_GB2312" w:eastAsia="仿宋_GB2312" w:cs="仿宋_GB2312"/>
          <w:bCs/>
          <w:kern w:val="0"/>
          <w:sz w:val="32"/>
          <w:szCs w:val="32"/>
        </w:rPr>
        <w:t>万元。决算数大于预算数的主要原因是</w:t>
      </w:r>
      <w:r>
        <w:rPr>
          <w:rFonts w:hint="eastAsia" w:ascii="仿宋_GB2312" w:eastAsia="仿宋_GB2312" w:cs="仿宋_GB2312"/>
          <w:bCs/>
          <w:kern w:val="0"/>
          <w:sz w:val="32"/>
          <w:szCs w:val="32"/>
          <w:lang w:eastAsia="zh-CN"/>
        </w:rPr>
        <w:t>年中新下达了部分项目资金</w:t>
      </w:r>
      <w:r>
        <w:rPr>
          <w:rFonts w:hint="eastAsia" w:ascii="仿宋_GB2312" w:eastAsia="仿宋_GB2312" w:cs="仿宋_GB2312"/>
          <w:bCs/>
          <w:kern w:val="0"/>
          <w:sz w:val="32"/>
          <w:szCs w:val="32"/>
        </w:rPr>
        <w:t>。</w:t>
      </w:r>
    </w:p>
    <w:p>
      <w:pPr>
        <w:keepNext w:val="0"/>
        <w:keepLines w:val="0"/>
        <w:pageBreakBefore w:val="0"/>
        <w:numPr>
          <w:ilvl w:val="0"/>
          <w:numId w:val="1"/>
        </w:numPr>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国有资本经营预算财政拨款支出情况说明（根据实际情况作表述）</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highlight w:val="yellow"/>
          <w:lang w:eastAsia="zh-CN"/>
        </w:rPr>
      </w:pPr>
      <w:r>
        <w:rPr>
          <w:rFonts w:hint="eastAsia" w:ascii="仿宋_GB2312" w:eastAsia="仿宋_GB2312" w:cs="仿宋_GB2312"/>
          <w:bCs/>
          <w:kern w:val="0"/>
          <w:sz w:val="32"/>
          <w:szCs w:val="32"/>
          <w:highlight w:val="none"/>
          <w:lang w:eastAsia="zh-CN"/>
        </w:rPr>
        <w:t>我单位</w:t>
      </w:r>
      <w:r>
        <w:rPr>
          <w:rFonts w:hint="eastAsia" w:ascii="仿宋_GB2312" w:eastAsia="仿宋_GB2312" w:cs="仿宋_GB2312"/>
          <w:bCs/>
          <w:kern w:val="0"/>
          <w:sz w:val="32"/>
          <w:szCs w:val="32"/>
          <w:highlight w:val="none"/>
        </w:rPr>
        <w:t>2020年度</w:t>
      </w:r>
      <w:r>
        <w:rPr>
          <w:rFonts w:hint="eastAsia" w:ascii="仿宋_GB2312" w:eastAsia="仿宋_GB2312" w:cs="仿宋_GB2312"/>
          <w:bCs/>
          <w:kern w:val="0"/>
          <w:sz w:val="32"/>
          <w:szCs w:val="32"/>
          <w:highlight w:val="none"/>
          <w:lang w:eastAsia="zh-CN"/>
        </w:rPr>
        <w:t>无</w:t>
      </w:r>
      <w:r>
        <w:rPr>
          <w:rFonts w:hint="eastAsia" w:ascii="仿宋_GB2312" w:eastAsia="仿宋_GB2312" w:cs="仿宋_GB2312"/>
          <w:bCs/>
          <w:kern w:val="0"/>
          <w:sz w:val="32"/>
          <w:szCs w:val="32"/>
          <w:highlight w:val="none"/>
        </w:rPr>
        <w:t>国有资本经营预算</w:t>
      </w:r>
      <w:r>
        <w:rPr>
          <w:rFonts w:hint="eastAsia" w:ascii="仿宋_GB2312" w:eastAsia="仿宋_GB2312" w:cs="仿宋_GB2312"/>
          <w:bCs/>
          <w:kern w:val="0"/>
          <w:sz w:val="32"/>
          <w:szCs w:val="32"/>
          <w:highlight w:val="none"/>
          <w:lang w:eastAsia="zh-CN"/>
        </w:rPr>
        <w:t>支出。</w:t>
      </w:r>
    </w:p>
    <w:p>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年度预算绩效情况说明</w:t>
      </w:r>
    </w:p>
    <w:p>
      <w:pPr>
        <w:keepNext w:val="0"/>
        <w:keepLines w:val="0"/>
        <w:pageBreakBefore w:val="0"/>
        <w:numPr>
          <w:ilvl w:val="0"/>
          <w:numId w:val="0"/>
        </w:numPr>
        <w:kinsoku/>
        <w:wordWrap/>
        <w:overflowPunct/>
        <w:topLinePunct w:val="0"/>
        <w:autoSpaceDE w:val="0"/>
        <w:autoSpaceDN w:val="0"/>
        <w:bidi w:val="0"/>
        <w:adjustRightInd w:val="0"/>
        <w:snapToGrid/>
        <w:spacing w:line="560" w:lineRule="exact"/>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绩效管理工作开展情况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根据财政预算管理要求，我部门组织对2020年度一般公共预算项目支出全面开展绩效自评。其中，一级项目</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个，二级项目</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个，共涉及预算资金</w:t>
      </w:r>
      <w:r>
        <w:rPr>
          <w:rFonts w:hint="eastAsia" w:ascii="仿宋_GB2312" w:eastAsia="仿宋_GB2312" w:cs="仿宋_GB2312"/>
          <w:bCs/>
          <w:kern w:val="0"/>
          <w:sz w:val="32"/>
          <w:szCs w:val="32"/>
          <w:lang w:val="en-US" w:eastAsia="zh-CN"/>
        </w:rPr>
        <w:t>1500</w:t>
      </w:r>
      <w:r>
        <w:rPr>
          <w:rFonts w:hint="eastAsia" w:ascii="仿宋_GB2312" w:eastAsia="仿宋_GB2312" w:cs="仿宋_GB2312"/>
          <w:bCs/>
          <w:kern w:val="0"/>
          <w:sz w:val="32"/>
          <w:szCs w:val="32"/>
        </w:rPr>
        <w:t>万元，自评覆盖率达到</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keepNext w:val="0"/>
        <w:keepLines w:val="0"/>
        <w:pageBreakBefore w:val="0"/>
        <w:numPr>
          <w:ilvl w:val="0"/>
          <w:numId w:val="2"/>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部门决算中项目绩效自评结果。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kern w:val="0"/>
          <w:sz w:val="32"/>
          <w:szCs w:val="32"/>
        </w:rPr>
        <w:t>我部门根据年初设定的绩效目标，部门OA系统等电子政务相关项目、智慧城市项目自评得分为</w:t>
      </w:r>
      <w:r>
        <w:rPr>
          <w:rFonts w:hint="eastAsia" w:ascii="仿宋_GB2312" w:eastAsia="仿宋_GB2312" w:cs="仿宋_GB2312"/>
          <w:kern w:val="0"/>
          <w:sz w:val="32"/>
          <w:szCs w:val="32"/>
          <w:lang w:val="en-US" w:eastAsia="zh-CN"/>
        </w:rPr>
        <w:t>89</w:t>
      </w:r>
      <w:r>
        <w:rPr>
          <w:rFonts w:hint="eastAsia" w:ascii="仿宋_GB2312" w:eastAsia="仿宋_GB2312" w:cs="仿宋_GB2312"/>
          <w:kern w:val="0"/>
          <w:sz w:val="32"/>
          <w:szCs w:val="32"/>
        </w:rPr>
        <w:t>分。发现的主要问题及原因：一是</w:t>
      </w:r>
      <w:r>
        <w:rPr>
          <w:rFonts w:hint="eastAsia" w:ascii="仿宋_GB2312" w:eastAsia="仿宋_GB2312" w:cs="仿宋_GB2312"/>
          <w:kern w:val="0"/>
          <w:sz w:val="32"/>
          <w:szCs w:val="32"/>
          <w:lang w:eastAsia="zh-CN"/>
        </w:rPr>
        <w:t>预算执行不够精细。</w:t>
      </w:r>
      <w:r>
        <w:rPr>
          <w:rFonts w:hint="eastAsia" w:ascii="仿宋_GB2312" w:eastAsia="仿宋_GB2312" w:cs="仿宋_GB2312"/>
          <w:kern w:val="0"/>
          <w:sz w:val="32"/>
          <w:szCs w:val="32"/>
        </w:rPr>
        <w:t>下一步改进措施：一是</w:t>
      </w:r>
      <w:r>
        <w:rPr>
          <w:rFonts w:hint="eastAsia" w:ascii="仿宋_GB2312" w:eastAsia="仿宋_GB2312" w:cs="仿宋_GB2312"/>
          <w:kern w:val="0"/>
          <w:sz w:val="32"/>
          <w:szCs w:val="32"/>
          <w:lang w:eastAsia="zh-CN"/>
        </w:rPr>
        <w:t>做好项目支出计划</w:t>
      </w:r>
      <w:r>
        <w:rPr>
          <w:rFonts w:hint="eastAsia" w:ascii="仿宋_GB2312" w:eastAsia="仿宋_GB2312" w:cs="仿宋_GB2312"/>
          <w:kern w:val="0"/>
          <w:sz w:val="32"/>
          <w:szCs w:val="32"/>
        </w:rPr>
        <w:t>；二是</w:t>
      </w:r>
      <w:r>
        <w:rPr>
          <w:rFonts w:hint="eastAsia" w:ascii="仿宋_GB2312" w:eastAsia="仿宋_GB2312" w:cs="仿宋_GB2312"/>
          <w:kern w:val="0"/>
          <w:sz w:val="32"/>
          <w:szCs w:val="32"/>
          <w:lang w:eastAsia="zh-CN"/>
        </w:rPr>
        <w:t>加快推进支出进度，确保按时完成相关指标</w:t>
      </w:r>
      <w:r>
        <w:rPr>
          <w:rFonts w:hint="eastAsia" w:ascii="仿宋_GB2312" w:eastAsia="仿宋_GB2312" w:cs="仿宋_GB2312"/>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73.80</w:t>
      </w:r>
      <w:r>
        <w:rPr>
          <w:rFonts w:hint="eastAsia" w:ascii="仿宋_GB2312" w:eastAsia="仿宋_GB2312" w:cs="仿宋_GB2312"/>
          <w:kern w:val="0"/>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kern w:val="0"/>
          <w:sz w:val="32"/>
          <w:szCs w:val="32"/>
          <w:highlight w:val="none"/>
          <w:shd w:val="clear" w:color="auto" w:fill="auto"/>
        </w:rPr>
      </w:pPr>
      <w:r>
        <w:rPr>
          <w:rFonts w:hint="eastAsia" w:ascii="仿宋_GB2312" w:eastAsia="仿宋_GB2312" w:cs="仿宋_GB2312"/>
          <w:kern w:val="0"/>
          <w:sz w:val="32"/>
          <w:szCs w:val="32"/>
          <w:highlight w:val="none"/>
          <w:shd w:val="clear" w:color="auto" w:fill="auto"/>
        </w:rPr>
        <w:t>（二）政府采购支出情况。2020年度部门政府采购支出总额</w:t>
      </w:r>
      <w:r>
        <w:rPr>
          <w:rFonts w:hint="eastAsia" w:ascii="仿宋_GB2312" w:eastAsia="仿宋_GB2312" w:cs="仿宋_GB2312"/>
          <w:kern w:val="0"/>
          <w:sz w:val="32"/>
          <w:szCs w:val="32"/>
          <w:highlight w:val="none"/>
          <w:shd w:val="clear" w:color="auto" w:fill="auto"/>
          <w:lang w:val="en-US" w:eastAsia="zh-CN"/>
        </w:rPr>
        <w:t>444</w:t>
      </w:r>
      <w:bookmarkStart w:id="0" w:name="_GoBack"/>
      <w:bookmarkEnd w:id="0"/>
      <w:r>
        <w:rPr>
          <w:rFonts w:hint="eastAsia" w:ascii="仿宋_GB2312" w:eastAsia="仿宋_GB2312" w:cs="仿宋_GB2312"/>
          <w:kern w:val="0"/>
          <w:sz w:val="32"/>
          <w:szCs w:val="32"/>
          <w:highlight w:val="none"/>
          <w:shd w:val="clear" w:color="auto" w:fill="auto"/>
          <w:lang w:val="en-US" w:eastAsia="zh-CN"/>
        </w:rPr>
        <w:t>5.65</w:t>
      </w:r>
      <w:r>
        <w:rPr>
          <w:rFonts w:hint="eastAsia" w:ascii="仿宋_GB2312" w:eastAsia="仿宋_GB2312" w:cs="仿宋_GB2312"/>
          <w:kern w:val="0"/>
          <w:sz w:val="32"/>
          <w:szCs w:val="32"/>
          <w:highlight w:val="none"/>
          <w:shd w:val="clear" w:color="auto" w:fill="auto"/>
        </w:rPr>
        <w:t>万元，其中：货物支出</w:t>
      </w:r>
      <w:r>
        <w:rPr>
          <w:rFonts w:hint="eastAsia" w:ascii="仿宋_GB2312" w:eastAsia="仿宋_GB2312" w:cs="仿宋_GB2312"/>
          <w:kern w:val="0"/>
          <w:sz w:val="32"/>
          <w:szCs w:val="32"/>
          <w:highlight w:val="none"/>
          <w:shd w:val="clear" w:color="auto" w:fill="auto"/>
          <w:lang w:val="en-US" w:eastAsia="zh-CN"/>
        </w:rPr>
        <w:t>31.64</w:t>
      </w:r>
      <w:r>
        <w:rPr>
          <w:rFonts w:hint="eastAsia" w:ascii="仿宋_GB2312" w:eastAsia="仿宋_GB2312" w:cs="仿宋_GB2312"/>
          <w:kern w:val="0"/>
          <w:sz w:val="32"/>
          <w:szCs w:val="32"/>
          <w:highlight w:val="none"/>
          <w:shd w:val="clear" w:color="auto" w:fill="auto"/>
        </w:rPr>
        <w:t>万元、工程支出</w:t>
      </w:r>
      <w:r>
        <w:rPr>
          <w:rFonts w:hint="eastAsia" w:ascii="仿宋_GB2312" w:eastAsia="仿宋_GB2312" w:cs="仿宋_GB2312"/>
          <w:kern w:val="0"/>
          <w:sz w:val="32"/>
          <w:szCs w:val="32"/>
          <w:highlight w:val="none"/>
          <w:shd w:val="clear" w:color="auto" w:fill="auto"/>
          <w:lang w:val="en-US" w:eastAsia="zh-CN"/>
        </w:rPr>
        <w:t>0</w:t>
      </w:r>
      <w:r>
        <w:rPr>
          <w:rFonts w:hint="eastAsia" w:ascii="仿宋_GB2312" w:eastAsia="仿宋_GB2312" w:cs="仿宋_GB2312"/>
          <w:kern w:val="0"/>
          <w:sz w:val="32"/>
          <w:szCs w:val="32"/>
          <w:highlight w:val="none"/>
          <w:shd w:val="clear" w:color="auto" w:fill="auto"/>
        </w:rPr>
        <w:t>万元、服务支出</w:t>
      </w:r>
      <w:r>
        <w:rPr>
          <w:rFonts w:hint="eastAsia" w:ascii="仿宋_GB2312" w:eastAsia="仿宋_GB2312" w:cs="仿宋_GB2312"/>
          <w:kern w:val="0"/>
          <w:sz w:val="32"/>
          <w:szCs w:val="32"/>
          <w:highlight w:val="none"/>
          <w:shd w:val="clear" w:color="auto" w:fill="auto"/>
          <w:lang w:val="en-US" w:eastAsia="zh-CN"/>
        </w:rPr>
        <w:t>4414.00</w:t>
      </w:r>
      <w:r>
        <w:rPr>
          <w:rFonts w:hint="eastAsia" w:ascii="仿宋_GB2312" w:eastAsia="仿宋_GB2312" w:cs="仿宋_GB2312"/>
          <w:kern w:val="0"/>
          <w:sz w:val="32"/>
          <w:szCs w:val="32"/>
          <w:highlight w:val="none"/>
          <w:shd w:val="clear" w:color="auto" w:fill="auto"/>
        </w:rPr>
        <w:t>万元。</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Style w:val="8"/>
          <w:rFonts w:hint="eastAsia" w:ascii="仿宋_GB2312" w:hAnsi="微软雅黑" w:eastAsia="仿宋_GB2312" w:cs="仿宋_GB2312"/>
          <w:color w:val="auto"/>
          <w:sz w:val="32"/>
          <w:szCs w:val="32"/>
          <w:shd w:val="clear" w:fill="FFFFFF"/>
        </w:rPr>
        <w:t>第四部分：名词解释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一、财政拨款收入：指市本级财政当年拨付的资金。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二、事业收入：指事业单位开展专业活动用辅助活动所取得的收入。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三、经营收入：指事业单位在专业业务活动及辅助活动之外开展非独立核算经营活动取得的收入。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四、其他收入：指除上述“财政拨款收入”、“事业收入”、“经营收入”等以外的收入。主要是：利息收入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六、年初结转和结余：指以前年度尚未完成、结转到本年按规定继续使用的资金。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七、结余分配：指事业单位按规定提取的职工福利基金、事业基金和缴纳的所得税，以及建设单位按规定应交回的基本建设竣工项目结余资金。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八、年末结转和结余：指本年度或以前年度预算安排、因客观条件发生变化无法按原计划实施，需延迟到以后年度按有关规定继续使用的资金。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九、基本支出：指为保障机构正常运转、完成日常工作任务而发生的人员支出和公用支出。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十、项目支出：指在基本支出之外为完成特定行政任务和事业发展目标所发生的支出。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十一、经营支出：指事业单位在专业业务活动及其辅助活动之外开展非独立核算经营活动发生的支出。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十二、“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color w:val="auto"/>
          <w:sz w:val="32"/>
          <w:szCs w:val="32"/>
        </w:rPr>
      </w:pPr>
      <w:r>
        <w:rPr>
          <w:rFonts w:hint="eastAsia" w:ascii="仿宋_GB2312" w:hAnsi="微软雅黑" w:eastAsia="仿宋_GB2312" w:cs="仿宋_GB2312"/>
          <w:color w:val="auto"/>
          <w:sz w:val="32"/>
          <w:szCs w:val="32"/>
          <w:shd w:val="clear" w:fill="FFFFFF"/>
        </w:rPr>
        <w:t>十三、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ascii="仿宋_GB2312" w:eastAsia="仿宋_GB2312" w:cs="仿宋_GB2312"/>
          <w:kern w:val="0"/>
          <w:sz w:val="32"/>
          <w:szCs w:val="32"/>
        </w:rPr>
      </w:pPr>
    </w:p>
    <w:p>
      <w:pPr>
        <w:keepNext w:val="0"/>
        <w:keepLines w:val="0"/>
        <w:pageBreakBefore w:val="0"/>
        <w:kinsoku/>
        <w:wordWrap/>
        <w:overflowPunct/>
        <w:topLinePunct w:val="0"/>
        <w:bidi w:val="0"/>
        <w:snapToGrid/>
        <w:spacing w:line="560" w:lineRule="exact"/>
        <w:textAlignment w:val="auto"/>
      </w:pPr>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- 10 -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3F04E1FD"/>
    <w:multiLevelType w:val="singleLevel"/>
    <w:tmpl w:val="3F04E1F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256E3D"/>
    <w:rsid w:val="0005694C"/>
    <w:rsid w:val="00066CA3"/>
    <w:rsid w:val="001845DA"/>
    <w:rsid w:val="001A5C76"/>
    <w:rsid w:val="001D5056"/>
    <w:rsid w:val="001F0C3D"/>
    <w:rsid w:val="00275370"/>
    <w:rsid w:val="002B4855"/>
    <w:rsid w:val="002B5AA3"/>
    <w:rsid w:val="002B5B4F"/>
    <w:rsid w:val="002D3E3D"/>
    <w:rsid w:val="003242F5"/>
    <w:rsid w:val="00396C5A"/>
    <w:rsid w:val="003E08E5"/>
    <w:rsid w:val="003F34A0"/>
    <w:rsid w:val="00403220"/>
    <w:rsid w:val="00411F2F"/>
    <w:rsid w:val="00424FD6"/>
    <w:rsid w:val="0044484F"/>
    <w:rsid w:val="004F21F2"/>
    <w:rsid w:val="00504033"/>
    <w:rsid w:val="00593A40"/>
    <w:rsid w:val="00624664"/>
    <w:rsid w:val="006450C9"/>
    <w:rsid w:val="006C1367"/>
    <w:rsid w:val="006C5232"/>
    <w:rsid w:val="006D44F0"/>
    <w:rsid w:val="00715385"/>
    <w:rsid w:val="007A403D"/>
    <w:rsid w:val="007C6001"/>
    <w:rsid w:val="007F1B5A"/>
    <w:rsid w:val="008A0FAF"/>
    <w:rsid w:val="009407AA"/>
    <w:rsid w:val="00942453"/>
    <w:rsid w:val="00953A79"/>
    <w:rsid w:val="00956284"/>
    <w:rsid w:val="009738A7"/>
    <w:rsid w:val="00996B03"/>
    <w:rsid w:val="009F23C7"/>
    <w:rsid w:val="009F7201"/>
    <w:rsid w:val="00A0398E"/>
    <w:rsid w:val="00A14D9B"/>
    <w:rsid w:val="00A6227E"/>
    <w:rsid w:val="00AB0D1C"/>
    <w:rsid w:val="00AB140F"/>
    <w:rsid w:val="00AB7670"/>
    <w:rsid w:val="00AD535C"/>
    <w:rsid w:val="00B46679"/>
    <w:rsid w:val="00B7008D"/>
    <w:rsid w:val="00BD7E1D"/>
    <w:rsid w:val="00BE5C98"/>
    <w:rsid w:val="00C05406"/>
    <w:rsid w:val="00C371FD"/>
    <w:rsid w:val="00CE7CD7"/>
    <w:rsid w:val="00D06D7B"/>
    <w:rsid w:val="00D52698"/>
    <w:rsid w:val="00D9309F"/>
    <w:rsid w:val="00E52F0C"/>
    <w:rsid w:val="00EC1193"/>
    <w:rsid w:val="00ED6138"/>
    <w:rsid w:val="00F5137C"/>
    <w:rsid w:val="00F66C5B"/>
    <w:rsid w:val="00F6763D"/>
    <w:rsid w:val="00F67768"/>
    <w:rsid w:val="00F878CE"/>
    <w:rsid w:val="0ABF0297"/>
    <w:rsid w:val="0E074DDF"/>
    <w:rsid w:val="0E7F4474"/>
    <w:rsid w:val="0F15442F"/>
    <w:rsid w:val="124204B5"/>
    <w:rsid w:val="182962AB"/>
    <w:rsid w:val="19D073EB"/>
    <w:rsid w:val="1CC31F67"/>
    <w:rsid w:val="24D337DC"/>
    <w:rsid w:val="26460DBA"/>
    <w:rsid w:val="2B6F74EB"/>
    <w:rsid w:val="2C4219FE"/>
    <w:rsid w:val="34020F86"/>
    <w:rsid w:val="39A63F06"/>
    <w:rsid w:val="3ED1439F"/>
    <w:rsid w:val="3F5A5631"/>
    <w:rsid w:val="41400212"/>
    <w:rsid w:val="48374EDC"/>
    <w:rsid w:val="4C256E3D"/>
    <w:rsid w:val="4CB52F0F"/>
    <w:rsid w:val="532F1F9A"/>
    <w:rsid w:val="55F40837"/>
    <w:rsid w:val="56232A73"/>
    <w:rsid w:val="57FE5439"/>
    <w:rsid w:val="5E995A3E"/>
    <w:rsid w:val="62163194"/>
    <w:rsid w:val="624D024D"/>
    <w:rsid w:val="643834DF"/>
    <w:rsid w:val="650E086A"/>
    <w:rsid w:val="6BAA0708"/>
    <w:rsid w:val="75FE28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批注框文本 Char"/>
    <w:basedOn w:val="7"/>
    <w:link w:val="2"/>
    <w:qFormat/>
    <w:uiPriority w:val="0"/>
    <w:rPr>
      <w:kern w:val="2"/>
      <w:sz w:val="18"/>
      <w:szCs w:val="18"/>
    </w:rPr>
  </w:style>
  <w:style w:type="character" w:customStyle="1" w:styleId="11">
    <w:name w:val="font11"/>
    <w:basedOn w:val="7"/>
    <w:uiPriority w:val="0"/>
    <w:rPr>
      <w:rFonts w:hint="eastAsia" w:ascii="宋体" w:hAnsi="宋体" w:eastAsia="宋体" w:cs="宋体"/>
      <w:color w:val="000000"/>
      <w:sz w:val="22"/>
      <w:szCs w:val="22"/>
      <w:u w:val="none"/>
    </w:rPr>
  </w:style>
  <w:style w:type="character" w:customStyle="1" w:styleId="12">
    <w:name w:val="font01"/>
    <w:basedOn w:val="7"/>
    <w:uiPriority w:val="0"/>
    <w:rPr>
      <w:rFonts w:hint="eastAsia" w:ascii="宋体" w:hAnsi="宋体" w:eastAsia="宋体" w:cs="宋体"/>
      <w:color w:val="000000"/>
      <w:sz w:val="24"/>
      <w:szCs w:val="24"/>
      <w:u w:val="none"/>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918</Words>
  <Characters>5237</Characters>
  <Lines>43</Lines>
  <Paragraphs>12</Paragraphs>
  <TotalTime>6</TotalTime>
  <ScaleCrop>false</ScaleCrop>
  <LinksUpToDate>false</LinksUpToDate>
  <CharactersWithSpaces>6143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fatdog</cp:lastModifiedBy>
  <cp:lastPrinted>2021-07-07T01:10:00Z</cp:lastPrinted>
  <dcterms:modified xsi:type="dcterms:W3CDTF">2021-07-29T14:05:51Z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246A74E4EDB344DD86EB8743529B7FBE</vt:lpwstr>
  </property>
</Properties>
</file>