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s="ArialUnicodeMS"/>
          <w:kern w:val="0"/>
          <w:sz w:val="52"/>
          <w:szCs w:val="52"/>
          <w:lang w:eastAsia="zh-CN"/>
        </w:rPr>
      </w:pPr>
    </w:p>
    <w:p>
      <w:pPr>
        <w:jc w:val="center"/>
        <w:rPr>
          <w:rFonts w:hint="eastAsia" w:ascii="黑体" w:eastAsia="黑体" w:cs="ArialUnicodeMS"/>
          <w:kern w:val="0"/>
          <w:sz w:val="52"/>
          <w:szCs w:val="52"/>
          <w:lang w:eastAsia="zh-CN"/>
        </w:rPr>
      </w:pPr>
    </w:p>
    <w:p>
      <w:pPr>
        <w:jc w:val="center"/>
        <w:rPr>
          <w:rFonts w:hint="eastAsia" w:ascii="黑体" w:eastAsia="黑体" w:cs="ArialUnicodeMS"/>
          <w:kern w:val="0"/>
          <w:sz w:val="52"/>
          <w:szCs w:val="52"/>
          <w:lang w:eastAsia="zh-CN"/>
        </w:rPr>
      </w:pPr>
    </w:p>
    <w:p>
      <w:pPr>
        <w:jc w:val="center"/>
        <w:rPr>
          <w:rFonts w:hint="eastAsia" w:ascii="黑体" w:eastAsia="黑体" w:cs="ArialUnicodeMS"/>
          <w:kern w:val="0"/>
          <w:sz w:val="52"/>
          <w:szCs w:val="52"/>
          <w:lang w:eastAsia="zh-CN"/>
        </w:rPr>
      </w:pPr>
    </w:p>
    <w:p>
      <w:pPr>
        <w:jc w:val="center"/>
        <w:rPr>
          <w:rFonts w:hint="eastAsia" w:ascii="黑体" w:eastAsia="黑体" w:cs="ArialUnicodeMS"/>
          <w:kern w:val="0"/>
          <w:sz w:val="52"/>
          <w:szCs w:val="52"/>
          <w:lang w:eastAsia="zh-CN"/>
        </w:rPr>
      </w:pPr>
    </w:p>
    <w:p>
      <w:pPr>
        <w:jc w:val="center"/>
        <w:rPr>
          <w:rFonts w:ascii="黑体" w:eastAsia="黑体" w:cs="黑体"/>
          <w:kern w:val="0"/>
          <w:sz w:val="44"/>
          <w:szCs w:val="44"/>
        </w:rPr>
      </w:pPr>
      <w:r>
        <w:rPr>
          <w:rFonts w:hint="eastAsia" w:ascii="黑体" w:eastAsia="黑体" w:cs="ArialUnicodeMS"/>
          <w:kern w:val="0"/>
          <w:sz w:val="52"/>
          <w:szCs w:val="52"/>
          <w:lang w:eastAsia="zh-CN"/>
        </w:rPr>
        <w:t>柳州市台联</w:t>
      </w:r>
      <w:r>
        <w:rPr>
          <w:rFonts w:hint="eastAsia" w:ascii="黑体" w:eastAsia="黑体" w:cs="ArialUnicodeMS"/>
          <w:kern w:val="0"/>
          <w:sz w:val="52"/>
          <w:szCs w:val="52"/>
          <w:lang w:val="en-US" w:eastAsia="zh-CN"/>
        </w:rPr>
        <w:t>2020</w:t>
      </w:r>
      <w:r>
        <w:rPr>
          <w:rFonts w:hint="eastAsia" w:ascii="黑体" w:eastAsia="黑体" w:cs="ArialUnicodeMS"/>
          <w:kern w:val="0"/>
          <w:sz w:val="52"/>
          <w:szCs w:val="52"/>
          <w:lang w:eastAsia="zh-CN"/>
        </w:rPr>
        <w:t>年度单位</w:t>
      </w:r>
      <w:r>
        <w:rPr>
          <w:rFonts w:hint="eastAsia" w:ascii="黑体" w:eastAsia="黑体" w:cs="ArialUnicodeMS"/>
          <w:kern w:val="0"/>
          <w:sz w:val="52"/>
          <w:szCs w:val="52"/>
        </w:rPr>
        <w:t>决算</w:t>
      </w:r>
    </w:p>
    <w:p>
      <w:pPr>
        <w:ind w:firstLine="645"/>
        <w:jc w:val="center"/>
        <w:rPr>
          <w:rFonts w:hint="eastAsia" w:ascii="宋体" w:hAnsi="宋体"/>
          <w:b/>
          <w:sz w:val="48"/>
          <w:szCs w:val="48"/>
        </w:rPr>
      </w:pPr>
    </w:p>
    <w:p>
      <w:pPr>
        <w:ind w:firstLine="645"/>
        <w:jc w:val="center"/>
        <w:rPr>
          <w:rFonts w:hint="eastAsia" w:ascii="宋体" w:hAnsi="宋体"/>
          <w:b/>
          <w:sz w:val="48"/>
          <w:szCs w:val="48"/>
        </w:rPr>
      </w:pPr>
    </w:p>
    <w:p>
      <w:pPr>
        <w:ind w:firstLine="645"/>
        <w:jc w:val="center"/>
        <w:rPr>
          <w:rFonts w:hint="eastAsia" w:ascii="宋体" w:hAnsi="宋体"/>
          <w:b/>
          <w:sz w:val="48"/>
          <w:szCs w:val="48"/>
        </w:rPr>
      </w:pPr>
    </w:p>
    <w:p>
      <w:pPr>
        <w:ind w:firstLine="645"/>
        <w:jc w:val="center"/>
        <w:rPr>
          <w:rFonts w:hint="eastAsia" w:ascii="宋体" w:hAnsi="宋体"/>
          <w:b/>
          <w:sz w:val="48"/>
          <w:szCs w:val="48"/>
        </w:rPr>
      </w:pPr>
    </w:p>
    <w:p>
      <w:pPr>
        <w:ind w:firstLine="645"/>
        <w:jc w:val="center"/>
        <w:rPr>
          <w:rFonts w:hint="eastAsia" w:ascii="宋体" w:hAnsi="宋体"/>
          <w:b/>
          <w:sz w:val="48"/>
          <w:szCs w:val="48"/>
        </w:rPr>
      </w:pPr>
    </w:p>
    <w:p>
      <w:pPr>
        <w:ind w:firstLine="645"/>
        <w:jc w:val="center"/>
        <w:rPr>
          <w:rFonts w:hint="eastAsia" w:ascii="宋体" w:hAnsi="宋体"/>
          <w:b/>
          <w:sz w:val="48"/>
          <w:szCs w:val="48"/>
        </w:rPr>
      </w:pPr>
    </w:p>
    <w:p>
      <w:pPr>
        <w:ind w:firstLine="645"/>
        <w:jc w:val="center"/>
        <w:rPr>
          <w:rFonts w:hint="eastAsia" w:ascii="宋体" w:hAnsi="宋体"/>
          <w:b/>
          <w:sz w:val="48"/>
          <w:szCs w:val="48"/>
        </w:rPr>
      </w:pPr>
    </w:p>
    <w:p>
      <w:pPr>
        <w:ind w:firstLine="645"/>
        <w:jc w:val="center"/>
        <w:rPr>
          <w:rFonts w:hint="eastAsia" w:ascii="宋体" w:hAnsi="宋体"/>
          <w:b/>
          <w:sz w:val="48"/>
          <w:szCs w:val="48"/>
        </w:rPr>
      </w:pPr>
    </w:p>
    <w:p>
      <w:pPr>
        <w:ind w:firstLine="645"/>
        <w:jc w:val="center"/>
        <w:rPr>
          <w:rFonts w:hint="eastAsia" w:ascii="宋体" w:hAnsi="宋体"/>
          <w:b/>
          <w:sz w:val="48"/>
          <w:szCs w:val="48"/>
        </w:rPr>
      </w:pPr>
    </w:p>
    <w:p>
      <w:pPr>
        <w:ind w:firstLine="645"/>
        <w:jc w:val="center"/>
        <w:rPr>
          <w:rFonts w:hint="eastAsia" w:ascii="宋体" w:hAnsi="宋体"/>
          <w:b/>
          <w:sz w:val="48"/>
          <w:szCs w:val="48"/>
        </w:rPr>
      </w:pPr>
    </w:p>
    <w:p>
      <w:pPr>
        <w:ind w:firstLine="645"/>
        <w:jc w:val="center"/>
        <w:rPr>
          <w:rFonts w:hint="eastAsia" w:ascii="宋体" w:hAnsi="宋体"/>
          <w:b/>
          <w:sz w:val="48"/>
          <w:szCs w:val="48"/>
        </w:rPr>
      </w:pPr>
    </w:p>
    <w:p>
      <w:pPr>
        <w:jc w:val="both"/>
        <w:rPr>
          <w:rFonts w:hint="eastAsia" w:ascii="宋体" w:hAnsi="宋体"/>
          <w:b/>
          <w:sz w:val="48"/>
          <w:szCs w:val="48"/>
        </w:rPr>
      </w:pPr>
    </w:p>
    <w:p>
      <w:pPr>
        <w:ind w:firstLine="645"/>
        <w:jc w:val="center"/>
        <w:rPr>
          <w:rFonts w:hint="eastAsia" w:ascii="宋体" w:hAnsi="宋体"/>
          <w:b/>
          <w:sz w:val="48"/>
          <w:szCs w:val="48"/>
        </w:rPr>
      </w:pPr>
    </w:p>
    <w:p>
      <w:pPr>
        <w:ind w:firstLine="645"/>
        <w:jc w:val="center"/>
        <w:rPr>
          <w:rFonts w:ascii="宋体"/>
          <w:b/>
          <w:sz w:val="48"/>
          <w:szCs w:val="48"/>
        </w:rPr>
      </w:pPr>
      <w:r>
        <w:rPr>
          <w:rFonts w:hint="eastAsia" w:ascii="宋体" w:hAnsi="宋体"/>
          <w:b/>
          <w:sz w:val="48"/>
          <w:szCs w:val="48"/>
        </w:rPr>
        <w:t>目</w:t>
      </w:r>
      <w:r>
        <w:rPr>
          <w:rFonts w:ascii="宋体" w:hAnsi="宋体"/>
          <w:b/>
          <w:sz w:val="48"/>
          <w:szCs w:val="48"/>
        </w:rPr>
        <w:t xml:space="preserve">    </w:t>
      </w:r>
      <w:r>
        <w:rPr>
          <w:rFonts w:hint="eastAsia" w:ascii="宋体" w:hAnsi="宋体"/>
          <w:b/>
          <w:sz w:val="48"/>
          <w:szCs w:val="48"/>
        </w:rPr>
        <w:t>录</w:t>
      </w:r>
    </w:p>
    <w:p>
      <w:pPr>
        <w:spacing w:line="520" w:lineRule="exact"/>
        <w:ind w:firstLine="645"/>
        <w:rPr>
          <w:rFonts w:ascii="黑体" w:hAnsi="黑体" w:eastAsia="黑体"/>
          <w:b/>
          <w:sz w:val="32"/>
          <w:szCs w:val="32"/>
        </w:rPr>
      </w:pPr>
      <w:r>
        <w:rPr>
          <w:rFonts w:hint="eastAsia" w:ascii="黑体" w:hAnsi="黑体" w:eastAsia="黑体"/>
          <w:b/>
          <w:sz w:val="32"/>
          <w:szCs w:val="32"/>
        </w:rPr>
        <w:t>第一部分：</w:t>
      </w:r>
      <w:r>
        <w:rPr>
          <w:rFonts w:hint="eastAsia" w:ascii="黑体" w:hAnsi="黑体" w:eastAsia="黑体"/>
          <w:b/>
          <w:sz w:val="32"/>
          <w:szCs w:val="32"/>
          <w:lang w:eastAsia="zh-CN"/>
        </w:rPr>
        <w:t>柳州</w:t>
      </w:r>
      <w:r>
        <w:rPr>
          <w:rFonts w:hint="eastAsia" w:ascii="黑体" w:hAnsi="黑体" w:eastAsia="黑体"/>
          <w:b/>
          <w:bCs/>
          <w:color w:val="000000"/>
          <w:sz w:val="32"/>
          <w:szCs w:val="32"/>
        </w:rPr>
        <w:t>市台联</w:t>
      </w:r>
      <w:r>
        <w:rPr>
          <w:rFonts w:hint="eastAsia" w:ascii="黑体" w:hAnsi="黑体" w:eastAsia="黑体"/>
          <w:b/>
          <w:sz w:val="32"/>
          <w:szCs w:val="32"/>
        </w:rPr>
        <w:t>概况</w:t>
      </w:r>
    </w:p>
    <w:p>
      <w:pPr>
        <w:spacing w:line="520" w:lineRule="exact"/>
        <w:ind w:firstLine="645"/>
        <w:rPr>
          <w:rFonts w:ascii="仿宋" w:hAnsi="仿宋" w:eastAsia="仿宋"/>
          <w:sz w:val="32"/>
          <w:szCs w:val="32"/>
        </w:rPr>
      </w:pPr>
      <w:r>
        <w:rPr>
          <w:rFonts w:hint="eastAsia" w:ascii="仿宋" w:hAnsi="仿宋" w:eastAsia="仿宋"/>
          <w:sz w:val="32"/>
          <w:szCs w:val="32"/>
        </w:rPr>
        <w:t>一、主要职能</w:t>
      </w:r>
    </w:p>
    <w:p>
      <w:pPr>
        <w:spacing w:line="520" w:lineRule="exact"/>
        <w:ind w:firstLine="645"/>
        <w:rPr>
          <w:rFonts w:ascii="黑体" w:hAnsi="黑体" w:eastAsia="黑体"/>
          <w:b/>
          <w:bCs/>
          <w:color w:val="000000"/>
          <w:sz w:val="32"/>
          <w:szCs w:val="32"/>
        </w:rPr>
      </w:pPr>
      <w:r>
        <w:rPr>
          <w:rFonts w:hint="eastAsia" w:ascii="黑体" w:hAnsi="黑体" w:eastAsia="黑体"/>
          <w:b/>
          <w:bCs/>
          <w:color w:val="000000"/>
          <w:sz w:val="32"/>
          <w:szCs w:val="32"/>
        </w:rPr>
        <w:t>第二部分：</w:t>
      </w:r>
      <w:r>
        <w:rPr>
          <w:rFonts w:hint="eastAsia" w:ascii="黑体" w:hAnsi="黑体" w:eastAsia="黑体"/>
          <w:b/>
          <w:bCs/>
          <w:color w:val="000000"/>
          <w:sz w:val="32"/>
          <w:szCs w:val="32"/>
          <w:lang w:eastAsia="zh-CN"/>
        </w:rPr>
        <w:t>柳州</w:t>
      </w:r>
      <w:r>
        <w:rPr>
          <w:rFonts w:hint="eastAsia" w:ascii="黑体" w:hAnsi="黑体" w:eastAsia="黑体"/>
          <w:b/>
          <w:bCs/>
          <w:color w:val="000000"/>
          <w:sz w:val="32"/>
          <w:szCs w:val="32"/>
        </w:rPr>
        <w:t>市台联</w:t>
      </w:r>
      <w:r>
        <w:rPr>
          <w:rFonts w:ascii="黑体" w:hAnsi="黑体" w:eastAsia="黑体"/>
          <w:b/>
          <w:bCs/>
          <w:color w:val="000000"/>
          <w:sz w:val="32"/>
          <w:szCs w:val="32"/>
        </w:rPr>
        <w:t>20</w:t>
      </w:r>
      <w:r>
        <w:rPr>
          <w:rFonts w:hint="eastAsia" w:ascii="黑体" w:hAnsi="黑体" w:eastAsia="黑体"/>
          <w:b/>
          <w:bCs/>
          <w:color w:val="000000"/>
          <w:sz w:val="32"/>
          <w:szCs w:val="32"/>
          <w:lang w:val="en-US" w:eastAsia="zh-CN"/>
        </w:rPr>
        <w:t>20</w:t>
      </w:r>
      <w:r>
        <w:rPr>
          <w:rFonts w:hint="eastAsia" w:ascii="黑体" w:hAnsi="黑体" w:eastAsia="黑体"/>
          <w:b/>
          <w:bCs/>
          <w:color w:val="000000"/>
          <w:sz w:val="32"/>
          <w:szCs w:val="32"/>
        </w:rPr>
        <w:t>年</w:t>
      </w:r>
      <w:r>
        <w:rPr>
          <w:rFonts w:hint="eastAsia" w:ascii="黑体" w:hAnsi="黑体" w:eastAsia="黑体"/>
          <w:b/>
          <w:bCs/>
          <w:color w:val="000000"/>
          <w:sz w:val="32"/>
          <w:szCs w:val="32"/>
          <w:lang w:eastAsia="zh-CN"/>
        </w:rPr>
        <w:t>单位</w:t>
      </w:r>
      <w:r>
        <w:rPr>
          <w:rFonts w:hint="eastAsia" w:ascii="黑体" w:hAnsi="黑体" w:eastAsia="黑体"/>
          <w:b/>
          <w:bCs/>
          <w:color w:val="000000"/>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spacing w:line="520" w:lineRule="exact"/>
        <w:ind w:firstLine="645"/>
        <w:rPr>
          <w:rFonts w:ascii="黑体" w:hAnsi="黑体" w:eastAsia="黑体"/>
          <w:b/>
          <w:bCs/>
          <w:color w:val="000000"/>
          <w:sz w:val="32"/>
          <w:szCs w:val="32"/>
        </w:rPr>
      </w:pPr>
      <w:r>
        <w:rPr>
          <w:rFonts w:hint="eastAsia" w:ascii="黑体" w:hAnsi="黑体" w:eastAsia="黑体"/>
          <w:b/>
          <w:bCs/>
          <w:color w:val="000000"/>
          <w:sz w:val="32"/>
          <w:szCs w:val="32"/>
        </w:rPr>
        <w:t>第三部分：市台联</w:t>
      </w:r>
      <w:r>
        <w:rPr>
          <w:rFonts w:hint="eastAsia" w:ascii="黑体" w:hAnsi="黑体" w:eastAsia="黑体"/>
          <w:b/>
          <w:bCs/>
          <w:color w:val="000000"/>
          <w:sz w:val="32"/>
          <w:szCs w:val="32"/>
          <w:lang w:val="en-US" w:eastAsia="zh-CN"/>
        </w:rPr>
        <w:t>2020</w:t>
      </w:r>
      <w:r>
        <w:rPr>
          <w:rFonts w:hint="eastAsia" w:ascii="黑体" w:hAnsi="黑体" w:eastAsia="黑体"/>
          <w:b/>
          <w:bCs/>
          <w:color w:val="000000"/>
          <w:sz w:val="32"/>
          <w:szCs w:val="32"/>
        </w:rPr>
        <w:t>年度</w:t>
      </w:r>
      <w:r>
        <w:rPr>
          <w:rFonts w:hint="eastAsia" w:ascii="黑体" w:hAnsi="黑体" w:eastAsia="黑体"/>
          <w:b/>
          <w:bCs/>
          <w:color w:val="000000"/>
          <w:sz w:val="32"/>
          <w:szCs w:val="32"/>
          <w:lang w:eastAsia="zh-CN"/>
        </w:rPr>
        <w:t>单位</w:t>
      </w:r>
      <w:r>
        <w:rPr>
          <w:rFonts w:hint="eastAsia" w:ascii="黑体" w:hAnsi="黑体" w:eastAsia="黑体"/>
          <w:b/>
          <w:bCs/>
          <w:color w:val="000000"/>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autoSpaceDE w:val="0"/>
        <w:autoSpaceDN w:val="0"/>
        <w:adjustRightInd w:val="0"/>
        <w:spacing w:line="520" w:lineRule="exact"/>
        <w:ind w:firstLine="803" w:firstLineChars="250"/>
        <w:jc w:val="left"/>
        <w:rPr>
          <w:rFonts w:ascii="黑体" w:hAnsi="黑体" w:eastAsia="黑体"/>
          <w:b/>
          <w:bCs/>
          <w:color w:val="000000"/>
          <w:sz w:val="32"/>
          <w:szCs w:val="32"/>
        </w:rPr>
      </w:pPr>
      <w:r>
        <w:rPr>
          <w:rFonts w:hint="eastAsia" w:ascii="黑体" w:hAnsi="黑体" w:eastAsia="黑体"/>
          <w:b/>
          <w:bCs/>
          <w:color w:val="000000"/>
          <w:sz w:val="32"/>
          <w:szCs w:val="32"/>
        </w:rPr>
        <w:t>第四部分</w:t>
      </w:r>
      <w:r>
        <w:rPr>
          <w:rFonts w:ascii="黑体" w:hAnsi="黑体" w:eastAsia="黑体"/>
          <w:b/>
          <w:bCs/>
          <w:color w:val="000000"/>
          <w:sz w:val="32"/>
          <w:szCs w:val="32"/>
        </w:rPr>
        <w:t xml:space="preserve"> </w:t>
      </w:r>
      <w:r>
        <w:rPr>
          <w:rFonts w:hint="eastAsia" w:ascii="黑体" w:hAnsi="黑体" w:eastAsia="黑体"/>
          <w:b/>
          <w:bCs/>
          <w:color w:val="000000"/>
          <w:sz w:val="32"/>
          <w:szCs w:val="32"/>
        </w:rPr>
        <w:t>名词解释</w:t>
      </w:r>
    </w:p>
    <w:p>
      <w:pPr>
        <w:rPr>
          <w:rFonts w:ascii="仿宋_GB2312" w:eastAsia="仿宋_GB2312"/>
          <w:b/>
          <w:sz w:val="32"/>
          <w:szCs w:val="32"/>
        </w:rPr>
      </w:pPr>
    </w:p>
    <w:p>
      <w:pPr>
        <w:ind w:firstLine="2088" w:firstLineChars="650"/>
        <w:rPr>
          <w:rFonts w:hint="eastAsia" w:ascii="黑体" w:hAnsi="黑体" w:eastAsia="黑体"/>
          <w:b/>
          <w:sz w:val="32"/>
          <w:szCs w:val="32"/>
        </w:rPr>
      </w:pPr>
    </w:p>
    <w:p>
      <w:pPr>
        <w:ind w:firstLine="2088" w:firstLineChars="650"/>
        <w:rPr>
          <w:rFonts w:hint="eastAsia" w:ascii="黑体" w:hAnsi="黑体" w:eastAsia="黑体"/>
          <w:b/>
          <w:sz w:val="32"/>
          <w:szCs w:val="32"/>
        </w:rPr>
      </w:pPr>
    </w:p>
    <w:p>
      <w:pPr>
        <w:ind w:firstLine="2088" w:firstLineChars="650"/>
        <w:rPr>
          <w:rFonts w:hint="eastAsia" w:ascii="黑体" w:hAnsi="黑体" w:eastAsia="黑体"/>
          <w:b/>
          <w:sz w:val="32"/>
          <w:szCs w:val="32"/>
        </w:rPr>
      </w:pPr>
    </w:p>
    <w:p>
      <w:pPr>
        <w:ind w:firstLine="2088" w:firstLineChars="650"/>
        <w:rPr>
          <w:rFonts w:hint="eastAsia" w:ascii="黑体" w:hAnsi="黑体" w:eastAsia="黑体"/>
          <w:b/>
          <w:sz w:val="32"/>
          <w:szCs w:val="32"/>
        </w:rPr>
      </w:pPr>
    </w:p>
    <w:p>
      <w:pPr>
        <w:ind w:firstLine="2088" w:firstLineChars="650"/>
        <w:rPr>
          <w:rFonts w:hint="eastAsia" w:ascii="黑体" w:hAnsi="黑体" w:eastAsia="黑体"/>
          <w:b/>
          <w:sz w:val="32"/>
          <w:szCs w:val="32"/>
        </w:rPr>
      </w:pPr>
    </w:p>
    <w:p>
      <w:pPr>
        <w:ind w:firstLine="2088" w:firstLineChars="650"/>
        <w:rPr>
          <w:rFonts w:hint="eastAsia" w:ascii="黑体" w:hAnsi="黑体" w:eastAsia="黑体"/>
          <w:b/>
          <w:sz w:val="32"/>
          <w:szCs w:val="32"/>
        </w:rPr>
      </w:pPr>
    </w:p>
    <w:p>
      <w:pPr>
        <w:ind w:firstLine="2088" w:firstLineChars="650"/>
        <w:rPr>
          <w:rFonts w:hint="eastAsia" w:ascii="黑体" w:hAnsi="黑体" w:eastAsia="黑体"/>
          <w:b/>
          <w:sz w:val="32"/>
          <w:szCs w:val="32"/>
        </w:rPr>
      </w:pPr>
    </w:p>
    <w:p>
      <w:pPr>
        <w:ind w:firstLine="2088" w:firstLineChars="650"/>
        <w:rPr>
          <w:rFonts w:hint="eastAsia" w:ascii="黑体" w:hAnsi="黑体" w:eastAsia="黑体"/>
          <w:b/>
          <w:sz w:val="32"/>
          <w:szCs w:val="32"/>
        </w:rPr>
      </w:pPr>
    </w:p>
    <w:p>
      <w:pPr>
        <w:ind w:firstLine="2088" w:firstLineChars="650"/>
        <w:rPr>
          <w:rFonts w:hint="eastAsia" w:ascii="黑体" w:hAnsi="黑体" w:eastAsia="黑体"/>
          <w:b/>
          <w:sz w:val="32"/>
          <w:szCs w:val="32"/>
        </w:rPr>
      </w:pPr>
    </w:p>
    <w:p>
      <w:pPr>
        <w:ind w:firstLine="2088" w:firstLineChars="650"/>
        <w:rPr>
          <w:rFonts w:hint="eastAsia" w:ascii="黑体" w:hAnsi="黑体" w:eastAsia="黑体"/>
          <w:b/>
          <w:sz w:val="32"/>
          <w:szCs w:val="32"/>
        </w:rPr>
      </w:pPr>
    </w:p>
    <w:p>
      <w:pPr>
        <w:ind w:firstLine="2088" w:firstLineChars="650"/>
        <w:rPr>
          <w:rFonts w:hint="eastAsia" w:ascii="黑体" w:hAnsi="黑体" w:eastAsia="黑体"/>
          <w:b/>
          <w:sz w:val="32"/>
          <w:szCs w:val="32"/>
        </w:rPr>
      </w:pPr>
    </w:p>
    <w:p>
      <w:pPr>
        <w:ind w:firstLine="2088" w:firstLineChars="650"/>
        <w:rPr>
          <w:rFonts w:hint="eastAsia" w:ascii="黑体" w:hAnsi="黑体" w:eastAsia="黑体"/>
          <w:b/>
          <w:sz w:val="32"/>
          <w:szCs w:val="32"/>
        </w:rPr>
      </w:pPr>
    </w:p>
    <w:p>
      <w:pPr>
        <w:ind w:firstLine="2088" w:firstLineChars="650"/>
        <w:rPr>
          <w:rFonts w:hint="eastAsia" w:ascii="黑体" w:hAnsi="黑体" w:eastAsia="黑体"/>
          <w:b/>
          <w:sz w:val="32"/>
          <w:szCs w:val="32"/>
        </w:rPr>
      </w:pPr>
    </w:p>
    <w:p>
      <w:pPr>
        <w:rPr>
          <w:rFonts w:hint="eastAsia"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第一部分：</w:t>
      </w:r>
      <w:r>
        <w:rPr>
          <w:rFonts w:hint="eastAsia" w:ascii="黑体" w:hAnsi="黑体" w:eastAsia="黑体"/>
          <w:b/>
          <w:bCs/>
          <w:color w:val="000000"/>
          <w:sz w:val="32"/>
          <w:szCs w:val="32"/>
        </w:rPr>
        <w:t>柳州市台联</w:t>
      </w:r>
      <w:r>
        <w:rPr>
          <w:rFonts w:hint="eastAsia" w:ascii="黑体" w:hAnsi="黑体" w:eastAsia="黑体"/>
          <w:b/>
          <w:sz w:val="32"/>
          <w:szCs w:val="32"/>
        </w:rPr>
        <w:t>概况</w:t>
      </w:r>
    </w:p>
    <w:p>
      <w:pPr>
        <w:spacing w:line="520" w:lineRule="exact"/>
        <w:ind w:firstLine="645"/>
        <w:rPr>
          <w:rFonts w:ascii="黑体" w:hAnsi="黑体" w:eastAsia="黑体"/>
          <w:sz w:val="32"/>
          <w:szCs w:val="32"/>
        </w:rPr>
      </w:pPr>
      <w:r>
        <w:rPr>
          <w:rFonts w:hint="eastAsia" w:ascii="黑体" w:hAnsi="黑体" w:eastAsia="黑体"/>
          <w:sz w:val="32"/>
          <w:szCs w:val="32"/>
        </w:rPr>
        <w:t>一、主要职能</w:t>
      </w:r>
    </w:p>
    <w:p>
      <w:pPr>
        <w:ind w:firstLine="645"/>
        <w:rPr>
          <w:rFonts w:hint="eastAsia" w:eastAsia="仿宋_GB2312"/>
          <w:lang w:eastAsia="zh-CN"/>
        </w:rPr>
      </w:pPr>
      <w:r>
        <w:rPr>
          <w:rFonts w:hint="eastAsia" w:ascii="仿宋_GB2312" w:eastAsia="仿宋_GB2312"/>
          <w:sz w:val="32"/>
          <w:szCs w:val="32"/>
        </w:rPr>
        <w:t>贯彻</w:t>
      </w:r>
      <w:r>
        <w:rPr>
          <w:rFonts w:hint="eastAsia" w:ascii="仿宋_GB2312" w:eastAsia="仿宋_GB2312"/>
          <w:sz w:val="32"/>
          <w:szCs w:val="32"/>
          <w:lang w:eastAsia="zh-CN"/>
        </w:rPr>
        <w:t>党</w:t>
      </w:r>
      <w:r>
        <w:rPr>
          <w:rFonts w:hint="eastAsia" w:ascii="仿宋_GB2312" w:eastAsia="仿宋_GB2312"/>
          <w:sz w:val="32"/>
          <w:szCs w:val="32"/>
        </w:rPr>
        <w:t>中央对台方针政策，为柳州台胞及来柳州投资、探亲、访友、旅游观光的台胞服务；为促进祖国统一服务；团结联络市内外台胞，宣传贯彻党的方针政策；做台胞代表人物的推荐工作；为两岸经贸交流提供咨询和服务；接待岛内及海外台胞人士来访，开展联谊活</w:t>
      </w:r>
      <w:r>
        <w:rPr>
          <w:rFonts w:hint="eastAsia" w:ascii="仿宋_GB2312" w:eastAsia="仿宋_GB2312"/>
          <w:sz w:val="32"/>
          <w:szCs w:val="32"/>
          <w:lang w:eastAsia="zh-CN"/>
        </w:rPr>
        <w:t>动。</w:t>
      </w:r>
    </w:p>
    <w:p>
      <w:pPr>
        <w:jc w:val="center"/>
      </w:pPr>
    </w:p>
    <w:p>
      <w:pPr>
        <w:jc w:val="center"/>
      </w:pPr>
    </w:p>
    <w:p>
      <w:pPr>
        <w:jc w:val="center"/>
        <w:rPr>
          <w:rFonts w:ascii="黑体" w:hAnsi="黑体" w:eastAsia="黑体"/>
          <w:b/>
          <w:sz w:val="36"/>
          <w:szCs w:val="36"/>
        </w:rPr>
      </w:pPr>
      <w:r>
        <w:rPr>
          <w:rFonts w:hint="eastAsia" w:ascii="黑体" w:hAnsi="黑体" w:eastAsia="黑体"/>
          <w:b/>
          <w:sz w:val="32"/>
          <w:szCs w:val="32"/>
        </w:rPr>
        <w:t>第二部分：</w:t>
      </w:r>
      <w:r>
        <w:rPr>
          <w:rFonts w:hint="eastAsia" w:ascii="黑体" w:hAnsi="黑体" w:eastAsia="黑体"/>
          <w:b/>
          <w:bCs/>
          <w:color w:val="000000"/>
          <w:sz w:val="32"/>
          <w:szCs w:val="32"/>
        </w:rPr>
        <w:t>柳州市</w:t>
      </w:r>
      <w:r>
        <w:rPr>
          <w:rFonts w:ascii="黑体" w:hAnsi="黑体" w:eastAsia="黑体"/>
          <w:b/>
          <w:sz w:val="32"/>
          <w:szCs w:val="32"/>
        </w:rPr>
        <w:t xml:space="preserve"> 2016</w:t>
      </w:r>
      <w:r>
        <w:rPr>
          <w:rFonts w:hint="eastAsia" w:ascii="黑体" w:hAnsi="黑体" w:eastAsia="黑体"/>
          <w:b/>
          <w:sz w:val="32"/>
          <w:szCs w:val="32"/>
        </w:rPr>
        <w:t>年部门决算报表</w:t>
      </w:r>
    </w:p>
    <w:p>
      <w:pPr>
        <w:jc w:val="center"/>
      </w:pPr>
    </w:p>
    <w:p/>
    <w:p>
      <w:pPr>
        <w:autoSpaceDE w:val="0"/>
        <w:autoSpaceDN w:val="0"/>
        <w:adjustRightInd w:val="0"/>
        <w:spacing w:line="580" w:lineRule="exact"/>
        <w:ind w:firstLine="1600" w:firstLineChars="500"/>
        <w:jc w:val="left"/>
        <w:rPr>
          <w:rFonts w:hint="eastAsia" w:ascii="仿宋_GB2312" w:eastAsia="仿宋_GB2312" w:cs="仿宋_GB2312"/>
          <w:bCs/>
          <w:kern w:val="0"/>
          <w:sz w:val="32"/>
          <w:szCs w:val="32"/>
          <w:lang w:eastAsia="zh-CN"/>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cs="仿宋_GB2312"/>
          <w:bCs/>
          <w:kern w:val="0"/>
          <w:sz w:val="32"/>
          <w:szCs w:val="32"/>
          <w:lang w:eastAsia="zh-CN"/>
        </w:rPr>
        <w:t>详见附件</w:t>
      </w:r>
    </w:p>
    <w:p>
      <w:pPr>
        <w:spacing w:line="580" w:lineRule="exact"/>
        <w:rPr>
          <w:rFonts w:ascii="仿宋_GB2312" w:eastAsia="仿宋_GB2312"/>
          <w:b/>
          <w:sz w:val="32"/>
          <w:szCs w:val="32"/>
        </w:rPr>
      </w:pPr>
      <w:r>
        <w:rPr>
          <w:rFonts w:hint="eastAsia" w:ascii="方正小标宋简体" w:hAnsi="方正小标宋简体" w:eastAsia="方正小标宋简体" w:cs="方正小标宋简体"/>
          <w:b/>
          <w:sz w:val="32"/>
          <w:szCs w:val="32"/>
        </w:rPr>
        <w:t>第三部分：</w:t>
      </w:r>
      <w:r>
        <w:rPr>
          <w:rFonts w:hint="eastAsia" w:ascii="方正小标宋简体" w:hAnsi="方正小标宋简体" w:eastAsia="方正小标宋简体" w:cs="方正小标宋简体"/>
          <w:b/>
          <w:bCs/>
          <w:color w:val="000000"/>
          <w:sz w:val="32"/>
          <w:szCs w:val="32"/>
          <w:u w:val="none"/>
          <w:lang w:eastAsia="zh-CN"/>
        </w:rPr>
        <w:t>柳州市</w:t>
      </w:r>
      <w:r>
        <w:rPr>
          <w:rFonts w:hint="eastAsia" w:ascii="方正小标宋简体" w:hAnsi="方正小标宋简体" w:eastAsia="方正小标宋简体" w:cs="方正小标宋简体"/>
          <w:b/>
          <w:bCs/>
          <w:color w:val="000000"/>
          <w:sz w:val="32"/>
          <w:szCs w:val="32"/>
          <w:u w:val="none"/>
          <w:lang w:val="en-US" w:eastAsia="zh-CN"/>
        </w:rPr>
        <w:t>台联</w:t>
      </w:r>
      <w:r>
        <w:rPr>
          <w:rFonts w:hint="eastAsia" w:ascii="方正小标宋简体" w:hAnsi="方正小标宋简体" w:eastAsia="方正小标宋简体" w:cs="方正小标宋简体"/>
          <w:b/>
          <w:sz w:val="32"/>
          <w:szCs w:val="32"/>
        </w:rPr>
        <w:t>2020年度</w:t>
      </w:r>
      <w:r>
        <w:rPr>
          <w:rFonts w:hint="eastAsia" w:ascii="方正小标宋简体" w:hAnsi="方正小标宋简体" w:eastAsia="方正小标宋简体" w:cs="方正小标宋简体"/>
          <w:b/>
          <w:sz w:val="32"/>
          <w:szCs w:val="32"/>
          <w:lang w:eastAsia="zh-CN"/>
        </w:rPr>
        <w:t>单位</w:t>
      </w:r>
      <w:r>
        <w:rPr>
          <w:rFonts w:hint="eastAsia" w:ascii="方正小标宋简体" w:hAnsi="方正小标宋简体" w:eastAsia="方正小标宋简体" w:cs="方正小标宋简体"/>
          <w:b/>
          <w:sz w:val="32"/>
          <w:szCs w:val="32"/>
        </w:rPr>
        <w:t>决算情况说明</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rPr>
        <w:t>一、2020年度收入支出决算总体情况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54.15</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54.15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与2019年相比，收、支分别</w:t>
      </w:r>
      <w:r>
        <w:rPr>
          <w:rFonts w:hint="eastAsia" w:ascii="仿宋_GB2312" w:eastAsia="仿宋_GB2312" w:cs="仿宋_GB2312"/>
          <w:bCs/>
          <w:kern w:val="0"/>
          <w:sz w:val="32"/>
          <w:szCs w:val="32"/>
          <w:lang w:eastAsia="zh-CN"/>
        </w:rPr>
        <w:t>增加</w:t>
      </w:r>
      <w:r>
        <w:rPr>
          <w:rFonts w:hint="eastAsia" w:ascii="仿宋_GB2312" w:eastAsia="仿宋_GB2312" w:cs="仿宋_GB2312"/>
          <w:bCs/>
          <w:color w:val="auto"/>
          <w:kern w:val="0"/>
          <w:sz w:val="32"/>
          <w:szCs w:val="32"/>
          <w:lang w:val="en-US" w:eastAsia="zh-CN"/>
        </w:rPr>
        <w:t>5.51万元</w:t>
      </w:r>
      <w:r>
        <w:rPr>
          <w:rFonts w:hint="eastAsia" w:ascii="仿宋_GB2312" w:eastAsia="仿宋_GB2312" w:cs="仿宋_GB2312"/>
          <w:bCs/>
          <w:color w:val="auto"/>
          <w:kern w:val="0"/>
          <w:sz w:val="32"/>
          <w:szCs w:val="32"/>
        </w:rPr>
        <w:t>；分别</w:t>
      </w:r>
      <w:r>
        <w:rPr>
          <w:rFonts w:hint="eastAsia" w:ascii="仿宋_GB2312" w:eastAsia="仿宋_GB2312" w:cs="仿宋_GB2312"/>
          <w:bCs/>
          <w:color w:val="auto"/>
          <w:kern w:val="0"/>
          <w:sz w:val="32"/>
          <w:szCs w:val="32"/>
          <w:lang w:eastAsia="zh-CN"/>
        </w:rPr>
        <w:t>增长</w:t>
      </w:r>
      <w:r>
        <w:rPr>
          <w:rFonts w:hint="eastAsia" w:ascii="仿宋_GB2312" w:eastAsia="仿宋_GB2312" w:cs="仿宋_GB2312"/>
          <w:bCs/>
          <w:color w:val="auto"/>
          <w:kern w:val="0"/>
          <w:sz w:val="32"/>
          <w:szCs w:val="32"/>
          <w:lang w:val="en-US" w:eastAsia="zh-CN"/>
        </w:rPr>
        <w:t>11.33</w:t>
      </w:r>
      <w:r>
        <w:rPr>
          <w:rFonts w:hint="eastAsia" w:ascii="仿宋_GB2312" w:eastAsia="仿宋_GB2312" w:cs="仿宋_GB2312"/>
          <w:bCs/>
          <w:color w:val="auto"/>
          <w:kern w:val="0"/>
          <w:sz w:val="32"/>
          <w:szCs w:val="32"/>
        </w:rPr>
        <w:t>%</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rPr>
        <w:t>二、2020年度收入决算情况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w:t>
      </w:r>
      <w:r>
        <w:rPr>
          <w:rFonts w:hint="eastAsia" w:ascii="仿宋_GB2312" w:eastAsia="仿宋_GB2312" w:cs="仿宋_GB2312"/>
          <w:bCs/>
          <w:kern w:val="0"/>
          <w:sz w:val="32"/>
          <w:szCs w:val="32"/>
          <w:lang w:eastAsia="zh-CN"/>
        </w:rPr>
        <w:t>合</w:t>
      </w:r>
      <w:r>
        <w:rPr>
          <w:rFonts w:hint="eastAsia" w:ascii="仿宋_GB2312" w:eastAsia="仿宋_GB2312" w:cs="仿宋_GB2312"/>
          <w:bCs/>
          <w:kern w:val="0"/>
          <w:sz w:val="32"/>
          <w:szCs w:val="32"/>
        </w:rPr>
        <w:t>计</w:t>
      </w:r>
      <w:r>
        <w:rPr>
          <w:rFonts w:hint="eastAsia" w:ascii="仿宋_GB2312" w:eastAsia="仿宋_GB2312" w:cs="仿宋_GB2312"/>
          <w:bCs/>
          <w:kern w:val="0"/>
          <w:sz w:val="32"/>
          <w:szCs w:val="32"/>
          <w:lang w:val="en-US" w:eastAsia="zh-CN"/>
        </w:rPr>
        <w:t>54.15</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54.15</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；附属单位上缴收入</w:t>
      </w:r>
      <w:r>
        <w:rPr>
          <w:rFonts w:hint="eastAsia" w:ascii="仿宋_GB2312" w:eastAsia="仿宋_GB2312" w:cs="仿宋_GB2312"/>
          <w:bCs/>
          <w:kern w:val="0"/>
          <w:sz w:val="32"/>
          <w:szCs w:val="32"/>
          <w:lang w:val="en-US" w:eastAsia="zh-CN"/>
        </w:rPr>
        <w:t>0万元，占比0；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rPr>
        <w:t>三、2020年度支出决算情况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51.30</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43.23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84.27</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8.07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15.73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上缴上级支出</w:t>
      </w:r>
      <w:r>
        <w:rPr>
          <w:rFonts w:hint="eastAsia" w:ascii="仿宋_GB2312" w:eastAsia="仿宋_GB2312" w:cs="仿宋_GB2312"/>
          <w:bCs/>
          <w:kern w:val="0"/>
          <w:sz w:val="32"/>
          <w:szCs w:val="32"/>
          <w:lang w:val="en-US" w:eastAsia="zh-CN"/>
        </w:rPr>
        <w:t>0万元，占0%；</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rPr>
        <w:t>四、2020年度财政拨款收入支出决算情况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2020年度财政拨款收、支总决算</w:t>
      </w:r>
      <w:r>
        <w:rPr>
          <w:rFonts w:hint="eastAsia" w:ascii="仿宋_GB2312" w:eastAsia="仿宋_GB2312" w:cs="仿宋_GB2312"/>
          <w:bCs/>
          <w:kern w:val="0"/>
          <w:sz w:val="32"/>
          <w:szCs w:val="32"/>
          <w:lang w:val="en-US" w:eastAsia="zh-CN"/>
        </w:rPr>
        <w:t>54.15</w:t>
      </w:r>
      <w:r>
        <w:rPr>
          <w:rFonts w:hint="eastAsia" w:ascii="仿宋_GB2312" w:eastAsia="仿宋_GB2312" w:cs="仿宋_GB2312"/>
          <w:bCs/>
          <w:kern w:val="0"/>
          <w:sz w:val="32"/>
          <w:szCs w:val="32"/>
        </w:rPr>
        <w:t>万元。与2019 年相比，财政拨款收、支总计</w:t>
      </w:r>
      <w:bookmarkStart w:id="0" w:name="OLE_LINK2"/>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增</w:t>
      </w:r>
      <w:r>
        <w:rPr>
          <w:rFonts w:hint="eastAsia" w:ascii="仿宋_GB2312" w:eastAsia="仿宋_GB2312" w:cs="仿宋_GB2312"/>
          <w:bCs/>
          <w:color w:val="auto"/>
          <w:kern w:val="0"/>
          <w:sz w:val="32"/>
          <w:szCs w:val="32"/>
          <w:lang w:eastAsia="zh-CN"/>
        </w:rPr>
        <w:t>加</w:t>
      </w:r>
      <w:r>
        <w:rPr>
          <w:rFonts w:hint="eastAsia" w:ascii="仿宋_GB2312" w:eastAsia="仿宋_GB2312" w:cs="仿宋_GB2312"/>
          <w:bCs/>
          <w:color w:val="auto"/>
          <w:kern w:val="0"/>
          <w:sz w:val="32"/>
          <w:szCs w:val="32"/>
          <w:lang w:val="en-US" w:eastAsia="zh-CN"/>
        </w:rPr>
        <w:t>5.51万元</w:t>
      </w:r>
      <w:r>
        <w:rPr>
          <w:rFonts w:hint="eastAsia" w:ascii="仿宋_GB2312" w:eastAsia="仿宋_GB2312" w:cs="仿宋_GB2312"/>
          <w:bCs/>
          <w:color w:val="auto"/>
          <w:kern w:val="0"/>
          <w:sz w:val="32"/>
          <w:szCs w:val="32"/>
        </w:rPr>
        <w:t>；分别</w:t>
      </w:r>
      <w:r>
        <w:rPr>
          <w:rFonts w:hint="eastAsia" w:ascii="仿宋_GB2312" w:eastAsia="仿宋_GB2312" w:cs="仿宋_GB2312"/>
          <w:bCs/>
          <w:color w:val="auto"/>
          <w:kern w:val="0"/>
          <w:sz w:val="32"/>
          <w:szCs w:val="32"/>
          <w:lang w:eastAsia="zh-CN"/>
        </w:rPr>
        <w:t>增长</w:t>
      </w:r>
      <w:r>
        <w:rPr>
          <w:rFonts w:hint="eastAsia" w:ascii="仿宋_GB2312" w:eastAsia="仿宋_GB2312" w:cs="仿宋_GB2312"/>
          <w:bCs/>
          <w:color w:val="auto"/>
          <w:kern w:val="0"/>
          <w:sz w:val="32"/>
          <w:szCs w:val="32"/>
          <w:lang w:val="en-US" w:eastAsia="zh-CN"/>
        </w:rPr>
        <w:t>11.33</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val="en-US" w:eastAsia="zh-CN"/>
        </w:rPr>
        <w:t>。</w:t>
      </w:r>
    </w:p>
    <w:bookmarkEnd w:id="0"/>
    <w:p>
      <w:pPr>
        <w:autoSpaceDE w:val="0"/>
        <w:autoSpaceDN w:val="0"/>
        <w:adjustRightInd w:val="0"/>
        <w:spacing w:line="580" w:lineRule="exact"/>
        <w:ind w:firstLine="643" w:firstLineChars="200"/>
        <w:jc w:val="left"/>
        <w:rPr>
          <w:rFonts w:hint="eastAsia" w:ascii="黑体" w:hAnsi="黑体" w:eastAsia="黑体" w:cs="黑体"/>
          <w:b/>
          <w:color w:val="auto"/>
          <w:kern w:val="0"/>
          <w:sz w:val="32"/>
          <w:szCs w:val="32"/>
        </w:rPr>
      </w:pPr>
      <w:r>
        <w:rPr>
          <w:rFonts w:hint="eastAsia" w:ascii="黑体" w:hAnsi="黑体" w:eastAsia="黑体" w:cs="黑体"/>
          <w:b/>
          <w:color w:val="auto"/>
          <w:kern w:val="0"/>
          <w:sz w:val="32"/>
          <w:szCs w:val="32"/>
        </w:rPr>
        <w:t>五、2020年度一般公共预算财政拨款支出决算情况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楷体_GB2312" w:hAnsi="楷体_GB2312" w:eastAsia="楷体_GB2312" w:cs="楷体_GB2312"/>
          <w:bCs/>
          <w:color w:val="auto"/>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eastAsia="zh-CN"/>
        </w:rPr>
        <w:t>单位</w:t>
      </w:r>
      <w:r>
        <w:rPr>
          <w:rFonts w:hint="eastAsia" w:ascii="仿宋_GB2312" w:eastAsia="仿宋_GB2312" w:cs="仿宋_GB2312"/>
          <w:bCs/>
          <w:color w:val="auto"/>
          <w:kern w:val="0"/>
          <w:sz w:val="32"/>
          <w:szCs w:val="32"/>
        </w:rPr>
        <w:t>2020年度财政拨款支出</w:t>
      </w:r>
      <w:bookmarkStart w:id="1" w:name="OLE_LINK3"/>
      <w:r>
        <w:rPr>
          <w:rFonts w:hint="eastAsia" w:ascii="仿宋_GB2312" w:eastAsia="仿宋_GB2312" w:cs="仿宋_GB2312"/>
          <w:bCs/>
          <w:color w:val="auto"/>
          <w:kern w:val="0"/>
          <w:sz w:val="32"/>
          <w:szCs w:val="32"/>
          <w:lang w:val="en-US" w:eastAsia="zh-CN"/>
        </w:rPr>
        <w:t>51.30</w:t>
      </w:r>
      <w:bookmarkEnd w:id="1"/>
      <w:r>
        <w:rPr>
          <w:rFonts w:hint="eastAsia" w:ascii="仿宋_GB2312" w:eastAsia="仿宋_GB2312" w:cs="仿宋_GB2312"/>
          <w:bCs/>
          <w:color w:val="auto"/>
          <w:kern w:val="0"/>
          <w:sz w:val="32"/>
          <w:szCs w:val="32"/>
        </w:rPr>
        <w:t>万元，占本年支出合计的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%。与2019年相比，财政拨款支出</w:t>
      </w:r>
      <w:r>
        <w:rPr>
          <w:rFonts w:hint="eastAsia" w:ascii="仿宋_GB2312" w:eastAsia="仿宋_GB2312" w:cs="仿宋_GB2312"/>
          <w:bCs/>
          <w:color w:val="auto"/>
          <w:kern w:val="0"/>
          <w:sz w:val="32"/>
          <w:szCs w:val="32"/>
          <w:lang w:eastAsia="zh-CN"/>
        </w:rPr>
        <w:t>增加</w:t>
      </w:r>
      <w:r>
        <w:rPr>
          <w:rFonts w:hint="eastAsia" w:ascii="仿宋_GB2312" w:eastAsia="仿宋_GB2312" w:cs="仿宋_GB2312"/>
          <w:bCs/>
          <w:color w:val="auto"/>
          <w:kern w:val="0"/>
          <w:sz w:val="32"/>
          <w:szCs w:val="32"/>
          <w:lang w:val="en-US" w:eastAsia="zh-CN"/>
        </w:rPr>
        <w:t>2.87</w:t>
      </w:r>
      <w:r>
        <w:rPr>
          <w:rFonts w:hint="eastAsia" w:ascii="仿宋_GB2312" w:eastAsia="仿宋_GB2312" w:cs="仿宋_GB2312"/>
          <w:bCs/>
          <w:color w:val="auto"/>
          <w:kern w:val="0"/>
          <w:sz w:val="32"/>
          <w:szCs w:val="32"/>
        </w:rPr>
        <w:t>万元，增</w:t>
      </w:r>
      <w:r>
        <w:rPr>
          <w:rFonts w:hint="eastAsia" w:ascii="仿宋_GB2312" w:eastAsia="仿宋_GB2312" w:cs="仿宋_GB2312"/>
          <w:bCs/>
          <w:color w:val="auto"/>
          <w:kern w:val="0"/>
          <w:sz w:val="32"/>
          <w:szCs w:val="32"/>
          <w:lang w:eastAsia="zh-CN"/>
        </w:rPr>
        <w:t>长</w:t>
      </w:r>
      <w:r>
        <w:rPr>
          <w:rFonts w:hint="eastAsia" w:ascii="仿宋_GB2312" w:eastAsia="仿宋_GB2312" w:cs="仿宋_GB2312"/>
          <w:bCs/>
          <w:color w:val="auto"/>
          <w:kern w:val="0"/>
          <w:sz w:val="32"/>
          <w:szCs w:val="32"/>
          <w:lang w:val="en-US" w:eastAsia="zh-CN"/>
        </w:rPr>
        <w:t>5.93</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0" w:firstLineChars="200"/>
        <w:jc w:val="left"/>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51.30</w:t>
      </w:r>
      <w:r>
        <w:rPr>
          <w:rFonts w:hint="eastAsia" w:ascii="仿宋_GB2312" w:eastAsia="仿宋_GB2312" w:cs="仿宋_GB2312"/>
          <w:bCs/>
          <w:kern w:val="0"/>
          <w:sz w:val="32"/>
          <w:szCs w:val="32"/>
        </w:rPr>
        <w:t>万元，主要用于以下方面：一般公共服务（类）支出</w:t>
      </w:r>
      <w:r>
        <w:rPr>
          <w:rFonts w:hint="eastAsia" w:ascii="仿宋_GB2312" w:eastAsia="仿宋_GB2312" w:cs="仿宋_GB2312"/>
          <w:bCs/>
          <w:kern w:val="0"/>
          <w:sz w:val="32"/>
          <w:szCs w:val="32"/>
          <w:lang w:val="en-US" w:eastAsia="zh-CN"/>
        </w:rPr>
        <w:t>38.00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74.07</w:t>
      </w:r>
      <w:r>
        <w:rPr>
          <w:rFonts w:hint="eastAsia" w:ascii="仿宋_GB2312" w:eastAsia="仿宋_GB2312" w:cs="仿宋_GB2312"/>
          <w:bCs/>
          <w:kern w:val="0"/>
          <w:sz w:val="32"/>
          <w:szCs w:val="32"/>
        </w:rPr>
        <w:t>%； 社会保障和就业（类）支出</w:t>
      </w:r>
      <w:r>
        <w:rPr>
          <w:rFonts w:hint="eastAsia" w:ascii="仿宋_GB2312" w:eastAsia="仿宋_GB2312" w:cs="仿宋_GB2312"/>
          <w:bCs/>
          <w:kern w:val="0"/>
          <w:sz w:val="32"/>
          <w:szCs w:val="32"/>
          <w:lang w:val="en-US" w:eastAsia="zh-CN"/>
        </w:rPr>
        <w:t>7.20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14.04</w:t>
      </w:r>
      <w:r>
        <w:rPr>
          <w:rFonts w:hint="eastAsia" w:ascii="仿宋_GB2312" w:eastAsia="仿宋_GB2312" w:cs="仿宋_GB2312"/>
          <w:bCs/>
          <w:kern w:val="0"/>
          <w:sz w:val="32"/>
          <w:szCs w:val="32"/>
        </w:rPr>
        <w:t>%；卫生健康支出</w:t>
      </w:r>
      <w:r>
        <w:rPr>
          <w:rFonts w:hint="eastAsia" w:ascii="仿宋_GB2312" w:eastAsia="仿宋_GB2312" w:cs="仿宋_GB2312"/>
          <w:bCs/>
          <w:kern w:val="0"/>
          <w:sz w:val="32"/>
          <w:szCs w:val="32"/>
          <w:lang w:val="en-US" w:eastAsia="zh-CN"/>
        </w:rPr>
        <w:t>3.62</w:t>
      </w:r>
      <w:r>
        <w:rPr>
          <w:rFonts w:hint="eastAsia" w:ascii="仿宋_GB2312" w:eastAsia="仿宋_GB2312" w:cs="仿宋_GB2312"/>
          <w:bCs/>
          <w:kern w:val="0"/>
          <w:sz w:val="32"/>
          <w:szCs w:val="32"/>
          <w:lang w:eastAsia="zh-CN"/>
        </w:rPr>
        <w:t>万元，占</w:t>
      </w:r>
      <w:r>
        <w:rPr>
          <w:rFonts w:hint="eastAsia" w:ascii="仿宋_GB2312" w:eastAsia="仿宋_GB2312" w:cs="仿宋_GB2312"/>
          <w:bCs/>
          <w:kern w:val="0"/>
          <w:sz w:val="32"/>
          <w:szCs w:val="32"/>
          <w:lang w:val="en-US" w:eastAsia="zh-CN"/>
        </w:rPr>
        <w:t>7.06%；</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2.48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4.83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2020年度财政拨款支出年初预算为</w:t>
      </w:r>
      <w:r>
        <w:rPr>
          <w:rFonts w:hint="eastAsia" w:ascii="仿宋_GB2312" w:eastAsia="仿宋_GB2312" w:cs="仿宋_GB2312"/>
          <w:bCs/>
          <w:kern w:val="0"/>
          <w:sz w:val="32"/>
          <w:szCs w:val="32"/>
          <w:lang w:val="en-US" w:eastAsia="zh-CN"/>
        </w:rPr>
        <w:t>54.15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51.30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94.74</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w:t>
      </w:r>
      <w:r>
        <w:rPr>
          <w:rFonts w:hint="eastAsia" w:ascii="仿宋_GB2312" w:eastAsia="仿宋_GB2312" w:cs="仿宋_GB2312"/>
          <w:bCs/>
          <w:kern w:val="0"/>
          <w:sz w:val="32"/>
          <w:szCs w:val="32"/>
          <w:lang w:eastAsia="zh-CN"/>
        </w:rPr>
        <w:t>人员及项目经费略有结余。</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港澳台</w:t>
      </w:r>
      <w:r>
        <w:rPr>
          <w:rFonts w:hint="eastAsia" w:ascii="仿宋_GB2312" w:eastAsia="仿宋_GB2312" w:cs="仿宋_GB2312"/>
          <w:bCs/>
          <w:kern w:val="0"/>
          <w:sz w:val="32"/>
          <w:szCs w:val="32"/>
        </w:rPr>
        <w:t>事务（款）</w:t>
      </w:r>
      <w:r>
        <w:rPr>
          <w:rFonts w:hint="eastAsia" w:ascii="仿宋_GB2312" w:eastAsia="仿宋_GB2312" w:cs="仿宋_GB2312"/>
          <w:bCs/>
          <w:kern w:val="0"/>
          <w:sz w:val="32"/>
          <w:szCs w:val="32"/>
          <w:lang w:eastAsia="zh-CN"/>
        </w:rPr>
        <w:t>行政运行（项）。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30.86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29.93万元，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96.99</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人员经费略有结余。</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港澳台</w:t>
      </w:r>
      <w:r>
        <w:rPr>
          <w:rFonts w:hint="eastAsia" w:ascii="仿宋_GB2312" w:eastAsia="仿宋_GB2312" w:cs="仿宋_GB2312"/>
          <w:bCs/>
          <w:kern w:val="0"/>
          <w:sz w:val="32"/>
          <w:szCs w:val="32"/>
        </w:rPr>
        <w:t>事务（款）</w:t>
      </w:r>
      <w:r>
        <w:rPr>
          <w:rFonts w:hint="eastAsia" w:ascii="仿宋_GB2312" w:eastAsia="仿宋_GB2312" w:cs="仿宋_GB2312"/>
          <w:bCs/>
          <w:kern w:val="0"/>
          <w:sz w:val="32"/>
          <w:szCs w:val="32"/>
          <w:lang w:eastAsia="zh-CN"/>
        </w:rPr>
        <w:t>一般行政管理事务（项）。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0.6万元，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港澳台</w:t>
      </w:r>
      <w:r>
        <w:rPr>
          <w:rFonts w:hint="eastAsia" w:ascii="仿宋_GB2312" w:eastAsia="仿宋_GB2312" w:cs="仿宋_GB2312"/>
          <w:bCs/>
          <w:kern w:val="0"/>
          <w:sz w:val="32"/>
          <w:szCs w:val="32"/>
        </w:rPr>
        <w:t>事务（款）</w:t>
      </w:r>
      <w:r>
        <w:rPr>
          <w:rFonts w:hint="eastAsia" w:ascii="仿宋_GB2312" w:eastAsia="仿宋_GB2312" w:cs="仿宋_GB2312"/>
          <w:bCs/>
          <w:kern w:val="0"/>
          <w:sz w:val="32"/>
          <w:szCs w:val="32"/>
          <w:lang w:eastAsia="zh-CN"/>
        </w:rPr>
        <w:t>台湾事务（项）。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9.4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7.47万元，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79.47</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调研、专项等项目经费略有结转。</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行政单位离退休（项）。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2.12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2.12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3.43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3.43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机关事业单位职业年金缴费支出（项）。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1.65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1.65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行政单位医疗支出（项）。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公务员医疗补助（项）。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2.02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2.48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2.48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left="638" w:leftChars="304" w:firstLine="0" w:firstLineChars="0"/>
        <w:jc w:val="left"/>
        <w:rPr>
          <w:rFonts w:hint="eastAsia" w:ascii="黑体" w:hAnsi="黑体" w:eastAsia="黑体" w:cs="黑体"/>
          <w:b/>
          <w:color w:val="0000FF"/>
          <w:kern w:val="0"/>
          <w:sz w:val="32"/>
          <w:szCs w:val="32"/>
        </w:rPr>
      </w:pPr>
      <w:r>
        <w:rPr>
          <w:rFonts w:hint="eastAsia" w:ascii="黑体" w:hAnsi="黑体" w:eastAsia="黑体" w:cs="黑体"/>
          <w:bCs/>
          <w:color w:val="auto"/>
          <w:kern w:val="0"/>
          <w:sz w:val="32"/>
          <w:szCs w:val="32"/>
        </w:rPr>
        <w:t>六、</w:t>
      </w:r>
      <w:r>
        <w:rPr>
          <w:rFonts w:hint="eastAsia" w:ascii="黑体" w:hAnsi="黑体" w:eastAsia="黑体" w:cs="黑体"/>
          <w:b/>
          <w:color w:val="auto"/>
          <w:kern w:val="0"/>
          <w:sz w:val="32"/>
          <w:szCs w:val="32"/>
        </w:rPr>
        <w:t>2020年度一般公共预算财政拨款基本支出决算情况</w:t>
      </w:r>
    </w:p>
    <w:p>
      <w:pPr>
        <w:autoSpaceDE w:val="0"/>
        <w:autoSpaceDN w:val="0"/>
        <w:adjustRightInd w:val="0"/>
        <w:spacing w:line="580" w:lineRule="exact"/>
        <w:ind w:left="638" w:leftChars="304" w:firstLine="0" w:firstLineChars="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43.23</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37.68</w:t>
      </w:r>
      <w:r>
        <w:rPr>
          <w:rFonts w:hint="eastAsia" w:ascii="仿宋_GB2312" w:eastAsia="仿宋_GB2312" w:cs="仿宋_GB2312"/>
          <w:bCs/>
          <w:kern w:val="0"/>
          <w:sz w:val="32"/>
          <w:szCs w:val="32"/>
        </w:rPr>
        <w:t>万元，主要包括：基本工资、津贴补贴、 奖金、绩效工资、机关事业单位基本养老保险缴费、职业年金缴费、其他社会保障缴费、离休费、退休费、生活补助、住房公积金</w:t>
      </w:r>
      <w:r>
        <w:rPr>
          <w:rFonts w:hint="eastAsia" w:ascii="仿宋_GB2312" w:eastAsia="仿宋_GB2312" w:cs="仿宋_GB2312"/>
          <w:bCs/>
          <w:kern w:val="0"/>
          <w:sz w:val="32"/>
          <w:szCs w:val="32"/>
          <w:lang w:eastAsia="zh-CN"/>
        </w:rPr>
        <w:t>等。</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5.55</w:t>
      </w:r>
      <w:r>
        <w:rPr>
          <w:rFonts w:hint="eastAsia" w:ascii="仿宋_GB2312" w:eastAsia="仿宋_GB2312" w:cs="仿宋_GB2312"/>
          <w:bCs/>
          <w:kern w:val="0"/>
          <w:sz w:val="32"/>
          <w:szCs w:val="32"/>
        </w:rPr>
        <w:t>万元，主要 包括：办公费、印刷费、水费、电费、邮电费、物业管理费、差旅费、维 修（护）费、会议费、培训费、公务接待费、工会经费、公务用车运行维护费、其他交通费用、其他商品和服务支出</w:t>
      </w:r>
      <w:r>
        <w:rPr>
          <w:rFonts w:hint="eastAsia" w:ascii="仿宋_GB2312" w:eastAsia="仿宋_GB2312" w:cs="仿宋_GB2312"/>
          <w:bCs/>
          <w:kern w:val="0"/>
          <w:sz w:val="32"/>
          <w:szCs w:val="32"/>
          <w:lang w:eastAsia="zh-CN"/>
        </w:rPr>
        <w:t>等。</w:t>
      </w:r>
    </w:p>
    <w:p>
      <w:pPr>
        <w:autoSpaceDE w:val="0"/>
        <w:autoSpaceDN w:val="0"/>
        <w:adjustRightInd w:val="0"/>
        <w:spacing w:line="58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七、</w:t>
      </w:r>
      <w:r>
        <w:rPr>
          <w:rFonts w:hint="eastAsia" w:ascii="黑体" w:hAnsi="黑体" w:eastAsia="黑体" w:cs="黑体"/>
          <w:b/>
          <w:kern w:val="0"/>
          <w:sz w:val="32"/>
          <w:szCs w:val="32"/>
        </w:rPr>
        <w:t>2020 年度一般公共预算财政拨款“三公” 经费支出决算情况</w:t>
      </w:r>
      <w:r>
        <w:rPr>
          <w:rFonts w:hint="eastAsia" w:ascii="黑体" w:hAnsi="黑体" w:eastAsia="黑体" w:cs="黑体"/>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0.06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0.06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kern w:val="0"/>
          <w:sz w:val="32"/>
          <w:szCs w:val="32"/>
          <w:lang w:val="en-US" w:eastAsia="zh-CN"/>
        </w:rPr>
        <w:t>2020</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公共预算财政拨款安排的“三公“经费支出决算中，因公出国（境）费支出决算</w:t>
      </w:r>
      <w:r>
        <w:rPr>
          <w:rFonts w:ascii="仿宋_GB2312" w:eastAsia="仿宋_GB2312" w:cs="仿宋_GB2312"/>
          <w:kern w:val="0"/>
          <w:sz w:val="32"/>
          <w:szCs w:val="32"/>
        </w:rPr>
        <w:t xml:space="preserve"> 0 </w:t>
      </w:r>
      <w:r>
        <w:rPr>
          <w:rFonts w:hint="eastAsia" w:ascii="仿宋_GB2312" w:eastAsia="仿宋_GB2312" w:cs="仿宋_GB2312"/>
          <w:kern w:val="0"/>
          <w:sz w:val="32"/>
          <w:szCs w:val="32"/>
        </w:rPr>
        <w:t>万元；公务用车购置及运行费支出决算</w:t>
      </w:r>
      <w:r>
        <w:rPr>
          <w:rFonts w:ascii="仿宋_GB2312" w:eastAsia="仿宋_GB2312" w:cs="仿宋_GB2312"/>
          <w:kern w:val="0"/>
          <w:sz w:val="32"/>
          <w:szCs w:val="32"/>
        </w:rPr>
        <w:t xml:space="preserve"> 0 </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0.06</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万元。</w:t>
      </w:r>
    </w:p>
    <w:p>
      <w:pPr>
        <w:numPr>
          <w:ilvl w:val="0"/>
          <w:numId w:val="0"/>
        </w:numPr>
        <w:autoSpaceDE w:val="0"/>
        <w:autoSpaceDN w:val="0"/>
        <w:adjustRightInd w:val="0"/>
        <w:spacing w:line="580" w:lineRule="exact"/>
        <w:ind w:firstLine="643" w:firstLineChars="200"/>
        <w:jc w:val="left"/>
        <w:rPr>
          <w:rFonts w:hint="eastAsia" w:ascii="黑体" w:hAnsi="黑体" w:eastAsia="黑体" w:cs="黑体"/>
          <w:b/>
          <w:kern w:val="0"/>
          <w:sz w:val="32"/>
          <w:szCs w:val="32"/>
          <w:highlight w:val="none"/>
          <w:lang w:eastAsia="zh-CN"/>
        </w:rPr>
      </w:pPr>
      <w:r>
        <w:rPr>
          <w:rFonts w:hint="eastAsia" w:ascii="黑体" w:hAnsi="黑体" w:eastAsia="黑体" w:cs="黑体"/>
          <w:b/>
          <w:kern w:val="0"/>
          <w:sz w:val="32"/>
          <w:szCs w:val="32"/>
          <w:highlight w:val="none"/>
          <w:lang w:val="en-US" w:eastAsia="zh-CN"/>
        </w:rPr>
        <w:t>八</w:t>
      </w:r>
      <w:r>
        <w:rPr>
          <w:rFonts w:hint="eastAsia" w:ascii="黑体" w:hAnsi="黑体" w:eastAsia="黑体" w:cs="黑体"/>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 xml:space="preserve"> 我单位无2020年度国有资本经营预算财政拨款本年支出。</w:t>
      </w:r>
    </w:p>
    <w:p>
      <w:pPr>
        <w:numPr>
          <w:ilvl w:val="0"/>
          <w:numId w:val="0"/>
        </w:numPr>
        <w:autoSpaceDE w:val="0"/>
        <w:autoSpaceDN w:val="0"/>
        <w:adjustRightInd w:val="0"/>
        <w:spacing w:line="580" w:lineRule="exact"/>
        <w:ind w:firstLine="643" w:firstLineChars="200"/>
        <w:jc w:val="left"/>
        <w:rPr>
          <w:rFonts w:hint="eastAsia" w:ascii="黑体" w:hAnsi="黑体" w:eastAsia="黑体" w:cs="黑体"/>
          <w:b/>
          <w:kern w:val="0"/>
          <w:sz w:val="32"/>
          <w:szCs w:val="32"/>
          <w:highlight w:val="none"/>
          <w:lang w:eastAsia="zh-CN"/>
        </w:rPr>
      </w:pPr>
      <w:r>
        <w:rPr>
          <w:rFonts w:hint="eastAsia" w:ascii="黑体" w:hAnsi="黑体" w:eastAsia="黑体" w:cs="黑体"/>
          <w:b/>
          <w:kern w:val="0"/>
          <w:sz w:val="32"/>
          <w:szCs w:val="32"/>
          <w:highlight w:val="none"/>
          <w:lang w:eastAsia="zh-CN"/>
        </w:rPr>
        <w:t>九、国有资本经营预算财政拨款支出情况说明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 xml:space="preserve"> 我单位无2020年度国有资本经营预算财政拨款本年支出。</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lang w:val="en-US" w:eastAsia="zh-CN"/>
        </w:rPr>
        <w:t>十</w:t>
      </w:r>
      <w:r>
        <w:rPr>
          <w:rFonts w:hint="eastAsia" w:ascii="黑体" w:hAnsi="黑体" w:eastAsia="黑体" w:cs="黑体"/>
          <w:b/>
          <w:kern w:val="0"/>
          <w:sz w:val="32"/>
          <w:szCs w:val="32"/>
          <w:lang w:eastAsia="zh-CN"/>
        </w:rPr>
        <w:t>、</w:t>
      </w:r>
      <w:r>
        <w:rPr>
          <w:rFonts w:hint="eastAsia" w:ascii="黑体" w:hAnsi="黑体" w:eastAsia="黑体" w:cs="黑体"/>
          <w:b/>
          <w:kern w:val="0"/>
          <w:sz w:val="32"/>
          <w:szCs w:val="32"/>
        </w:rPr>
        <w:t>2020 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楷体_GB2312" w:hAnsi="楷体_GB2312" w:eastAsia="楷体_GB2312" w:cs="楷体_GB2312"/>
          <w:bCs/>
          <w:kern w:val="0"/>
          <w:sz w:val="32"/>
          <w:szCs w:val="32"/>
        </w:rPr>
        <w:t>绩效管理工作开展情况</w:t>
      </w:r>
    </w:p>
    <w:p>
      <w:pPr>
        <w:autoSpaceDE w:val="0"/>
        <w:autoSpaceDN w:val="0"/>
        <w:adjustRightInd w:val="0"/>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kern w:val="0"/>
          <w:sz w:val="32"/>
          <w:szCs w:val="32"/>
        </w:rPr>
        <w:t>根据财政预算管理要求，我</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组织对20</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年度一般公共预算整体支出全面开展绩效自评。涉及预算资</w:t>
      </w:r>
      <w:r>
        <w:rPr>
          <w:rFonts w:hint="eastAsia" w:ascii="仿宋_GB2312" w:eastAsia="仿宋_GB2312" w:cs="仿宋_GB2312"/>
          <w:bCs/>
          <w:color w:val="auto"/>
          <w:kern w:val="0"/>
          <w:sz w:val="32"/>
          <w:szCs w:val="32"/>
        </w:rPr>
        <w:t>金</w:t>
      </w:r>
      <w:r>
        <w:rPr>
          <w:rFonts w:hint="eastAsia" w:ascii="仿宋_GB2312" w:eastAsia="仿宋_GB2312" w:cs="仿宋_GB2312"/>
          <w:bCs/>
          <w:color w:val="auto"/>
          <w:kern w:val="0"/>
          <w:sz w:val="32"/>
          <w:szCs w:val="32"/>
          <w:lang w:val="en-US" w:eastAsia="zh-CN"/>
        </w:rPr>
        <w:t>48.15</w:t>
      </w:r>
      <w:r>
        <w:rPr>
          <w:rFonts w:hint="eastAsia" w:ascii="仿宋_GB2312" w:eastAsia="仿宋_GB2312" w:cs="仿宋_GB2312"/>
          <w:bCs/>
          <w:color w:val="auto"/>
          <w:kern w:val="0"/>
          <w:sz w:val="32"/>
          <w:szCs w:val="32"/>
        </w:rPr>
        <w:t>万元，自评覆盖率达到100%。</w:t>
      </w:r>
      <w:r>
        <w:rPr>
          <w:rFonts w:hint="eastAsia" w:ascii="仿宋_GB2312" w:eastAsia="仿宋_GB2312" w:cs="仿宋_GB2312"/>
          <w:bCs/>
          <w:color w:val="auto"/>
          <w:kern w:val="0"/>
          <w:sz w:val="32"/>
          <w:szCs w:val="32"/>
          <w:lang w:eastAsia="zh-CN"/>
        </w:rPr>
        <w:t>单位</w:t>
      </w:r>
      <w:r>
        <w:rPr>
          <w:rFonts w:hint="eastAsia" w:ascii="仿宋_GB2312" w:eastAsia="仿宋_GB2312" w:cs="仿宋_GB2312"/>
          <w:bCs/>
          <w:color w:val="auto"/>
          <w:kern w:val="0"/>
          <w:sz w:val="32"/>
          <w:szCs w:val="32"/>
        </w:rPr>
        <w:t>决算中整体绩效自评结果为优。</w:t>
      </w:r>
    </w:p>
    <w:p>
      <w:pPr>
        <w:numPr>
          <w:ilvl w:val="0"/>
          <w:numId w:val="1"/>
        </w:numPr>
        <w:autoSpaceDE w:val="0"/>
        <w:autoSpaceDN w:val="0"/>
        <w:adjustRightInd w:val="0"/>
        <w:ind w:left="0" w:leftChars="0" w:firstLine="640" w:firstLineChars="200"/>
        <w:jc w:val="left"/>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lang w:eastAsia="zh-CN"/>
        </w:rPr>
        <w:t>单位</w:t>
      </w:r>
      <w:r>
        <w:rPr>
          <w:rFonts w:hint="eastAsia" w:ascii="楷体_GB2312" w:hAnsi="楷体_GB2312" w:eastAsia="楷体_GB2312" w:cs="楷体_GB2312"/>
          <w:bCs/>
          <w:kern w:val="0"/>
          <w:sz w:val="32"/>
          <w:szCs w:val="32"/>
        </w:rPr>
        <w:t>决算中项目绩效</w:t>
      </w:r>
      <w:r>
        <w:rPr>
          <w:rFonts w:hint="eastAsia" w:ascii="楷体_GB2312" w:hAnsi="楷体_GB2312" w:eastAsia="楷体_GB2312" w:cs="楷体_GB2312"/>
          <w:bCs/>
          <w:kern w:val="0"/>
          <w:sz w:val="32"/>
          <w:szCs w:val="32"/>
          <w:lang w:eastAsia="zh-CN"/>
        </w:rPr>
        <w:t>开展情况</w:t>
      </w:r>
    </w:p>
    <w:p>
      <w:pPr>
        <w:numPr>
          <w:ilvl w:val="0"/>
          <w:numId w:val="0"/>
        </w:num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我单位没有预算</w:t>
      </w:r>
      <w:r>
        <w:rPr>
          <w:rFonts w:hint="eastAsia" w:ascii="仿宋_GB2312" w:eastAsia="仿宋_GB2312" w:cs="仿宋_GB2312"/>
          <w:bCs/>
          <w:kern w:val="0"/>
          <w:sz w:val="32"/>
          <w:szCs w:val="32"/>
          <w:lang w:val="en-US" w:eastAsia="zh-CN"/>
        </w:rPr>
        <w:t>200万以上的项目，故未开展预算绩效项目自评工作。</w:t>
      </w:r>
    </w:p>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lang w:val="en-US" w:eastAsia="zh-CN"/>
        </w:rPr>
        <w:t>十一</w:t>
      </w:r>
      <w:r>
        <w:rPr>
          <w:rFonts w:hint="eastAsia" w:ascii="黑体" w:hAnsi="黑体" w:eastAsia="黑体" w:cs="黑体"/>
          <w:b/>
          <w:kern w:val="0"/>
          <w:sz w:val="32"/>
          <w:szCs w:val="32"/>
        </w:rPr>
        <w:t>、其它事项说明</w:t>
      </w:r>
    </w:p>
    <w:p>
      <w:pPr>
        <w:numPr>
          <w:ilvl w:val="0"/>
          <w:numId w:val="0"/>
        </w:numPr>
        <w:autoSpaceDE w:val="0"/>
        <w:autoSpaceDN w:val="0"/>
        <w:adjustRightInd w:val="0"/>
        <w:ind w:firstLine="960" w:firstLineChars="3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暂无</w:t>
      </w:r>
    </w:p>
    <w:p/>
    <w:p>
      <w:pPr>
        <w:spacing w:line="580" w:lineRule="exact"/>
        <w:ind w:firstLine="645"/>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
    <w:p/>
    <w:p>
      <w:pPr>
        <w:autoSpaceDE w:val="0"/>
        <w:autoSpaceDN w:val="0"/>
        <w:adjustRightInd w:val="0"/>
        <w:spacing w:line="560" w:lineRule="exact"/>
        <w:ind w:firstLine="5424" w:firstLineChars="1695"/>
        <w:jc w:val="left"/>
        <w:rPr>
          <w:rFonts w:hint="eastAsia" w:ascii="仿宋_GB2312" w:eastAsia="仿宋_GB2312" w:cs="仿宋_GB2312"/>
          <w:kern w:val="0"/>
          <w:sz w:val="32"/>
          <w:szCs w:val="32"/>
          <w:lang w:val="en-US" w:eastAsia="zh-CN"/>
        </w:rPr>
      </w:pPr>
    </w:p>
    <w:p>
      <w:pPr>
        <w:autoSpaceDE w:val="0"/>
        <w:autoSpaceDN w:val="0"/>
        <w:adjustRightInd w:val="0"/>
        <w:spacing w:line="560" w:lineRule="exact"/>
        <w:ind w:firstLine="5107" w:firstLineChars="15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 xml:space="preserve">柳州市台湾同胞联谊会                                </w:t>
      </w:r>
    </w:p>
    <w:p>
      <w:pPr>
        <w:autoSpaceDE w:val="0"/>
        <w:autoSpaceDN w:val="0"/>
        <w:adjustRightInd w:val="0"/>
        <w:spacing w:line="560" w:lineRule="exact"/>
        <w:ind w:firstLine="5744" w:firstLineChars="1795"/>
        <w:jc w:val="left"/>
        <w:rPr>
          <w:rFonts w:hint="eastAsia" w:eastAsia="仿宋_GB2312"/>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701" w:right="1134" w:bottom="1134" w:left="1134" w:header="851" w:footer="992" w:gutter="0"/>
          <w:cols w:space="720" w:num="1"/>
          <w:docGrid w:type="lines" w:linePitch="312" w:charSpace="0"/>
        </w:sectPr>
      </w:pPr>
      <w:r>
        <w:rPr>
          <w:rFonts w:hint="eastAsia" w:ascii="仿宋_GB2312" w:eastAsia="仿宋_GB2312" w:cs="仿宋_GB2312"/>
          <w:kern w:val="0"/>
          <w:sz w:val="32"/>
          <w:szCs w:val="32"/>
          <w:lang w:val="en-US" w:eastAsia="zh-CN"/>
        </w:rPr>
        <w:t>2021年7月23</w:t>
      </w:r>
      <w:bookmarkStart w:id="2" w:name="_GoBack"/>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UnicodeMS">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sz w:val="24"/>
        <w:szCs w:val="24"/>
      </w:rPr>
    </w:pPr>
    <w:r>
      <w:rPr>
        <w:rFonts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sz w:val="24"/>
        <w:szCs w:val="24"/>
        <w:lang w:val="zh-CN"/>
      </w:rPr>
      <w:t>-</w:t>
    </w:r>
    <w:r>
      <w:rPr>
        <w:rFonts w:ascii="宋体" w:hAnsi="宋体"/>
        <w:sz w:val="24"/>
        <w:szCs w:val="24"/>
      </w:rPr>
      <w:t xml:space="preserve"> 7 -</w:t>
    </w:r>
    <w:r>
      <w:rPr>
        <w:rFonts w:ascii="宋体" w:hAnsi="宋体"/>
        <w:sz w:val="24"/>
        <w:szCs w:val="24"/>
      </w:rPr>
      <w:fldChar w:fldCharType="end"/>
    </w:r>
    <w:r>
      <w:rPr>
        <w:rFonts w:ascii="宋体" w:hAnsi="宋体"/>
        <w:sz w:val="24"/>
        <w:szCs w:val="24"/>
      </w:rPr>
      <w:t xml:space="preserve"> -</w:t>
    </w:r>
  </w:p>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D0408"/>
    <w:rsid w:val="038B210E"/>
    <w:rsid w:val="04BB676D"/>
    <w:rsid w:val="15DB2E4F"/>
    <w:rsid w:val="2840541D"/>
    <w:rsid w:val="2F282EDF"/>
    <w:rsid w:val="3DDE28DA"/>
    <w:rsid w:val="4C682C98"/>
    <w:rsid w:val="55F15C3D"/>
    <w:rsid w:val="66E63FBC"/>
    <w:rsid w:val="70F92EE5"/>
    <w:rsid w:val="71C250CA"/>
    <w:rsid w:val="7CFD0408"/>
    <w:rsid w:val="7E195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3">
    <w:name w:val="header"/>
    <w:basedOn w:val="1"/>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2021-07-22T13:04:00Z</dcterms:created>
  <dc:creator>lenovo</dc:creator>
  <cp:lastModifiedBy>陈雪玲</cp:lastModifiedBy>
  <cp:lastPrinted>2021-07-27T01:36:55Z</cp:lastPrinted>
  <dcterms:modified xsi:type="dcterms:W3CDTF">2021-07-27T01:39:07Z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y fmtid="{D5CDD505-2E9C-101B-9397-08002B2CF9AE}" pid="3" name="ICV">
    <vt:lpwstr>25DC9C57EB494787AAA4F7167879F3EF</vt:lpwstr>
  </property>
</Properties>
</file>