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color w:val="auto"/>
          <w:kern w:val="0"/>
          <w:sz w:val="32"/>
          <w:szCs w:val="32"/>
        </w:rPr>
      </w:pPr>
      <w:bookmarkStart w:id="0" w:name="_GoBack"/>
      <w:bookmarkEnd w:id="0"/>
    </w:p>
    <w:p>
      <w:pPr>
        <w:rPr>
          <w:rFonts w:hint="eastAsia" w:ascii="黑体" w:eastAsia="黑体" w:cs="ArialUnicodeMS"/>
          <w:color w:val="auto"/>
          <w:kern w:val="0"/>
          <w:sz w:val="72"/>
          <w:szCs w:val="72"/>
        </w:rPr>
      </w:pPr>
    </w:p>
    <w:p>
      <w:pPr>
        <w:rPr>
          <w:rFonts w:hint="eastAsia" w:ascii="黑体" w:eastAsia="黑体" w:cs="ArialUnicodeMS"/>
          <w:color w:val="auto"/>
          <w:kern w:val="0"/>
          <w:sz w:val="72"/>
          <w:szCs w:val="72"/>
        </w:rPr>
      </w:pPr>
    </w:p>
    <w:p>
      <w:pPr>
        <w:jc w:val="center"/>
        <w:rPr>
          <w:rFonts w:hint="eastAsia" w:ascii="黑体" w:hAnsi="黑体" w:eastAsia="黑体"/>
          <w:bCs/>
          <w:color w:val="auto"/>
          <w:sz w:val="52"/>
          <w:szCs w:val="52"/>
          <w:u w:val="none"/>
          <w:lang w:eastAsia="zh-CN"/>
        </w:rPr>
      </w:pPr>
      <w:r>
        <w:rPr>
          <w:rFonts w:hint="eastAsia" w:ascii="黑体" w:eastAsia="黑体" w:cs="ArialUnicodeMS"/>
          <w:color w:val="auto"/>
          <w:kern w:val="0"/>
          <w:sz w:val="52"/>
          <w:szCs w:val="52"/>
          <w:lang w:eastAsia="zh-CN"/>
        </w:rPr>
        <w:t>柳州市</w:t>
      </w:r>
      <w:r>
        <w:rPr>
          <w:rFonts w:hint="eastAsia" w:ascii="黑体" w:hAnsi="黑体" w:eastAsia="黑体"/>
          <w:bCs/>
          <w:color w:val="auto"/>
          <w:sz w:val="52"/>
          <w:szCs w:val="52"/>
          <w:u w:val="none"/>
          <w:lang w:eastAsia="zh-CN"/>
        </w:rPr>
        <w:t>残疾人联合会</w:t>
      </w:r>
    </w:p>
    <w:p>
      <w:pPr>
        <w:jc w:val="center"/>
        <w:rPr>
          <w:rFonts w:hint="eastAsia" w:ascii="黑体" w:eastAsia="黑体" w:cs="ArialUnicodeMS"/>
          <w:color w:val="auto"/>
          <w:kern w:val="0"/>
          <w:sz w:val="52"/>
          <w:szCs w:val="52"/>
        </w:rPr>
      </w:pPr>
      <w:r>
        <w:rPr>
          <w:rFonts w:hint="eastAsia" w:ascii="黑体" w:eastAsia="黑体"/>
          <w:color w:val="auto"/>
          <w:kern w:val="0"/>
          <w:sz w:val="52"/>
          <w:szCs w:val="52"/>
          <w:lang w:val="en-US" w:eastAsia="zh-CN"/>
        </w:rPr>
        <w:t>2021</w:t>
      </w:r>
      <w:r>
        <w:rPr>
          <w:rFonts w:hint="eastAsia" w:ascii="黑体" w:eastAsia="黑体" w:cs="ArialUnicodeMS"/>
          <w:color w:val="auto"/>
          <w:kern w:val="0"/>
          <w:sz w:val="52"/>
          <w:szCs w:val="52"/>
        </w:rPr>
        <w:t>年</w:t>
      </w:r>
      <w:r>
        <w:rPr>
          <w:rFonts w:hint="eastAsia" w:ascii="黑体" w:eastAsia="黑体" w:cs="ArialUnicodeMS"/>
          <w:color w:val="auto"/>
          <w:kern w:val="0"/>
          <w:sz w:val="52"/>
          <w:szCs w:val="52"/>
          <w:lang w:eastAsia="zh-CN"/>
        </w:rPr>
        <w:t>度</w:t>
      </w:r>
      <w:r>
        <w:rPr>
          <w:rFonts w:hint="eastAsia" w:ascii="黑体" w:eastAsia="黑体" w:cs="ArialUnicodeMS"/>
          <w:color w:val="auto"/>
          <w:kern w:val="0"/>
          <w:sz w:val="52"/>
          <w:szCs w:val="52"/>
        </w:rPr>
        <w:t>部门决算</w:t>
      </w:r>
    </w:p>
    <w:p>
      <w:pPr>
        <w:rPr>
          <w:rFonts w:hint="eastAsia" w:ascii="ArialUnicodeMS" w:eastAsia="ArialUnicodeMS" w:cs="ArialUnicodeMS"/>
          <w:color w:val="auto"/>
          <w:kern w:val="0"/>
          <w:sz w:val="84"/>
          <w:szCs w:val="84"/>
        </w:rPr>
      </w:pPr>
    </w:p>
    <w:p>
      <w:pPr>
        <w:rPr>
          <w:rFonts w:hint="eastAsia" w:ascii="ArialUnicodeMS" w:eastAsia="ArialUnicodeMS" w:cs="ArialUnicodeMS"/>
          <w:color w:val="auto"/>
          <w:kern w:val="0"/>
          <w:sz w:val="84"/>
          <w:szCs w:val="84"/>
          <w:lang w:eastAsia="zh-CN"/>
        </w:rPr>
      </w:pPr>
    </w:p>
    <w:p>
      <w:pPr>
        <w:rPr>
          <w:rFonts w:hint="eastAsia" w:ascii="ArialUnicodeMS" w:eastAsia="ArialUnicodeMS" w:cs="ArialUnicodeMS"/>
          <w:color w:val="auto"/>
          <w:kern w:val="0"/>
          <w:sz w:val="84"/>
          <w:szCs w:val="84"/>
          <w:lang w:eastAsia="zh-CN"/>
        </w:rPr>
      </w:pPr>
    </w:p>
    <w:p>
      <w:pPr>
        <w:rPr>
          <w:rFonts w:hint="eastAsia" w:ascii="ArialUnicodeMS" w:eastAsia="ArialUnicodeMS" w:cs="ArialUnicodeMS"/>
          <w:color w:val="auto"/>
          <w:kern w:val="0"/>
          <w:sz w:val="84"/>
          <w:szCs w:val="84"/>
          <w:lang w:eastAsia="zh-CN"/>
        </w:rPr>
      </w:pPr>
    </w:p>
    <w:p>
      <w:pPr>
        <w:rPr>
          <w:rFonts w:hint="eastAsia" w:ascii="ArialUnicodeMS" w:eastAsia="ArialUnicodeMS" w:cs="ArialUnicodeMS"/>
          <w:color w:val="auto"/>
          <w:kern w:val="0"/>
          <w:sz w:val="84"/>
          <w:szCs w:val="84"/>
        </w:rPr>
      </w:pPr>
    </w:p>
    <w:p>
      <w:pPr>
        <w:rPr>
          <w:rFonts w:hint="eastAsia" w:ascii="ArialUnicodeMS" w:eastAsia="ArialUnicodeMS" w:cs="ArialUnicodeMS"/>
          <w:color w:val="auto"/>
          <w:kern w:val="0"/>
          <w:sz w:val="84"/>
          <w:szCs w:val="84"/>
        </w:rPr>
      </w:pPr>
    </w:p>
    <w:p>
      <w:pPr>
        <w:rPr>
          <w:rFonts w:hint="eastAsia" w:ascii="ArialUnicodeMS" w:eastAsia="ArialUnicodeMS" w:cs="ArialUnicodeMS"/>
          <w:color w:val="auto"/>
          <w:kern w:val="0"/>
          <w:sz w:val="84"/>
          <w:szCs w:val="84"/>
        </w:rPr>
      </w:pPr>
    </w:p>
    <w:p>
      <w:pPr>
        <w:jc w:val="center"/>
        <w:rPr>
          <w:rFonts w:hint="eastAsia" w:ascii="黑体" w:eastAsia="黑体" w:cs="黑体"/>
          <w:color w:val="auto"/>
          <w:kern w:val="0"/>
          <w:sz w:val="44"/>
          <w:szCs w:val="44"/>
        </w:rPr>
      </w:pPr>
    </w:p>
    <w:p>
      <w:pPr>
        <w:ind w:firstLine="646"/>
        <w:jc w:val="center"/>
        <w:rPr>
          <w:rFonts w:hint="eastAsia"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hint="eastAsia" w:ascii="仿宋_GB2312" w:eastAsia="仿宋_GB2312"/>
          <w:b/>
          <w:color w:val="auto"/>
          <w:sz w:val="32"/>
          <w:szCs w:val="32"/>
        </w:rPr>
      </w:pPr>
    </w:p>
    <w:p>
      <w:pPr>
        <w:ind w:firstLine="645"/>
        <w:rPr>
          <w:rFonts w:hint="eastAsia"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rPr>
        <w:t>柳州市残疾人联合会</w:t>
      </w:r>
      <w:r>
        <w:rPr>
          <w:rFonts w:hint="eastAsia" w:ascii="仿宋_GB2312" w:eastAsia="仿宋_GB2312"/>
          <w:b/>
          <w:color w:val="auto"/>
          <w:sz w:val="32"/>
          <w:szCs w:val="32"/>
        </w:rPr>
        <w:t>概况</w:t>
      </w:r>
    </w:p>
    <w:p>
      <w:pPr>
        <w:ind w:firstLine="645"/>
        <w:rPr>
          <w:rFonts w:hint="eastAsia" w:ascii="仿宋_GB2312" w:eastAsia="仿宋_GB2312"/>
          <w:color w:val="auto"/>
          <w:sz w:val="32"/>
          <w:szCs w:val="32"/>
        </w:rPr>
      </w:pPr>
      <w:r>
        <w:rPr>
          <w:rFonts w:hint="eastAsia" w:ascii="仿宋_GB2312" w:eastAsia="仿宋_GB2312"/>
          <w:color w:val="auto"/>
          <w:sz w:val="32"/>
          <w:szCs w:val="32"/>
        </w:rPr>
        <w:t>一、主要职能</w:t>
      </w:r>
    </w:p>
    <w:p>
      <w:pPr>
        <w:ind w:firstLine="645"/>
        <w:rPr>
          <w:rFonts w:hint="eastAsia" w:ascii="仿宋_GB2312" w:eastAsia="仿宋_GB2312"/>
          <w:color w:val="auto"/>
          <w:sz w:val="32"/>
          <w:szCs w:val="32"/>
        </w:rPr>
      </w:pPr>
      <w:r>
        <w:rPr>
          <w:rFonts w:hint="eastAsia" w:ascii="仿宋_GB2312" w:eastAsia="仿宋_GB2312"/>
          <w:color w:val="auto"/>
          <w:sz w:val="32"/>
          <w:szCs w:val="32"/>
        </w:rPr>
        <w:t>二、部门决算单位构成</w:t>
      </w:r>
    </w:p>
    <w:p>
      <w:pPr>
        <w:ind w:firstLine="645"/>
        <w:rPr>
          <w:rFonts w:hint="eastAsia"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rPr>
        <w:t>柳州市残疾人联合会</w:t>
      </w:r>
      <w:r>
        <w:rPr>
          <w:rFonts w:hint="eastAsia" w:ascii="仿宋_GB2312" w:hAnsi="黑体" w:eastAsia="仿宋_GB2312"/>
          <w:b/>
          <w:bCs/>
          <w:color w:val="auto"/>
          <w:sz w:val="32"/>
          <w:szCs w:val="32"/>
          <w:lang w:val="en-US" w:eastAsia="zh-CN"/>
        </w:rPr>
        <w:t>2021</w:t>
      </w:r>
      <w:r>
        <w:rPr>
          <w:rFonts w:hint="eastAsia" w:ascii="仿宋_GB2312" w:eastAsia="仿宋_GB2312"/>
          <w:b/>
          <w:color w:val="auto"/>
          <w:sz w:val="32"/>
          <w:szCs w:val="32"/>
        </w:rPr>
        <w:t>年部门决算报表</w:t>
      </w:r>
    </w:p>
    <w:p>
      <w:pPr>
        <w:ind w:left="645"/>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sz w:val="32"/>
          <w:szCs w:val="32"/>
        </w:rPr>
      </w:pPr>
      <w:r>
        <w:rPr>
          <w:rFonts w:hint="eastAsia" w:ascii="仿宋_GB2312" w:eastAsia="仿宋_GB2312"/>
          <w:color w:val="auto"/>
          <w:sz w:val="32"/>
          <w:szCs w:val="32"/>
        </w:rPr>
        <w:t>表七：一般公共预算财政拨款安排的“</w:t>
      </w:r>
      <w:r>
        <w:rPr>
          <w:rFonts w:ascii="仿宋_GB2312" w:eastAsia="仿宋_GB2312"/>
          <w:color w:val="auto"/>
          <w:sz w:val="32"/>
          <w:szCs w:val="32"/>
        </w:rPr>
        <w:t>三公</w:t>
      </w:r>
      <w:r>
        <w:rPr>
          <w:rFonts w:hint="eastAsia" w:ascii="仿宋_GB2312" w:eastAsia="仿宋_GB2312"/>
          <w:color w:val="auto"/>
          <w:sz w:val="32"/>
          <w:szCs w:val="32"/>
        </w:rPr>
        <w:t>”</w:t>
      </w:r>
      <w:r>
        <w:rPr>
          <w:rFonts w:ascii="仿宋_GB2312" w:eastAsia="仿宋_GB2312"/>
          <w:color w:val="auto"/>
          <w:sz w:val="32"/>
          <w:szCs w:val="32"/>
        </w:rPr>
        <w:t>经费</w:t>
      </w:r>
      <w:r>
        <w:rPr>
          <w:rFonts w:hint="eastAsia" w:ascii="仿宋_GB2312" w:eastAsia="仿宋_GB2312"/>
          <w:color w:val="auto"/>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表九：国有资本经营预算财政拨款支出决算表</w:t>
      </w:r>
    </w:p>
    <w:p>
      <w:pPr>
        <w:ind w:firstLine="645"/>
        <w:rPr>
          <w:rFonts w:hint="eastAsia"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rPr>
        <w:t>柳州市残疾人联合会</w:t>
      </w:r>
      <w:r>
        <w:rPr>
          <w:rFonts w:hint="eastAsia" w:ascii="仿宋_GB2312" w:eastAsia="仿宋_GB2312"/>
          <w:b/>
          <w:color w:val="auto"/>
          <w:sz w:val="32"/>
          <w:szCs w:val="32"/>
          <w:lang w:val="en-US" w:eastAsia="zh-CN"/>
        </w:rPr>
        <w:t>2020</w:t>
      </w:r>
      <w:r>
        <w:rPr>
          <w:rFonts w:hint="eastAsia" w:ascii="仿宋_GB2312" w:eastAsia="仿宋_GB2312"/>
          <w:b/>
          <w:color w:val="auto"/>
          <w:sz w:val="32"/>
          <w:szCs w:val="32"/>
        </w:rPr>
        <w:t>年度部门决算情况说明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ind w:firstLine="645"/>
        <w:rPr>
          <w:rFonts w:hint="eastAsia" w:ascii="仿宋_GB2312" w:eastAsia="仿宋_GB2312"/>
          <w:b/>
          <w:color w:val="auto"/>
          <w:sz w:val="32"/>
          <w:szCs w:val="32"/>
          <w:lang w:eastAsia="zh-CN"/>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四</w:t>
      </w:r>
      <w:r>
        <w:rPr>
          <w:rFonts w:hint="eastAsia" w:ascii="仿宋_GB2312" w:eastAsia="仿宋_GB2312"/>
          <w:b/>
          <w:color w:val="auto"/>
          <w:sz w:val="32"/>
          <w:szCs w:val="32"/>
        </w:rPr>
        <w:t>部分：</w:t>
      </w:r>
      <w:r>
        <w:rPr>
          <w:rFonts w:hint="eastAsia" w:ascii="仿宋_GB2312" w:eastAsia="仿宋_GB2312"/>
          <w:b/>
          <w:color w:val="auto"/>
          <w:sz w:val="32"/>
          <w:szCs w:val="32"/>
          <w:lang w:eastAsia="zh-CN"/>
        </w:rPr>
        <w:t>名词解释</w:t>
      </w:r>
    </w:p>
    <w:p>
      <w:pPr>
        <w:ind w:firstLine="646"/>
        <w:jc w:val="center"/>
        <w:rPr>
          <w:rFonts w:ascii="仿宋_GB2312" w:eastAsia="仿宋_GB2312"/>
          <w:b/>
          <w:color w:val="auto"/>
          <w:sz w:val="32"/>
          <w:szCs w:val="32"/>
        </w:rPr>
      </w:pPr>
      <w:r>
        <w:rPr>
          <w:rFonts w:hint="eastAsia" w:ascii="仿宋_GB2312" w:eastAsia="仿宋_GB2312" w:cs="仿宋_GB2312"/>
          <w:b w:val="0"/>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rPr>
        <w:t>柳州市残疾人联合会</w:t>
      </w:r>
      <w:r>
        <w:rPr>
          <w:rFonts w:hint="eastAsia" w:ascii="仿宋_GB2312" w:eastAsia="仿宋_GB2312"/>
          <w:b/>
          <w:color w:val="auto"/>
          <w:sz w:val="32"/>
          <w:szCs w:val="32"/>
        </w:rPr>
        <w:t>概况</w:t>
      </w:r>
    </w:p>
    <w:p>
      <w:pPr>
        <w:ind w:firstLine="646"/>
        <w:rPr>
          <w:rFonts w:hint="eastAsia" w:ascii="仿宋_GB2312" w:eastAsia="仿宋_GB2312"/>
          <w:color w:val="auto"/>
          <w:sz w:val="32"/>
          <w:szCs w:val="32"/>
        </w:rPr>
      </w:pPr>
      <w:r>
        <w:rPr>
          <w:rFonts w:hint="eastAsia" w:ascii="仿宋_GB2312" w:eastAsia="仿宋_GB2312"/>
          <w:color w:val="auto"/>
          <w:sz w:val="32"/>
          <w:szCs w:val="32"/>
        </w:rPr>
        <w:t>一、主要职能</w:t>
      </w:r>
    </w:p>
    <w:p>
      <w:pPr>
        <w:spacing w:line="500" w:lineRule="exact"/>
        <w:ind w:firstLine="645"/>
        <w:rPr>
          <w:rFonts w:ascii="仿宋_GB2312" w:eastAsia="仿宋_GB2312"/>
          <w:color w:val="auto"/>
          <w:sz w:val="32"/>
          <w:szCs w:val="32"/>
        </w:rPr>
      </w:pPr>
      <w:r>
        <w:rPr>
          <w:rFonts w:hint="eastAsia" w:ascii="仿宋_GB2312" w:eastAsia="仿宋_GB2312"/>
          <w:color w:val="auto"/>
          <w:sz w:val="32"/>
          <w:szCs w:val="32"/>
        </w:rPr>
        <w:t>(一)宣传贯彻《中华人民共和国残疾人保障法》，维护残疾人权益，听取残疾人意见，反映残疾人需求，全心全意为残疾人服务。</w:t>
      </w:r>
    </w:p>
    <w:p>
      <w:pPr>
        <w:spacing w:line="500" w:lineRule="exact"/>
        <w:ind w:firstLine="645"/>
        <w:rPr>
          <w:rFonts w:ascii="仿宋_GB2312" w:eastAsia="仿宋_GB2312"/>
          <w:color w:val="auto"/>
          <w:sz w:val="32"/>
          <w:szCs w:val="32"/>
        </w:rPr>
      </w:pPr>
      <w:r>
        <w:rPr>
          <w:rFonts w:hint="eastAsia" w:ascii="仿宋_GB2312" w:eastAsia="仿宋_GB2312"/>
          <w:color w:val="auto"/>
          <w:sz w:val="32"/>
          <w:szCs w:val="32"/>
        </w:rPr>
        <w:t>(二)团结、教育残疾人遵守法律，履行应尽的义务，发扬乐观进取精神，自尊、自信、自强、自立，为社会主义建设贡献力量。</w:t>
      </w:r>
    </w:p>
    <w:p>
      <w:pPr>
        <w:spacing w:line="500" w:lineRule="exact"/>
        <w:ind w:firstLine="645"/>
        <w:rPr>
          <w:rFonts w:ascii="仿宋_GB2312" w:eastAsia="仿宋_GB2312"/>
          <w:color w:val="auto"/>
          <w:sz w:val="32"/>
          <w:szCs w:val="32"/>
        </w:rPr>
      </w:pPr>
      <w:r>
        <w:rPr>
          <w:rFonts w:hint="eastAsia" w:ascii="仿宋_GB2312" w:eastAsia="仿宋_GB2312"/>
          <w:color w:val="auto"/>
          <w:sz w:val="32"/>
          <w:szCs w:val="32"/>
        </w:rPr>
        <w:t>(三)沟通政府、社会与残疾人之间的联系，宣传残疾人事业，动员社会理解、尊重、关心、帮助残疾人。</w:t>
      </w:r>
    </w:p>
    <w:p>
      <w:pPr>
        <w:spacing w:line="500" w:lineRule="exact"/>
        <w:ind w:firstLine="645"/>
        <w:rPr>
          <w:rFonts w:ascii="仿宋_GB2312" w:eastAsia="仿宋_GB2312"/>
          <w:color w:val="auto"/>
          <w:sz w:val="32"/>
          <w:szCs w:val="32"/>
        </w:rPr>
      </w:pPr>
      <w:r>
        <w:rPr>
          <w:rFonts w:hint="eastAsia" w:ascii="仿宋_GB2312" w:eastAsia="仿宋_GB2312"/>
          <w:color w:val="auto"/>
          <w:sz w:val="32"/>
          <w:szCs w:val="32"/>
        </w:rPr>
        <w:t>(四)开展和促进残疾人康复、教育、劳动就业、扶贫、维权、文化体育、社会保障和残疾预防等工作，改善残疾人参与社会生活的环境和条件。</w:t>
      </w:r>
    </w:p>
    <w:p>
      <w:pPr>
        <w:spacing w:line="500" w:lineRule="exact"/>
        <w:ind w:firstLine="645"/>
        <w:rPr>
          <w:rFonts w:ascii="仿宋_GB2312" w:eastAsia="仿宋_GB2312"/>
          <w:color w:val="auto"/>
          <w:sz w:val="32"/>
          <w:szCs w:val="32"/>
        </w:rPr>
      </w:pPr>
      <w:r>
        <w:rPr>
          <w:rFonts w:hint="eastAsia" w:ascii="仿宋_GB2312" w:eastAsia="仿宋_GB2312"/>
          <w:color w:val="auto"/>
          <w:sz w:val="32"/>
          <w:szCs w:val="32"/>
        </w:rPr>
        <w:t>(五)参与研究、制订和实施残疾人事业的法律、法规、政策、规划和计划，发挥综合、协调、咨询、服务作用，对有关领域的工作进行管理和指导。</w:t>
      </w:r>
    </w:p>
    <w:p>
      <w:pPr>
        <w:spacing w:line="500" w:lineRule="exact"/>
        <w:ind w:firstLine="645"/>
        <w:rPr>
          <w:rFonts w:ascii="仿宋_GB2312" w:eastAsia="仿宋_GB2312"/>
          <w:color w:val="auto"/>
          <w:sz w:val="32"/>
          <w:szCs w:val="32"/>
        </w:rPr>
      </w:pPr>
      <w:r>
        <w:rPr>
          <w:rFonts w:hint="eastAsia" w:ascii="仿宋_GB2312" w:eastAsia="仿宋_GB2312"/>
          <w:color w:val="auto"/>
          <w:sz w:val="32"/>
          <w:szCs w:val="32"/>
        </w:rPr>
        <w:t>(六)管理和指导各类残疾人群众组织，培养残疾人工作者，使残疾人在残疾人组织中更加活跃，残疾人组织在基层更加活跃，残疾人和残疾人组织在社会上更加活跃。</w:t>
      </w:r>
    </w:p>
    <w:p>
      <w:pPr>
        <w:spacing w:line="5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(七)承担市人民政府及残疾人工作委员会的日常工作。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二、部门决算单位构成</w:t>
      </w:r>
    </w:p>
    <w:p>
      <w:pPr>
        <w:spacing w:line="5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柳州市残疾人联合会（本级）为参公事业单位，下属两个单位分别为柳州市残疾人劳动就业服务中心（差额拨款事业单位）和柳州市残疾人康复中心（全额拨款事业单位）。</w:t>
      </w:r>
    </w:p>
    <w:p>
      <w:pPr>
        <w:ind w:firstLine="645"/>
        <w:rPr>
          <w:rFonts w:hint="eastAsia" w:ascii="仿宋_GB2312" w:eastAsia="仿宋_GB2312"/>
          <w:color w:val="auto"/>
          <w:sz w:val="32"/>
          <w:szCs w:val="32"/>
        </w:rPr>
      </w:pPr>
    </w:p>
    <w:p>
      <w:pPr>
        <w:jc w:val="center"/>
        <w:rPr>
          <w:rFonts w:hint="eastAsia" w:ascii="仿宋_GB2312" w:eastAsia="仿宋_GB2312"/>
          <w:b/>
          <w:color w:val="auto"/>
          <w:sz w:val="32"/>
          <w:szCs w:val="32"/>
        </w:rPr>
      </w:pPr>
    </w:p>
    <w:p>
      <w:pPr>
        <w:jc w:val="left"/>
        <w:rPr>
          <w:rFonts w:hint="eastAsia" w:ascii="仿宋_GB2312" w:eastAsia="仿宋_GB2312"/>
          <w:b/>
          <w:color w:val="auto"/>
          <w:sz w:val="32"/>
          <w:szCs w:val="32"/>
        </w:rPr>
      </w:pPr>
    </w:p>
    <w:p>
      <w:pPr>
        <w:jc w:val="left"/>
        <w:rPr>
          <w:rFonts w:hint="eastAsia" w:ascii="仿宋_GB2312" w:eastAsia="仿宋_GB2312"/>
          <w:b/>
          <w:color w:val="auto"/>
          <w:sz w:val="32"/>
          <w:szCs w:val="32"/>
        </w:rPr>
      </w:pPr>
    </w:p>
    <w:p>
      <w:pPr>
        <w:jc w:val="left"/>
        <w:rPr>
          <w:rFonts w:hint="eastAsia" w:ascii="仿宋_GB2312" w:eastAsia="仿宋_GB2312"/>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rPr>
        <w:t>柳州市残疾人联合会</w:t>
      </w:r>
      <w:r>
        <w:rPr>
          <w:rFonts w:hint="eastAsia" w:ascii="仿宋_GB2312" w:eastAsia="仿宋_GB2312"/>
          <w:b/>
          <w:color w:val="auto"/>
          <w:sz w:val="32"/>
          <w:szCs w:val="32"/>
          <w:lang w:val="en-US" w:eastAsia="zh-CN"/>
        </w:rPr>
        <w:t>2021</w:t>
      </w:r>
      <w:r>
        <w:rPr>
          <w:rFonts w:hint="eastAsia" w:ascii="仿宋_GB2312" w:eastAsia="仿宋_GB2312"/>
          <w:b/>
          <w:color w:val="auto"/>
          <w:sz w:val="32"/>
          <w:szCs w:val="32"/>
        </w:rPr>
        <w:t>年部门决算报表</w:t>
      </w:r>
    </w:p>
    <w:tbl>
      <w:tblPr>
        <w:tblStyle w:val="4"/>
        <w:tblpPr w:leftFromText="180" w:rightFromText="180" w:vertAnchor="text" w:horzAnchor="page" w:tblpXSpec="center" w:tblpY="366"/>
        <w:tblOverlap w:val="never"/>
        <w:tblW w:w="10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20"/>
        <w:gridCol w:w="811"/>
        <w:gridCol w:w="1061"/>
        <w:gridCol w:w="3018"/>
        <w:gridCol w:w="1004"/>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0075" w:type="dxa"/>
            <w:gridSpan w:val="6"/>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表一：</w:t>
            </w:r>
            <w:r>
              <w:rPr>
                <w:rFonts w:hint="eastAsia" w:ascii="宋体" w:hAnsi="宋体" w:eastAsia="宋体" w:cs="宋体"/>
                <w:i w:val="0"/>
                <w:iCs w:val="0"/>
                <w:color w:val="auto"/>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120" w:type="dxa"/>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811" w:type="dxa"/>
            <w:tcBorders>
              <w:top w:val="nil"/>
              <w:left w:val="nil"/>
              <w:bottom w:val="nil"/>
              <w:right w:val="nil"/>
            </w:tcBorders>
            <w:shd w:val="clear" w:color="auto" w:fill="auto"/>
            <w:noWrap/>
            <w:vAlign w:val="bottom"/>
          </w:tcPr>
          <w:p>
            <w:pPr>
              <w:spacing w:line="360" w:lineRule="auto"/>
              <w:rPr>
                <w:color w:val="auto"/>
                <w:sz w:val="24"/>
                <w:szCs w:val="24"/>
              </w:rPr>
            </w:pPr>
          </w:p>
        </w:tc>
        <w:tc>
          <w:tcPr>
            <w:tcW w:w="1061" w:type="dxa"/>
            <w:tcBorders>
              <w:top w:val="nil"/>
              <w:left w:val="nil"/>
              <w:bottom w:val="nil"/>
              <w:right w:val="nil"/>
            </w:tcBorders>
            <w:shd w:val="clear" w:color="auto" w:fill="auto"/>
            <w:noWrap/>
            <w:vAlign w:val="bottom"/>
          </w:tcPr>
          <w:p>
            <w:pPr>
              <w:spacing w:line="360" w:lineRule="auto"/>
              <w:rPr>
                <w:color w:val="auto"/>
                <w:sz w:val="24"/>
                <w:szCs w:val="24"/>
              </w:rPr>
            </w:pPr>
          </w:p>
        </w:tc>
        <w:tc>
          <w:tcPr>
            <w:tcW w:w="5083" w:type="dxa"/>
            <w:gridSpan w:val="3"/>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120"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811" w:type="dxa"/>
            <w:tcBorders>
              <w:top w:val="nil"/>
              <w:left w:val="nil"/>
              <w:bottom w:val="nil"/>
              <w:right w:val="nil"/>
            </w:tcBorders>
            <w:shd w:val="clear" w:color="auto" w:fill="auto"/>
            <w:noWrap/>
            <w:vAlign w:val="bottom"/>
          </w:tcPr>
          <w:p>
            <w:pPr>
              <w:spacing w:line="360" w:lineRule="auto"/>
              <w:rPr>
                <w:color w:val="auto"/>
                <w:sz w:val="24"/>
                <w:szCs w:val="24"/>
              </w:rPr>
            </w:pPr>
          </w:p>
        </w:tc>
        <w:tc>
          <w:tcPr>
            <w:tcW w:w="1061" w:type="dxa"/>
            <w:tcBorders>
              <w:top w:val="nil"/>
              <w:left w:val="nil"/>
              <w:bottom w:val="nil"/>
              <w:right w:val="nil"/>
            </w:tcBorders>
            <w:shd w:val="clear" w:color="auto" w:fill="auto"/>
            <w:noWrap/>
            <w:vAlign w:val="bottom"/>
          </w:tcPr>
          <w:p>
            <w:pPr>
              <w:spacing w:line="360" w:lineRule="auto"/>
              <w:rPr>
                <w:color w:val="auto"/>
                <w:sz w:val="24"/>
                <w:szCs w:val="24"/>
              </w:rPr>
            </w:pPr>
          </w:p>
        </w:tc>
        <w:tc>
          <w:tcPr>
            <w:tcW w:w="5083" w:type="dxa"/>
            <w:gridSpan w:val="3"/>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499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收入</w:t>
            </w:r>
          </w:p>
        </w:tc>
        <w:tc>
          <w:tcPr>
            <w:tcW w:w="5083"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行次</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金额</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项目</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行次</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center"/>
              <w:rPr>
                <w:color w:val="auto"/>
                <w:sz w:val="24"/>
                <w:szCs w:val="24"/>
              </w:rPr>
            </w:pP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栏次</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center"/>
              <w:rPr>
                <w:color w:val="auto"/>
                <w:sz w:val="24"/>
                <w:szCs w:val="24"/>
              </w:rPr>
            </w:pP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一、一般公共预算财政拨款收入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3,539.33</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一、一般公共服务支出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32</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二、政府性基金预算财政拨款收入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二、外交支出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33</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三、国有资本经营预算财政拨款收入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三、国防支出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34</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四、上级补助收入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四、公共安全支出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35</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五、事业收入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15.89</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五、教育支出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36</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六、经营收入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六、科学技术支出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七、附属单位上缴收入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七、文化旅游体育与传媒支出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38</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八、其他收入</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28.62</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八、社会保障和就业支出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九、卫生健康支出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40</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十、节能环保支出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41</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11</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十一、城乡社区支出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42</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12</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十二、农林水支出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43</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13</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十三、交通运输支出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44</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14</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十四、资源勘探工业信息等支出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45</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十五、商业服务业等支出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46</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16</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十六、金融支出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47</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十七、援助其他地区支出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48</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18</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十八、自然资源海洋气象等支出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十九、住房保障支出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50</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二十、粮油物资储备支出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51</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21</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二十一、国有资本经营预算支出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52</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22</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二十二、灾害防治及应急管理支出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53</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23</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二十三、其他支出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54</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center"/>
              <w:rPr>
                <w:rFonts w:hint="eastAsia" w:ascii="宋体" w:hAnsi="宋体" w:eastAsia="宋体" w:cs="宋体"/>
                <w:b/>
                <w:bCs/>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二十四、债务还本支出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55</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25</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二十五、债务付息支出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56</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26</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二十六、抗疫特别国债安排的支出</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57</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本年收入合计</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3,583.83</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本年支出合计</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58</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4,019.52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使用非财政拨款结余</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28</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2.24</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结余分配</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59</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年初结转和结余</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29</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723.48</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年末结转和结余</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60</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right"/>
              <w:rPr>
                <w:color w:val="auto"/>
                <w:sz w:val="24"/>
                <w:szCs w:val="24"/>
              </w:rPr>
            </w:pP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spacing w:line="360" w:lineRule="auto"/>
              <w:jc w:val="left"/>
              <w:rPr>
                <w:color w:val="auto"/>
                <w:sz w:val="24"/>
                <w:szCs w:val="24"/>
              </w:rPr>
            </w:pP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61</w:t>
            </w:r>
          </w:p>
        </w:tc>
        <w:tc>
          <w:tcPr>
            <w:tcW w:w="1061" w:type="dxa"/>
            <w:tcBorders>
              <w:top w:val="nil"/>
              <w:left w:val="nil"/>
              <w:bottom w:val="single" w:color="000000" w:sz="4" w:space="0"/>
              <w:right w:val="single" w:color="000000" w:sz="4" w:space="0"/>
            </w:tcBorders>
            <w:shd w:val="clear" w:color="FFFFFF" w:fill="auto"/>
            <w:noWrap/>
            <w:vAlign w:val="center"/>
          </w:tcPr>
          <w:p>
            <w:pPr>
              <w:spacing w:line="360" w:lineRule="auto"/>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12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总计</w:t>
            </w:r>
          </w:p>
        </w:tc>
        <w:tc>
          <w:tcPr>
            <w:tcW w:w="81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31</w:t>
            </w:r>
          </w:p>
        </w:tc>
        <w:tc>
          <w:tcPr>
            <w:tcW w:w="1061"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4,309.56</w:t>
            </w:r>
          </w:p>
        </w:tc>
        <w:tc>
          <w:tcPr>
            <w:tcW w:w="301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总计</w:t>
            </w:r>
          </w:p>
        </w:tc>
        <w:tc>
          <w:tcPr>
            <w:tcW w:w="1004"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62</w:t>
            </w:r>
          </w:p>
        </w:tc>
        <w:tc>
          <w:tcPr>
            <w:tcW w:w="1061"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10075" w:type="dxa"/>
            <w:gridSpan w:val="6"/>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10075" w:type="dxa"/>
            <w:gridSpan w:val="6"/>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2.本套报表金额单位转换时可能存在尾数误差。</w:t>
            </w:r>
          </w:p>
        </w:tc>
      </w:tr>
    </w:tbl>
    <w:p>
      <w:pPr>
        <w:ind w:left="-619" w:leftChars="-295" w:firstLine="619" w:firstLineChars="295"/>
        <w:jc w:val="center"/>
        <w:rPr>
          <w:color w:val="auto"/>
        </w:rPr>
      </w:pPr>
    </w:p>
    <w:p>
      <w:pPr>
        <w:jc w:val="center"/>
        <w:rPr>
          <w:color w:val="auto"/>
        </w:rPr>
      </w:pPr>
    </w:p>
    <w:p>
      <w:pPr>
        <w:jc w:val="left"/>
        <w:rPr>
          <w:rFonts w:hint="eastAsia" w:ascii="仿宋_GB2312" w:eastAsia="仿宋_GB2312"/>
          <w:b/>
          <w:color w:val="auto"/>
          <w:sz w:val="32"/>
          <w:szCs w:val="32"/>
        </w:rPr>
      </w:pPr>
    </w:p>
    <w:p>
      <w:pPr>
        <w:tabs>
          <w:tab w:val="left" w:pos="3142"/>
        </w:tabs>
        <w:bidi w:val="0"/>
        <w:jc w:val="left"/>
        <w:rPr>
          <w:rFonts w:hint="eastAsia"/>
          <w:color w:val="auto"/>
          <w:lang w:val="en-US" w:eastAsia="zh-CN"/>
        </w:rPr>
        <w:sectPr>
          <w:headerReference r:id="rId3" w:type="default"/>
          <w:footerReference r:id="rId4" w:type="default"/>
          <w:pgSz w:w="11906" w:h="16838"/>
          <w:pgMar w:top="1383" w:right="1289" w:bottom="1440" w:left="117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43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9"/>
        <w:gridCol w:w="270"/>
        <w:gridCol w:w="655"/>
        <w:gridCol w:w="4365"/>
        <w:gridCol w:w="1515"/>
        <w:gridCol w:w="1260"/>
        <w:gridCol w:w="1320"/>
        <w:gridCol w:w="1410"/>
        <w:gridCol w:w="1185"/>
        <w:gridCol w:w="1377"/>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398" w:type="dxa"/>
            <w:gridSpan w:val="11"/>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表二：</w:t>
            </w:r>
            <w:r>
              <w:rPr>
                <w:rFonts w:hint="eastAsia" w:ascii="宋体" w:hAnsi="宋体" w:eastAsia="宋体" w:cs="宋体"/>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69" w:type="dxa"/>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270" w:type="dxa"/>
            <w:tcBorders>
              <w:top w:val="nil"/>
              <w:left w:val="nil"/>
              <w:bottom w:val="nil"/>
              <w:right w:val="nil"/>
            </w:tcBorders>
            <w:shd w:val="clear" w:color="auto" w:fill="auto"/>
            <w:noWrap/>
            <w:vAlign w:val="bottom"/>
          </w:tcPr>
          <w:p>
            <w:pPr>
              <w:spacing w:line="360" w:lineRule="auto"/>
              <w:rPr>
                <w:color w:val="auto"/>
                <w:sz w:val="24"/>
                <w:szCs w:val="24"/>
              </w:rPr>
            </w:pPr>
          </w:p>
        </w:tc>
        <w:tc>
          <w:tcPr>
            <w:tcW w:w="655" w:type="dxa"/>
            <w:tcBorders>
              <w:top w:val="nil"/>
              <w:left w:val="nil"/>
              <w:bottom w:val="nil"/>
              <w:right w:val="nil"/>
            </w:tcBorders>
            <w:shd w:val="clear" w:color="auto" w:fill="auto"/>
            <w:noWrap/>
            <w:vAlign w:val="bottom"/>
          </w:tcPr>
          <w:p>
            <w:pPr>
              <w:spacing w:line="360" w:lineRule="auto"/>
              <w:rPr>
                <w:color w:val="auto"/>
                <w:sz w:val="24"/>
                <w:szCs w:val="24"/>
              </w:rPr>
            </w:pPr>
          </w:p>
        </w:tc>
        <w:tc>
          <w:tcPr>
            <w:tcW w:w="4365" w:type="dxa"/>
            <w:tcBorders>
              <w:top w:val="nil"/>
              <w:left w:val="nil"/>
              <w:bottom w:val="nil"/>
              <w:right w:val="nil"/>
            </w:tcBorders>
            <w:shd w:val="clear" w:color="auto" w:fill="auto"/>
            <w:noWrap/>
            <w:vAlign w:val="bottom"/>
          </w:tcPr>
          <w:p>
            <w:pPr>
              <w:spacing w:line="360" w:lineRule="auto"/>
              <w:rPr>
                <w:color w:val="auto"/>
                <w:sz w:val="24"/>
                <w:szCs w:val="24"/>
              </w:rPr>
            </w:pPr>
          </w:p>
        </w:tc>
        <w:tc>
          <w:tcPr>
            <w:tcW w:w="1515" w:type="dxa"/>
            <w:tcBorders>
              <w:top w:val="nil"/>
              <w:left w:val="nil"/>
              <w:bottom w:val="nil"/>
              <w:right w:val="nil"/>
            </w:tcBorders>
            <w:shd w:val="clear" w:color="auto" w:fill="auto"/>
            <w:noWrap/>
            <w:vAlign w:val="bottom"/>
          </w:tcPr>
          <w:p>
            <w:pPr>
              <w:spacing w:line="360" w:lineRule="auto"/>
              <w:rPr>
                <w:color w:val="auto"/>
                <w:sz w:val="24"/>
                <w:szCs w:val="24"/>
              </w:rPr>
            </w:pPr>
          </w:p>
        </w:tc>
        <w:tc>
          <w:tcPr>
            <w:tcW w:w="1260"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20"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410"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185" w:type="dxa"/>
            <w:tcBorders>
              <w:top w:val="nil"/>
              <w:left w:val="nil"/>
              <w:bottom w:val="nil"/>
              <w:right w:val="nil"/>
            </w:tcBorders>
            <w:shd w:val="clear" w:color="auto" w:fill="auto"/>
            <w:noWrap/>
            <w:vAlign w:val="bottom"/>
          </w:tcPr>
          <w:p>
            <w:pPr>
              <w:spacing w:line="360" w:lineRule="auto"/>
              <w:rPr>
                <w:color w:val="auto"/>
                <w:sz w:val="24"/>
                <w:szCs w:val="24"/>
              </w:rPr>
            </w:pPr>
          </w:p>
        </w:tc>
        <w:tc>
          <w:tcPr>
            <w:tcW w:w="2149" w:type="dxa"/>
            <w:gridSpan w:val="2"/>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559" w:type="dxa"/>
            <w:gridSpan w:val="4"/>
            <w:tcBorders>
              <w:top w:val="nil"/>
              <w:left w:val="nil"/>
              <w:bottom w:val="nil"/>
              <w:right w:val="nil"/>
            </w:tcBorders>
            <w:shd w:val="clear" w:color="auto" w:fill="auto"/>
            <w:noWrap/>
            <w:vAlign w:val="bottom"/>
          </w:tcPr>
          <w:p>
            <w:pPr>
              <w:spacing w:line="360" w:lineRule="auto"/>
              <w:rPr>
                <w:color w:val="auto"/>
                <w:sz w:val="24"/>
                <w:szCs w:val="24"/>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1515" w:type="dxa"/>
            <w:tcBorders>
              <w:top w:val="nil"/>
              <w:left w:val="nil"/>
              <w:bottom w:val="nil"/>
              <w:right w:val="nil"/>
            </w:tcBorders>
            <w:shd w:val="clear" w:color="auto" w:fill="auto"/>
            <w:noWrap/>
            <w:vAlign w:val="bottom"/>
          </w:tcPr>
          <w:p>
            <w:pPr>
              <w:spacing w:line="360" w:lineRule="auto"/>
              <w:rPr>
                <w:color w:val="auto"/>
                <w:sz w:val="24"/>
                <w:szCs w:val="24"/>
              </w:rPr>
            </w:pPr>
          </w:p>
        </w:tc>
        <w:tc>
          <w:tcPr>
            <w:tcW w:w="1260"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20"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410"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3334" w:type="dxa"/>
            <w:gridSpan w:val="3"/>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本年收入合计</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财政拨款收入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上级补助收入</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事业收入</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经营收入</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附属单位上缴收入</w:t>
            </w:r>
          </w:p>
        </w:tc>
        <w:tc>
          <w:tcPr>
            <w:tcW w:w="7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功能分类科目编码</w:t>
            </w:r>
          </w:p>
        </w:tc>
        <w:tc>
          <w:tcPr>
            <w:tcW w:w="43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科目名称</w:t>
            </w:r>
          </w:p>
        </w:tc>
        <w:tc>
          <w:tcPr>
            <w:tcW w:w="1515"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sz w:val="24"/>
                <w:szCs w:val="24"/>
              </w:rPr>
            </w:pPr>
          </w:p>
        </w:tc>
        <w:tc>
          <w:tcPr>
            <w:tcW w:w="1260"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sz w:val="24"/>
                <w:szCs w:val="24"/>
              </w:rPr>
            </w:pPr>
          </w:p>
        </w:tc>
        <w:tc>
          <w:tcPr>
            <w:tcW w:w="1320"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4"/>
                <w:szCs w:val="24"/>
                <w:u w:val="none"/>
              </w:rPr>
            </w:pPr>
          </w:p>
        </w:tc>
        <w:tc>
          <w:tcPr>
            <w:tcW w:w="1410"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color w:val="auto"/>
                <w:sz w:val="24"/>
                <w:szCs w:val="24"/>
              </w:rPr>
            </w:pPr>
          </w:p>
        </w:tc>
        <w:tc>
          <w:tcPr>
            <w:tcW w:w="1185"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color w:val="auto"/>
                <w:sz w:val="24"/>
                <w:szCs w:val="24"/>
              </w:rPr>
            </w:pPr>
          </w:p>
        </w:tc>
        <w:tc>
          <w:tcPr>
            <w:tcW w:w="1377"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color w:val="auto"/>
                <w:sz w:val="24"/>
                <w:szCs w:val="24"/>
              </w:rPr>
            </w:pPr>
          </w:p>
        </w:tc>
        <w:tc>
          <w:tcPr>
            <w:tcW w:w="772"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55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15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2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13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7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55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5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3,583.83</w:t>
            </w:r>
          </w:p>
        </w:tc>
        <w:tc>
          <w:tcPr>
            <w:tcW w:w="12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3,539.33</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15.89</w:t>
            </w: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社会保障和就业支出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3,499.54</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3,455.04</w:t>
            </w:r>
          </w:p>
        </w:tc>
        <w:tc>
          <w:tcPr>
            <w:tcW w:w="132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15.89</w:t>
            </w:r>
          </w:p>
        </w:tc>
        <w:tc>
          <w:tcPr>
            <w:tcW w:w="1185"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行政事业单位养老支出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107.03</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107.03</w:t>
            </w:r>
          </w:p>
        </w:tc>
        <w:tc>
          <w:tcPr>
            <w:tcW w:w="132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2080501</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行政单位离退休</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19.14</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19.14</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2080502</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事业单位离退休</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2.31</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2.31</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2080505</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机关事业单位基本养老保险缴费支出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55.89</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55.89</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2080506</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机关事业单位职业年金缴费支出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29.68</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29.68</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残疾人事业</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3,390.48</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3,345.97</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15.89</w:t>
            </w: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2081101</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行政运行</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277.94</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277.94</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2081104</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残疾人康复</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883.12</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867.10</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15.89</w:t>
            </w: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2081105</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残疾人就业和扶贫</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164.95</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164.95</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2081106</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残疾人体育</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273.05</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273.05</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2081199</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其他残疾人事业支出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1,791.42</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1,762.93</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20899</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其他社会保障和就业支出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2089999</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其他社会保障和就业支出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卫生健康支出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39.05</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39.05</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行政事业单位医疗</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39.05</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39.05</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2101101</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行政单位医疗</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15.61</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15.61</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2101102</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事业单位医疗</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12.47</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12.47</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2101103</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公务员医疗补助</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10.82</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10.82</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2101199</w:t>
            </w:r>
          </w:p>
        </w:tc>
        <w:tc>
          <w:tcPr>
            <w:tcW w:w="4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其他行政事业单位医疗支出</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0.14</w:t>
            </w: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0.14</w:t>
            </w:r>
          </w:p>
        </w:tc>
        <w:tc>
          <w:tcPr>
            <w:tcW w:w="1320"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4"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w:t>
            </w:r>
          </w:p>
        </w:tc>
        <w:tc>
          <w:tcPr>
            <w:tcW w:w="4365"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住房保障支出</w:t>
            </w:r>
          </w:p>
        </w:tc>
        <w:tc>
          <w:tcPr>
            <w:tcW w:w="1515"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45.24</w:t>
            </w:r>
          </w:p>
        </w:tc>
        <w:tc>
          <w:tcPr>
            <w:tcW w:w="126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45.24</w:t>
            </w:r>
          </w:p>
        </w:tc>
        <w:tc>
          <w:tcPr>
            <w:tcW w:w="1320" w:type="dxa"/>
            <w:tcBorders>
              <w:top w:val="nil"/>
              <w:left w:val="nil"/>
              <w:bottom w:val="single" w:color="auto"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410" w:type="dxa"/>
            <w:tcBorders>
              <w:top w:val="nil"/>
              <w:left w:val="nil"/>
              <w:bottom w:val="single" w:color="auto" w:sz="4" w:space="0"/>
              <w:right w:val="single" w:color="000000" w:sz="4" w:space="0"/>
            </w:tcBorders>
            <w:shd w:val="clear" w:color="auto" w:fill="auto"/>
            <w:noWrap/>
            <w:vAlign w:val="center"/>
          </w:tcPr>
          <w:p>
            <w:pPr>
              <w:spacing w:line="360" w:lineRule="auto"/>
              <w:jc w:val="right"/>
              <w:rPr>
                <w:color w:val="auto"/>
                <w:sz w:val="24"/>
                <w:szCs w:val="24"/>
              </w:rPr>
            </w:pPr>
          </w:p>
        </w:tc>
        <w:tc>
          <w:tcPr>
            <w:tcW w:w="1185" w:type="dxa"/>
            <w:tcBorders>
              <w:top w:val="nil"/>
              <w:left w:val="nil"/>
              <w:bottom w:val="single" w:color="auto" w:sz="4" w:space="0"/>
              <w:right w:val="single" w:color="000000" w:sz="4" w:space="0"/>
            </w:tcBorders>
            <w:shd w:val="clear" w:color="auto" w:fill="auto"/>
            <w:noWrap/>
            <w:vAlign w:val="center"/>
          </w:tcPr>
          <w:p>
            <w:pPr>
              <w:spacing w:line="360" w:lineRule="auto"/>
              <w:jc w:val="right"/>
              <w:rPr>
                <w:color w:val="auto"/>
                <w:sz w:val="24"/>
                <w:szCs w:val="24"/>
              </w:rPr>
            </w:pPr>
          </w:p>
        </w:tc>
        <w:tc>
          <w:tcPr>
            <w:tcW w:w="1377" w:type="dxa"/>
            <w:tcBorders>
              <w:top w:val="nil"/>
              <w:left w:val="nil"/>
              <w:bottom w:val="single" w:color="auto" w:sz="4" w:space="0"/>
              <w:right w:val="single" w:color="000000" w:sz="4" w:space="0"/>
            </w:tcBorders>
            <w:shd w:val="clear" w:color="auto" w:fill="auto"/>
            <w:noWrap/>
            <w:vAlign w:val="center"/>
          </w:tcPr>
          <w:p>
            <w:pPr>
              <w:spacing w:line="360" w:lineRule="auto"/>
              <w:jc w:val="right"/>
              <w:rPr>
                <w:color w:val="auto"/>
                <w:sz w:val="24"/>
                <w:szCs w:val="24"/>
              </w:rPr>
            </w:pPr>
          </w:p>
        </w:tc>
        <w:tc>
          <w:tcPr>
            <w:tcW w:w="772" w:type="dxa"/>
            <w:tcBorders>
              <w:top w:val="nil"/>
              <w:left w:val="nil"/>
              <w:bottom w:val="single" w:color="auto"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22102</w:t>
            </w: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住房改革支出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45.24</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45.24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13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r>
    </w:tbl>
    <w:p>
      <w:pPr>
        <w:rPr>
          <w:rFonts w:hint="eastAsia" w:ascii="仿宋_GB2312" w:eastAsia="仿宋_GB2312"/>
          <w:color w:val="auto"/>
          <w:sz w:val="32"/>
          <w:szCs w:val="32"/>
        </w:rPr>
      </w:pPr>
    </w:p>
    <w:p>
      <w:pPr>
        <w:ind w:left="645"/>
        <w:rPr>
          <w:rFonts w:hint="eastAsia" w:ascii="仿宋_GB2312" w:eastAsia="仿宋_GB2312"/>
          <w:color w:val="auto"/>
          <w:sz w:val="32"/>
          <w:szCs w:val="32"/>
        </w:rPr>
      </w:pPr>
    </w:p>
    <w:p>
      <w:pPr>
        <w:ind w:left="645"/>
        <w:rPr>
          <w:rFonts w:hint="eastAsia" w:ascii="仿宋_GB2312" w:eastAsia="仿宋_GB2312"/>
          <w:color w:val="auto"/>
          <w:sz w:val="32"/>
          <w:szCs w:val="32"/>
        </w:rPr>
      </w:pPr>
    </w:p>
    <w:p>
      <w:pPr>
        <w:ind w:left="645"/>
        <w:rPr>
          <w:rFonts w:hint="eastAsia" w:ascii="仿宋_GB2312" w:eastAsia="仿宋_GB2312"/>
          <w:color w:val="auto"/>
          <w:sz w:val="32"/>
          <w:szCs w:val="32"/>
        </w:rPr>
      </w:pPr>
    </w:p>
    <w:p>
      <w:pPr>
        <w:ind w:left="645"/>
        <w:rPr>
          <w:rFonts w:hint="eastAsia" w:ascii="仿宋_GB2312" w:eastAsia="仿宋_GB2312"/>
          <w:color w:val="auto"/>
          <w:sz w:val="32"/>
          <w:szCs w:val="32"/>
        </w:rPr>
      </w:pPr>
    </w:p>
    <w:p>
      <w:pPr>
        <w:ind w:left="645"/>
        <w:rPr>
          <w:rFonts w:hint="eastAsia" w:ascii="仿宋_GB2312" w:eastAsia="仿宋_GB2312"/>
          <w:color w:val="auto"/>
          <w:sz w:val="32"/>
          <w:szCs w:val="32"/>
        </w:rPr>
      </w:pPr>
    </w:p>
    <w:p>
      <w:pPr>
        <w:ind w:left="645"/>
        <w:rPr>
          <w:rFonts w:hint="eastAsia" w:ascii="仿宋_GB2312" w:eastAsia="仿宋_GB2312"/>
          <w:color w:val="auto"/>
          <w:sz w:val="32"/>
          <w:szCs w:val="32"/>
        </w:rPr>
      </w:pPr>
    </w:p>
    <w:p>
      <w:pPr>
        <w:ind w:left="645"/>
        <w:rPr>
          <w:rFonts w:hint="eastAsia" w:ascii="仿宋_GB2312" w:eastAsia="仿宋_GB2312"/>
          <w:color w:val="auto"/>
          <w:sz w:val="32"/>
          <w:szCs w:val="32"/>
        </w:rPr>
      </w:pPr>
    </w:p>
    <w:p>
      <w:pPr>
        <w:rPr>
          <w:rFonts w:hint="eastAsia" w:ascii="仿宋_GB2312" w:eastAsia="仿宋_GB2312"/>
          <w:color w:val="auto"/>
          <w:sz w:val="32"/>
          <w:szCs w:val="32"/>
        </w:rPr>
      </w:pPr>
    </w:p>
    <w:p>
      <w:pPr>
        <w:ind w:left="645"/>
        <w:rPr>
          <w:rFonts w:hint="eastAsia" w:ascii="仿宋_GB2312" w:eastAsia="仿宋_GB2312"/>
          <w:color w:val="auto"/>
          <w:sz w:val="32"/>
          <w:szCs w:val="32"/>
        </w:rPr>
      </w:pPr>
    </w:p>
    <w:tbl>
      <w:tblPr>
        <w:tblStyle w:val="4"/>
        <w:tblW w:w="140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0"/>
        <w:gridCol w:w="282"/>
        <w:gridCol w:w="662"/>
        <w:gridCol w:w="4380"/>
        <w:gridCol w:w="1395"/>
        <w:gridCol w:w="1350"/>
        <w:gridCol w:w="1365"/>
        <w:gridCol w:w="1298"/>
        <w:gridCol w:w="1312"/>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082" w:type="dxa"/>
            <w:gridSpan w:val="10"/>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表三：</w:t>
            </w:r>
            <w:r>
              <w:rPr>
                <w:rFonts w:hint="eastAsia" w:ascii="宋体" w:hAnsi="宋体" w:eastAsia="宋体" w:cs="宋体"/>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80" w:type="dxa"/>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282" w:type="dxa"/>
            <w:tcBorders>
              <w:top w:val="nil"/>
              <w:left w:val="nil"/>
              <w:bottom w:val="nil"/>
              <w:right w:val="nil"/>
            </w:tcBorders>
            <w:shd w:val="clear" w:color="auto" w:fill="auto"/>
            <w:noWrap/>
            <w:vAlign w:val="bottom"/>
          </w:tcPr>
          <w:p>
            <w:pPr>
              <w:spacing w:line="360" w:lineRule="auto"/>
              <w:rPr>
                <w:color w:val="auto"/>
                <w:sz w:val="24"/>
                <w:szCs w:val="24"/>
              </w:rPr>
            </w:pPr>
          </w:p>
        </w:tc>
        <w:tc>
          <w:tcPr>
            <w:tcW w:w="662" w:type="dxa"/>
            <w:tcBorders>
              <w:top w:val="nil"/>
              <w:left w:val="nil"/>
              <w:bottom w:val="nil"/>
              <w:right w:val="nil"/>
            </w:tcBorders>
            <w:shd w:val="clear" w:color="auto" w:fill="auto"/>
            <w:noWrap/>
            <w:vAlign w:val="bottom"/>
          </w:tcPr>
          <w:p>
            <w:pPr>
              <w:spacing w:line="360" w:lineRule="auto"/>
              <w:rPr>
                <w:color w:val="auto"/>
                <w:sz w:val="24"/>
                <w:szCs w:val="24"/>
              </w:rPr>
            </w:pPr>
          </w:p>
        </w:tc>
        <w:tc>
          <w:tcPr>
            <w:tcW w:w="4380"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95"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50"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65"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298"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312" w:type="dxa"/>
            <w:tcBorders>
              <w:top w:val="nil"/>
              <w:left w:val="nil"/>
              <w:bottom w:val="nil"/>
              <w:right w:val="nil"/>
            </w:tcBorders>
            <w:shd w:val="clear" w:color="auto" w:fill="auto"/>
            <w:noWrap/>
            <w:vAlign w:val="bottom"/>
          </w:tcPr>
          <w:p>
            <w:pPr>
              <w:spacing w:line="360" w:lineRule="auto"/>
              <w:rPr>
                <w:color w:val="auto"/>
                <w:sz w:val="24"/>
                <w:szCs w:val="24"/>
              </w:rPr>
            </w:pPr>
          </w:p>
        </w:tc>
        <w:tc>
          <w:tcPr>
            <w:tcW w:w="1758"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604" w:type="dxa"/>
            <w:gridSpan w:val="4"/>
            <w:tcBorders>
              <w:top w:val="nil"/>
              <w:left w:val="nil"/>
              <w:bottom w:val="nil"/>
              <w:right w:val="nil"/>
            </w:tcBorders>
            <w:shd w:val="clear" w:color="auto" w:fill="auto"/>
            <w:noWrap/>
            <w:vAlign w:val="bottom"/>
          </w:tcPr>
          <w:p>
            <w:pPr>
              <w:spacing w:line="360" w:lineRule="auto"/>
              <w:rPr>
                <w:color w:val="auto"/>
                <w:sz w:val="24"/>
                <w:szCs w:val="24"/>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1395"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50" w:type="dxa"/>
            <w:tcBorders>
              <w:top w:val="nil"/>
              <w:left w:val="nil"/>
              <w:bottom w:val="nil"/>
              <w:right w:val="nil"/>
            </w:tcBorders>
            <w:shd w:val="clear" w:color="auto" w:fill="auto"/>
            <w:noWrap/>
            <w:vAlign w:val="bottom"/>
          </w:tcPr>
          <w:p>
            <w:pPr>
              <w:spacing w:line="360" w:lineRule="auto"/>
              <w:rPr>
                <w:color w:val="auto"/>
                <w:sz w:val="24"/>
                <w:szCs w:val="24"/>
              </w:rPr>
            </w:pPr>
          </w:p>
        </w:tc>
        <w:tc>
          <w:tcPr>
            <w:tcW w:w="5733" w:type="dxa"/>
            <w:gridSpan w:val="4"/>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6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本年支出合计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基本支出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项目支出</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上缴上级支出</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经营支出</w:t>
            </w:r>
          </w:p>
        </w:tc>
        <w:tc>
          <w:tcPr>
            <w:tcW w:w="17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功能分类科目编码</w:t>
            </w:r>
          </w:p>
        </w:tc>
        <w:tc>
          <w:tcPr>
            <w:tcW w:w="43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科目名称</w:t>
            </w: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sz w:val="24"/>
                <w:szCs w:val="24"/>
              </w:rPr>
            </w:pPr>
          </w:p>
        </w:tc>
        <w:tc>
          <w:tcPr>
            <w:tcW w:w="1350"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sz w:val="24"/>
                <w:szCs w:val="24"/>
              </w:rPr>
            </w:pPr>
          </w:p>
        </w:tc>
        <w:tc>
          <w:tcPr>
            <w:tcW w:w="1365"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4"/>
                <w:szCs w:val="24"/>
                <w:u w:val="none"/>
              </w:rPr>
            </w:pPr>
          </w:p>
        </w:tc>
        <w:tc>
          <w:tcPr>
            <w:tcW w:w="1298"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color w:val="auto"/>
                <w:sz w:val="24"/>
                <w:szCs w:val="24"/>
              </w:rPr>
            </w:pPr>
          </w:p>
        </w:tc>
        <w:tc>
          <w:tcPr>
            <w:tcW w:w="1312" w:type="dxa"/>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color w:val="auto"/>
                <w:sz w:val="24"/>
                <w:szCs w:val="24"/>
              </w:rPr>
            </w:pPr>
          </w:p>
        </w:tc>
        <w:tc>
          <w:tcPr>
            <w:tcW w:w="1758"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604"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1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3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604"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4,019.52</w:t>
            </w:r>
          </w:p>
        </w:tc>
        <w:tc>
          <w:tcPr>
            <w:tcW w:w="13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648.89</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3,370.63</w:t>
            </w: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社会保障和就业支出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3,932.56</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561.93</w:t>
            </w:r>
          </w:p>
        </w:tc>
        <w:tc>
          <w:tcPr>
            <w:tcW w:w="13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3,370.63</w:t>
            </w:r>
          </w:p>
        </w:tc>
        <w:tc>
          <w:tcPr>
            <w:tcW w:w="1298"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行政事业单位养老支出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87.16</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87.16</w:t>
            </w:r>
          </w:p>
        </w:tc>
        <w:tc>
          <w:tcPr>
            <w:tcW w:w="1365"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98"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2080501</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行政单位离退休</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19.14</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19.14</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2080502</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事业单位离退休</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2.41</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2.41</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2080505</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机关事业单位基本养老保险缴费支出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47.86</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47.86</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2080506</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机关事业单位职业年金缴费支出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17.75</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17.75</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残疾人事业</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3,843.36</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472.73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3,370.63</w:t>
            </w: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2081101</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行政运行</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277.66</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277.66</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2081104</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残疾人康复</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1,131.94</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66.44</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1,065.50</w:t>
            </w: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2081105</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残疾人就业和扶贫</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165.41</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165.41</w:t>
            </w: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2081106</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残疾人体育</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291.80</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291.80</w:t>
            </w: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2081199</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其他残疾人事业支出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1,976.56</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128.63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1,847.93</w:t>
            </w: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20899</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其他社会保障和就业支出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2089999</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其他社会保障和就业支出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卫生健康支出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行政事业单位医疗</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2101101</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行政单位医疗</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15.61</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15.61</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2101102</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事业单位医疗</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10.54</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10.54</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2101103</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公务员医疗补助</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10.82</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10.82</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2101199</w:t>
            </w:r>
          </w:p>
        </w:tc>
        <w:tc>
          <w:tcPr>
            <w:tcW w:w="4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其他行政事业单位医疗支出</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0.14</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0.14</w:t>
            </w:r>
          </w:p>
        </w:tc>
        <w:tc>
          <w:tcPr>
            <w:tcW w:w="136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4"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w:t>
            </w:r>
          </w:p>
        </w:tc>
        <w:tc>
          <w:tcPr>
            <w:tcW w:w="438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住房保障支出</w:t>
            </w:r>
          </w:p>
        </w:tc>
        <w:tc>
          <w:tcPr>
            <w:tcW w:w="1395"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35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365" w:type="dxa"/>
            <w:tcBorders>
              <w:top w:val="nil"/>
              <w:left w:val="nil"/>
              <w:bottom w:val="single" w:color="auto"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98" w:type="dxa"/>
            <w:tcBorders>
              <w:top w:val="nil"/>
              <w:left w:val="nil"/>
              <w:bottom w:val="single" w:color="auto" w:sz="4" w:space="0"/>
              <w:right w:val="single" w:color="000000" w:sz="4" w:space="0"/>
            </w:tcBorders>
            <w:shd w:val="clear" w:color="auto" w:fill="auto"/>
            <w:noWrap/>
            <w:vAlign w:val="center"/>
          </w:tcPr>
          <w:p>
            <w:pPr>
              <w:spacing w:line="360" w:lineRule="auto"/>
              <w:jc w:val="right"/>
              <w:rPr>
                <w:color w:val="auto"/>
                <w:sz w:val="24"/>
                <w:szCs w:val="24"/>
              </w:rPr>
            </w:pPr>
          </w:p>
        </w:tc>
        <w:tc>
          <w:tcPr>
            <w:tcW w:w="1312" w:type="dxa"/>
            <w:tcBorders>
              <w:top w:val="nil"/>
              <w:left w:val="nil"/>
              <w:bottom w:val="single" w:color="auto" w:sz="4" w:space="0"/>
              <w:right w:val="single" w:color="000000" w:sz="4" w:space="0"/>
            </w:tcBorders>
            <w:shd w:val="clear" w:color="auto" w:fill="auto"/>
            <w:noWrap/>
            <w:vAlign w:val="center"/>
          </w:tcPr>
          <w:p>
            <w:pPr>
              <w:spacing w:line="360" w:lineRule="auto"/>
              <w:jc w:val="right"/>
              <w:rPr>
                <w:color w:val="auto"/>
                <w:sz w:val="24"/>
                <w:szCs w:val="24"/>
              </w:rPr>
            </w:pPr>
          </w:p>
        </w:tc>
        <w:tc>
          <w:tcPr>
            <w:tcW w:w="1758" w:type="dxa"/>
            <w:tcBorders>
              <w:top w:val="nil"/>
              <w:left w:val="nil"/>
              <w:bottom w:val="single" w:color="auto"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22102</w:t>
            </w:r>
          </w:p>
        </w:tc>
        <w:tc>
          <w:tcPr>
            <w:tcW w:w="4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住房改革支出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r>
    </w:tbl>
    <w:p>
      <w:pPr>
        <w:rPr>
          <w:rFonts w:hint="eastAsia" w:ascii="仿宋_GB2312" w:eastAsia="仿宋_GB2312"/>
          <w:color w:val="auto"/>
          <w:sz w:val="32"/>
          <w:szCs w:val="32"/>
        </w:rPr>
      </w:pPr>
    </w:p>
    <w:p>
      <w:pPr>
        <w:ind w:left="645"/>
        <w:rPr>
          <w:rFonts w:hint="eastAsia" w:ascii="仿宋_GB2312" w:eastAsia="仿宋_GB2312"/>
          <w:color w:val="auto"/>
          <w:sz w:val="32"/>
          <w:szCs w:val="32"/>
          <w:lang w:eastAsia="zh-CN"/>
        </w:rPr>
      </w:pPr>
    </w:p>
    <w:p>
      <w:pPr>
        <w:ind w:left="645"/>
        <w:rPr>
          <w:rFonts w:hint="eastAsia" w:ascii="仿宋_GB2312" w:eastAsia="仿宋_GB2312"/>
          <w:color w:val="auto"/>
          <w:sz w:val="32"/>
          <w:szCs w:val="32"/>
          <w:lang w:eastAsia="zh-CN"/>
        </w:rPr>
      </w:pPr>
    </w:p>
    <w:p>
      <w:pPr>
        <w:ind w:left="645"/>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tbl>
      <w:tblPr>
        <w:tblStyle w:val="4"/>
        <w:tblW w:w="14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7"/>
        <w:gridCol w:w="514"/>
        <w:gridCol w:w="1143"/>
        <w:gridCol w:w="3690"/>
        <w:gridCol w:w="514"/>
        <w:gridCol w:w="1143"/>
        <w:gridCol w:w="1361"/>
        <w:gridCol w:w="141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4252" w:type="dxa"/>
            <w:gridSpan w:val="9"/>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表四：</w:t>
            </w:r>
            <w:r>
              <w:rPr>
                <w:rFonts w:hint="eastAsia" w:ascii="宋体" w:hAnsi="宋体" w:eastAsia="宋体" w:cs="宋体"/>
                <w:i w:val="0"/>
                <w:iCs w:val="0"/>
                <w:color w:val="auto"/>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227" w:type="dxa"/>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514" w:type="dxa"/>
            <w:tcBorders>
              <w:top w:val="nil"/>
              <w:left w:val="nil"/>
              <w:bottom w:val="nil"/>
              <w:right w:val="nil"/>
            </w:tcBorders>
            <w:shd w:val="clear" w:color="auto" w:fill="auto"/>
            <w:noWrap/>
            <w:vAlign w:val="bottom"/>
          </w:tcPr>
          <w:p>
            <w:pPr>
              <w:spacing w:line="360" w:lineRule="auto"/>
              <w:rPr>
                <w:color w:val="auto"/>
                <w:sz w:val="24"/>
                <w:szCs w:val="24"/>
              </w:rPr>
            </w:pPr>
          </w:p>
        </w:tc>
        <w:tc>
          <w:tcPr>
            <w:tcW w:w="1143" w:type="dxa"/>
            <w:tcBorders>
              <w:top w:val="nil"/>
              <w:left w:val="nil"/>
              <w:bottom w:val="nil"/>
              <w:right w:val="nil"/>
            </w:tcBorders>
            <w:shd w:val="clear" w:color="auto" w:fill="auto"/>
            <w:noWrap/>
            <w:vAlign w:val="bottom"/>
          </w:tcPr>
          <w:p>
            <w:pPr>
              <w:spacing w:line="360" w:lineRule="auto"/>
              <w:rPr>
                <w:color w:val="auto"/>
                <w:sz w:val="24"/>
                <w:szCs w:val="24"/>
              </w:rPr>
            </w:pPr>
          </w:p>
        </w:tc>
        <w:tc>
          <w:tcPr>
            <w:tcW w:w="3690" w:type="dxa"/>
            <w:tcBorders>
              <w:top w:val="nil"/>
              <w:left w:val="nil"/>
              <w:bottom w:val="nil"/>
              <w:right w:val="nil"/>
            </w:tcBorders>
            <w:shd w:val="clear" w:color="auto" w:fill="auto"/>
            <w:noWrap/>
            <w:vAlign w:val="bottom"/>
          </w:tcPr>
          <w:p>
            <w:pPr>
              <w:spacing w:line="360" w:lineRule="auto"/>
              <w:rPr>
                <w:color w:val="auto"/>
                <w:sz w:val="24"/>
                <w:szCs w:val="24"/>
              </w:rPr>
            </w:pPr>
          </w:p>
        </w:tc>
        <w:tc>
          <w:tcPr>
            <w:tcW w:w="514"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143" w:type="dxa"/>
            <w:tcBorders>
              <w:top w:val="nil"/>
              <w:left w:val="nil"/>
              <w:bottom w:val="nil"/>
              <w:right w:val="nil"/>
            </w:tcBorders>
            <w:shd w:val="clear" w:color="auto" w:fill="auto"/>
            <w:noWrap/>
            <w:vAlign w:val="bottom"/>
          </w:tcPr>
          <w:p>
            <w:pPr>
              <w:spacing w:line="360" w:lineRule="auto"/>
              <w:rPr>
                <w:color w:val="auto"/>
                <w:sz w:val="24"/>
                <w:szCs w:val="24"/>
              </w:rPr>
            </w:pPr>
          </w:p>
        </w:tc>
        <w:tc>
          <w:tcPr>
            <w:tcW w:w="1361" w:type="dxa"/>
            <w:tcBorders>
              <w:top w:val="nil"/>
              <w:left w:val="nil"/>
              <w:bottom w:val="nil"/>
              <w:right w:val="nil"/>
            </w:tcBorders>
            <w:shd w:val="clear" w:color="auto" w:fill="auto"/>
            <w:noWrap/>
            <w:vAlign w:val="bottom"/>
          </w:tcPr>
          <w:p>
            <w:pPr>
              <w:spacing w:line="360" w:lineRule="auto"/>
              <w:rPr>
                <w:color w:val="auto"/>
                <w:sz w:val="24"/>
                <w:szCs w:val="24"/>
              </w:rPr>
            </w:pPr>
          </w:p>
        </w:tc>
        <w:tc>
          <w:tcPr>
            <w:tcW w:w="1416" w:type="dxa"/>
            <w:tcBorders>
              <w:top w:val="nil"/>
              <w:left w:val="nil"/>
              <w:bottom w:val="nil"/>
              <w:right w:val="nil"/>
            </w:tcBorders>
            <w:shd w:val="clear" w:color="auto" w:fill="auto"/>
            <w:noWrap/>
            <w:vAlign w:val="bottom"/>
          </w:tcPr>
          <w:p>
            <w:pPr>
              <w:spacing w:line="360" w:lineRule="auto"/>
              <w:rPr>
                <w:color w:val="auto"/>
                <w:sz w:val="24"/>
                <w:szCs w:val="24"/>
              </w:rPr>
            </w:pPr>
          </w:p>
        </w:tc>
        <w:tc>
          <w:tcPr>
            <w:tcW w:w="1244"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227"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514" w:type="dxa"/>
            <w:tcBorders>
              <w:top w:val="nil"/>
              <w:left w:val="nil"/>
              <w:bottom w:val="nil"/>
              <w:right w:val="nil"/>
            </w:tcBorders>
            <w:shd w:val="clear" w:color="auto" w:fill="auto"/>
            <w:noWrap/>
            <w:vAlign w:val="bottom"/>
          </w:tcPr>
          <w:p>
            <w:pPr>
              <w:spacing w:line="360" w:lineRule="auto"/>
              <w:rPr>
                <w:color w:val="auto"/>
                <w:sz w:val="24"/>
                <w:szCs w:val="24"/>
              </w:rPr>
            </w:pPr>
          </w:p>
        </w:tc>
        <w:tc>
          <w:tcPr>
            <w:tcW w:w="1143" w:type="dxa"/>
            <w:tcBorders>
              <w:top w:val="nil"/>
              <w:left w:val="nil"/>
              <w:bottom w:val="nil"/>
              <w:right w:val="nil"/>
            </w:tcBorders>
            <w:shd w:val="clear" w:color="auto" w:fill="auto"/>
            <w:noWrap/>
            <w:vAlign w:val="bottom"/>
          </w:tcPr>
          <w:p>
            <w:pPr>
              <w:spacing w:line="360" w:lineRule="auto"/>
              <w:rPr>
                <w:color w:val="auto"/>
                <w:sz w:val="24"/>
                <w:szCs w:val="24"/>
              </w:rPr>
            </w:pPr>
          </w:p>
        </w:tc>
        <w:tc>
          <w:tcPr>
            <w:tcW w:w="3690" w:type="dxa"/>
            <w:tcBorders>
              <w:top w:val="nil"/>
              <w:left w:val="nil"/>
              <w:bottom w:val="nil"/>
              <w:right w:val="nil"/>
            </w:tcBorders>
            <w:shd w:val="clear" w:color="auto" w:fill="auto"/>
            <w:noWrap/>
            <w:vAlign w:val="bottom"/>
          </w:tcPr>
          <w:p>
            <w:pPr>
              <w:spacing w:line="360" w:lineRule="auto"/>
              <w:rPr>
                <w:color w:val="auto"/>
                <w:sz w:val="24"/>
                <w:szCs w:val="24"/>
              </w:rPr>
            </w:pPr>
          </w:p>
        </w:tc>
        <w:tc>
          <w:tcPr>
            <w:tcW w:w="514"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5164" w:type="dxa"/>
            <w:gridSpan w:val="4"/>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4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     入</w:t>
            </w:r>
          </w:p>
        </w:tc>
        <w:tc>
          <w:tcPr>
            <w:tcW w:w="93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32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5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行次</w:t>
            </w:r>
          </w:p>
        </w:tc>
        <w:tc>
          <w:tcPr>
            <w:tcW w:w="11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金额</w:t>
            </w:r>
          </w:p>
        </w:tc>
        <w:tc>
          <w:tcPr>
            <w:tcW w:w="3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项目</w:t>
            </w:r>
          </w:p>
        </w:tc>
        <w:tc>
          <w:tcPr>
            <w:tcW w:w="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行次</w:t>
            </w:r>
          </w:p>
        </w:tc>
        <w:tc>
          <w:tcPr>
            <w:tcW w:w="11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合计</w:t>
            </w:r>
          </w:p>
        </w:tc>
        <w:tc>
          <w:tcPr>
            <w:tcW w:w="13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一般公共预算财政拨款</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政府性基金预算财政拨款</w:t>
            </w:r>
          </w:p>
        </w:tc>
        <w:tc>
          <w:tcPr>
            <w:tcW w:w="12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32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514" w:type="dxa"/>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sz w:val="24"/>
                <w:szCs w:val="24"/>
              </w:rPr>
            </w:pPr>
          </w:p>
        </w:tc>
        <w:tc>
          <w:tcPr>
            <w:tcW w:w="11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3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栏次</w:t>
            </w:r>
          </w:p>
        </w:tc>
        <w:tc>
          <w:tcPr>
            <w:tcW w:w="514" w:type="dxa"/>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11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3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2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一、一般公共预算财政拨款</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3,539.33</w:t>
            </w: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一、一般公共服务支出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二、政府性基金预算财政拨款</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二、外交支出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三、国有资本经营财政拨款</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三、国防支出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四、公共安全支出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五、教育支出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六、科学技术支出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七、文化旅游体育与传媒支出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八、社会保障和就业支出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3,654.61</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3,654.61</w:t>
            </w: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九、卫生健康支出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十、节能环保支出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11</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十一、城乡社区支出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12</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十二、农林水支出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13</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十三、交通运输支出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14</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十四、资源勘探工业信息等支出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十五、商业服务业等支出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16</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十六、金融支出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十七、援助其他地区支出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18</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十八、自然资源海洋气象等支出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十九、住房保障支出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二十、粮油物资储备支出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21</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二十一、国有资本经营预算支出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22</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二十二、灾害防治及应急管理支出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23</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二十三、其他支出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二十四、债务还本支出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b/>
                <w:bCs/>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25</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二十五、债务付息支出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26</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二十六、抗疫特别国债安排的支出</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本年收入合计</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3,539.33</w:t>
            </w: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本年支出合计</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3,741.57</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3,741.57</w:t>
            </w: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年初财政拨款结转和结余</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28</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443.11</w:t>
            </w: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年末财政拨款结转和结余</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240.87</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240.87</w:t>
            </w: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一般公共预算财政拨款</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29</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443.11</w:t>
            </w: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color w:val="auto"/>
                <w:sz w:val="24"/>
                <w:szCs w:val="24"/>
              </w:rPr>
            </w:pP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政府性基金预算财政拨款</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color w:val="auto"/>
                <w:sz w:val="24"/>
                <w:szCs w:val="24"/>
              </w:rPr>
            </w:pP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国有资本经营预算财政拨款</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31</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color w:val="auto"/>
                <w:sz w:val="24"/>
                <w:szCs w:val="24"/>
              </w:rPr>
            </w:pP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1143"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361"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2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总计</w:t>
            </w:r>
          </w:p>
        </w:tc>
        <w:tc>
          <w:tcPr>
            <w:tcW w:w="5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32</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3,982.44</w:t>
            </w:r>
          </w:p>
        </w:tc>
        <w:tc>
          <w:tcPr>
            <w:tcW w:w="3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总计</w:t>
            </w:r>
          </w:p>
        </w:tc>
        <w:tc>
          <w:tcPr>
            <w:tcW w:w="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11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3,982.44</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3,982.44</w:t>
            </w:r>
          </w:p>
        </w:tc>
        <w:tc>
          <w:tcPr>
            <w:tcW w:w="1416"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44"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252" w:type="dxa"/>
            <w:gridSpan w:val="9"/>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252" w:type="dxa"/>
            <w:gridSpan w:val="9"/>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p>
        </w:tc>
      </w:tr>
    </w:tbl>
    <w:p>
      <w:pPr>
        <w:bidi w:val="0"/>
        <w:rPr>
          <w:rFonts w:hint="eastAsia" w:ascii="仿宋_GB2312" w:eastAsia="仿宋_GB2312"/>
          <w:color w:val="auto"/>
          <w:sz w:val="32"/>
          <w:szCs w:val="32"/>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6"/>
        <w:gridCol w:w="222"/>
        <w:gridCol w:w="240"/>
        <w:gridCol w:w="4278"/>
        <w:gridCol w:w="1184"/>
        <w:gridCol w:w="1176"/>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2092" w:type="dxa"/>
            <w:gridSpan w:val="7"/>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表五：</w:t>
            </w:r>
            <w:r>
              <w:rPr>
                <w:rFonts w:hint="eastAsia" w:ascii="宋体" w:hAnsi="宋体" w:eastAsia="宋体" w:cs="宋体"/>
                <w:i w:val="0"/>
                <w:iCs w:val="0"/>
                <w:color w:val="auto"/>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096" w:type="dxa"/>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222" w:type="dxa"/>
            <w:tcBorders>
              <w:top w:val="nil"/>
              <w:left w:val="nil"/>
              <w:bottom w:val="nil"/>
              <w:right w:val="nil"/>
            </w:tcBorders>
            <w:shd w:val="clear" w:color="auto" w:fill="auto"/>
            <w:noWrap/>
            <w:vAlign w:val="bottom"/>
          </w:tcPr>
          <w:p>
            <w:pPr>
              <w:spacing w:line="360" w:lineRule="auto"/>
              <w:rPr>
                <w:color w:val="auto"/>
                <w:sz w:val="24"/>
                <w:szCs w:val="24"/>
              </w:rPr>
            </w:pPr>
          </w:p>
        </w:tc>
        <w:tc>
          <w:tcPr>
            <w:tcW w:w="240" w:type="dxa"/>
            <w:tcBorders>
              <w:top w:val="nil"/>
              <w:left w:val="nil"/>
              <w:bottom w:val="nil"/>
              <w:right w:val="nil"/>
            </w:tcBorders>
            <w:shd w:val="clear" w:color="auto" w:fill="auto"/>
            <w:noWrap/>
            <w:vAlign w:val="bottom"/>
          </w:tcPr>
          <w:p>
            <w:pPr>
              <w:spacing w:line="360" w:lineRule="auto"/>
              <w:rPr>
                <w:color w:val="auto"/>
                <w:sz w:val="24"/>
                <w:szCs w:val="24"/>
              </w:rPr>
            </w:pPr>
          </w:p>
        </w:tc>
        <w:tc>
          <w:tcPr>
            <w:tcW w:w="4278" w:type="dxa"/>
            <w:tcBorders>
              <w:top w:val="nil"/>
              <w:left w:val="nil"/>
              <w:bottom w:val="nil"/>
              <w:right w:val="nil"/>
            </w:tcBorders>
            <w:shd w:val="clear" w:color="auto" w:fill="auto"/>
            <w:noWrap/>
            <w:vAlign w:val="bottom"/>
          </w:tcPr>
          <w:p>
            <w:pPr>
              <w:spacing w:line="360" w:lineRule="auto"/>
              <w:rPr>
                <w:color w:val="auto"/>
                <w:sz w:val="24"/>
                <w:szCs w:val="24"/>
              </w:rPr>
            </w:pPr>
          </w:p>
        </w:tc>
        <w:tc>
          <w:tcPr>
            <w:tcW w:w="1184" w:type="dxa"/>
            <w:tcBorders>
              <w:top w:val="nil"/>
              <w:left w:val="nil"/>
              <w:bottom w:val="nil"/>
              <w:right w:val="nil"/>
            </w:tcBorders>
            <w:shd w:val="clear" w:color="auto" w:fill="auto"/>
            <w:noWrap/>
            <w:vAlign w:val="bottom"/>
          </w:tcPr>
          <w:p>
            <w:pPr>
              <w:spacing w:line="360" w:lineRule="auto"/>
              <w:rPr>
                <w:color w:val="auto"/>
                <w:sz w:val="24"/>
                <w:szCs w:val="24"/>
              </w:rPr>
            </w:pPr>
          </w:p>
        </w:tc>
        <w:tc>
          <w:tcPr>
            <w:tcW w:w="1176"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896"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096"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222" w:type="dxa"/>
            <w:tcBorders>
              <w:top w:val="nil"/>
              <w:left w:val="nil"/>
              <w:bottom w:val="nil"/>
              <w:right w:val="nil"/>
            </w:tcBorders>
            <w:shd w:val="clear" w:color="auto" w:fill="auto"/>
            <w:noWrap/>
            <w:vAlign w:val="bottom"/>
          </w:tcPr>
          <w:p>
            <w:pPr>
              <w:spacing w:line="360" w:lineRule="auto"/>
              <w:rPr>
                <w:color w:val="auto"/>
                <w:sz w:val="24"/>
                <w:szCs w:val="24"/>
              </w:rPr>
            </w:pPr>
          </w:p>
        </w:tc>
        <w:tc>
          <w:tcPr>
            <w:tcW w:w="240" w:type="dxa"/>
            <w:tcBorders>
              <w:top w:val="nil"/>
              <w:left w:val="nil"/>
              <w:bottom w:val="nil"/>
              <w:right w:val="nil"/>
            </w:tcBorders>
            <w:shd w:val="clear" w:color="auto" w:fill="auto"/>
            <w:noWrap/>
            <w:vAlign w:val="bottom"/>
          </w:tcPr>
          <w:p>
            <w:pPr>
              <w:spacing w:line="360" w:lineRule="auto"/>
              <w:rPr>
                <w:color w:val="auto"/>
                <w:sz w:val="24"/>
                <w:szCs w:val="24"/>
              </w:rPr>
            </w:pPr>
          </w:p>
        </w:tc>
        <w:tc>
          <w:tcPr>
            <w:tcW w:w="4278" w:type="dxa"/>
            <w:tcBorders>
              <w:top w:val="nil"/>
              <w:left w:val="nil"/>
              <w:bottom w:val="nil"/>
              <w:right w:val="nil"/>
            </w:tcBorders>
            <w:shd w:val="clear" w:color="auto" w:fill="auto"/>
            <w:noWrap/>
            <w:vAlign w:val="bottom"/>
          </w:tcPr>
          <w:p>
            <w:pPr>
              <w:spacing w:line="360" w:lineRule="auto"/>
              <w:rPr>
                <w:color w:val="auto"/>
                <w:sz w:val="24"/>
                <w:szCs w:val="24"/>
              </w:rPr>
            </w:pPr>
          </w:p>
        </w:tc>
        <w:tc>
          <w:tcPr>
            <w:tcW w:w="1184" w:type="dxa"/>
            <w:tcBorders>
              <w:top w:val="nil"/>
              <w:left w:val="nil"/>
              <w:bottom w:val="nil"/>
              <w:right w:val="nil"/>
            </w:tcBorders>
            <w:shd w:val="clear" w:color="auto" w:fill="auto"/>
            <w:noWrap/>
            <w:vAlign w:val="bottom"/>
          </w:tcPr>
          <w:p>
            <w:pPr>
              <w:spacing w:line="360" w:lineRule="auto"/>
              <w:rPr>
                <w:color w:val="auto"/>
                <w:sz w:val="24"/>
                <w:szCs w:val="24"/>
              </w:rPr>
            </w:pPr>
          </w:p>
        </w:tc>
        <w:tc>
          <w:tcPr>
            <w:tcW w:w="1176"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1896" w:type="dxa"/>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78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4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功能分类科目编码</w:t>
            </w:r>
          </w:p>
        </w:tc>
        <w:tc>
          <w:tcPr>
            <w:tcW w:w="427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科目名称</w:t>
            </w:r>
          </w:p>
        </w:tc>
        <w:tc>
          <w:tcPr>
            <w:tcW w:w="11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小计</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基本支出</w:t>
            </w:r>
          </w:p>
        </w:tc>
        <w:tc>
          <w:tcPr>
            <w:tcW w:w="18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783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11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783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1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3,741.57</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648.89</w:t>
            </w:r>
          </w:p>
        </w:tc>
        <w:tc>
          <w:tcPr>
            <w:tcW w:w="18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3,092.68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社会保障和就业支出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3,654.61</w:t>
            </w:r>
          </w:p>
        </w:tc>
        <w:tc>
          <w:tcPr>
            <w:tcW w:w="117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561.93</w:t>
            </w:r>
          </w:p>
        </w:tc>
        <w:tc>
          <w:tcPr>
            <w:tcW w:w="18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3,092.68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行政事业单位养老支出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87.16</w:t>
            </w:r>
          </w:p>
        </w:tc>
        <w:tc>
          <w:tcPr>
            <w:tcW w:w="117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87.16</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2080501</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行政单位离退休</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19.14</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19.14</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2080502</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事业单位离退休</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2.41</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2080505</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机关事业单位基本养老保险缴费支出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47.86</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47.86</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2080506</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机关事业单位职业年金缴费支出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17.75</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17.75</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残疾人事业</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3,565.41</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472.73</w:t>
            </w:r>
          </w:p>
        </w:tc>
        <w:tc>
          <w:tcPr>
            <w:tcW w:w="18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3,092.68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2081101</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行政运行</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277.66</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277.66</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2081104</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残疾人康复</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883.55</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66.44</w:t>
            </w:r>
          </w:p>
        </w:tc>
        <w:tc>
          <w:tcPr>
            <w:tcW w:w="18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2081105</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残疾人就业和扶贫</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165.41</w:t>
            </w:r>
          </w:p>
        </w:tc>
        <w:tc>
          <w:tcPr>
            <w:tcW w:w="117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8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2081106</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残疾人体育</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291.80</w:t>
            </w:r>
          </w:p>
        </w:tc>
        <w:tc>
          <w:tcPr>
            <w:tcW w:w="117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8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2081199</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其他残疾人事业支出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1,946.99</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128.63</w:t>
            </w:r>
          </w:p>
        </w:tc>
        <w:tc>
          <w:tcPr>
            <w:tcW w:w="18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1,818.36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20899</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其他社会保障和就业支出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2.04</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2089999</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其他社会保障和就业支出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2.04</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2.04</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卫生健康支出</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37.12</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行政事业单位医疗</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37.12</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37.12</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2101101</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行政单位医疗</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15.61</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15.61</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2101102</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事业单位医疗</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10.54</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10.54</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2101103</w:t>
            </w:r>
          </w:p>
        </w:tc>
        <w:tc>
          <w:tcPr>
            <w:tcW w:w="42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公务员医疗补助</w:t>
            </w: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10.82</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10.82</w:t>
            </w:r>
          </w:p>
        </w:tc>
        <w:tc>
          <w:tcPr>
            <w:tcW w:w="18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355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2101199</w:t>
            </w:r>
          </w:p>
        </w:tc>
        <w:tc>
          <w:tcPr>
            <w:tcW w:w="4278"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其他行政事业单位医疗支出</w:t>
            </w:r>
          </w:p>
        </w:tc>
        <w:tc>
          <w:tcPr>
            <w:tcW w:w="1184"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0.14</w:t>
            </w:r>
          </w:p>
        </w:tc>
        <w:tc>
          <w:tcPr>
            <w:tcW w:w="117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0.14</w:t>
            </w:r>
          </w:p>
        </w:tc>
        <w:tc>
          <w:tcPr>
            <w:tcW w:w="1896" w:type="dxa"/>
            <w:tcBorders>
              <w:top w:val="nil"/>
              <w:left w:val="nil"/>
              <w:bottom w:val="single" w:color="auto"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558"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w:t>
            </w:r>
          </w:p>
        </w:tc>
        <w:tc>
          <w:tcPr>
            <w:tcW w:w="427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住房保障支出</w:t>
            </w:r>
          </w:p>
        </w:tc>
        <w:tc>
          <w:tcPr>
            <w:tcW w:w="1184"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49.83</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5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22102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住房改革支出</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49.83</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right"/>
              <w:rPr>
                <w:color w:val="auto"/>
                <w:sz w:val="24"/>
                <w:szCs w:val="24"/>
              </w:rPr>
            </w:pPr>
          </w:p>
        </w:tc>
      </w:tr>
    </w:tbl>
    <w:p>
      <w:pPr>
        <w:rPr>
          <w:rFonts w:hint="eastAsia" w:ascii="仿宋_GB2312" w:eastAsia="仿宋_GB2312"/>
          <w:color w:val="auto"/>
          <w:sz w:val="32"/>
          <w:szCs w:val="32"/>
        </w:rPr>
        <w:sectPr>
          <w:type w:val="continuous"/>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eastAsia="仿宋_GB2312"/>
          <w:color w:val="auto"/>
          <w:sz w:val="32"/>
          <w:szCs w:val="32"/>
        </w:rPr>
      </w:pPr>
    </w:p>
    <w:tbl>
      <w:tblPr>
        <w:tblStyle w:val="4"/>
        <w:tblW w:w="140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2550"/>
        <w:gridCol w:w="1335"/>
        <w:gridCol w:w="1215"/>
        <w:gridCol w:w="1935"/>
        <w:gridCol w:w="1290"/>
        <w:gridCol w:w="1260"/>
        <w:gridCol w:w="249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083" w:type="dxa"/>
            <w:gridSpan w:val="9"/>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表六：</w:t>
            </w:r>
            <w:r>
              <w:rPr>
                <w:rFonts w:hint="eastAsia" w:ascii="宋体" w:hAnsi="宋体" w:eastAsia="宋体" w:cs="宋体"/>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4083" w:type="dxa"/>
            <w:gridSpan w:val="9"/>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854" w:type="dxa"/>
            <w:gridSpan w:val="3"/>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1215" w:type="dxa"/>
            <w:tcBorders>
              <w:top w:val="nil"/>
              <w:left w:val="nil"/>
              <w:bottom w:val="nil"/>
              <w:right w:val="nil"/>
            </w:tcBorders>
            <w:shd w:val="clear" w:color="auto" w:fill="auto"/>
            <w:noWrap/>
            <w:vAlign w:val="bottom"/>
          </w:tcPr>
          <w:p>
            <w:pPr>
              <w:spacing w:line="360" w:lineRule="auto"/>
              <w:rPr>
                <w:color w:val="auto"/>
                <w:sz w:val="24"/>
                <w:szCs w:val="24"/>
              </w:rPr>
            </w:pPr>
          </w:p>
        </w:tc>
        <w:tc>
          <w:tcPr>
            <w:tcW w:w="1935" w:type="dxa"/>
            <w:tcBorders>
              <w:top w:val="nil"/>
              <w:left w:val="nil"/>
              <w:bottom w:val="nil"/>
              <w:right w:val="nil"/>
            </w:tcBorders>
            <w:shd w:val="clear" w:color="auto" w:fill="auto"/>
            <w:noWrap/>
            <w:vAlign w:val="bottom"/>
          </w:tcPr>
          <w:p>
            <w:pPr>
              <w:spacing w:line="360" w:lineRule="auto"/>
              <w:rPr>
                <w:color w:val="auto"/>
                <w:sz w:val="24"/>
                <w:szCs w:val="24"/>
              </w:rPr>
            </w:pPr>
          </w:p>
        </w:tc>
        <w:tc>
          <w:tcPr>
            <w:tcW w:w="6079" w:type="dxa"/>
            <w:gridSpan w:val="4"/>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4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人员经费</w:t>
            </w:r>
          </w:p>
        </w:tc>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科目编码</w:t>
            </w:r>
          </w:p>
        </w:tc>
        <w:tc>
          <w:tcPr>
            <w:tcW w:w="25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科目名称</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决算数</w:t>
            </w:r>
          </w:p>
        </w:tc>
        <w:tc>
          <w:tcPr>
            <w:tcW w:w="1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科目编码</w:t>
            </w:r>
          </w:p>
        </w:tc>
        <w:tc>
          <w:tcPr>
            <w:tcW w:w="19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科目名称</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决算数</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科目编码</w:t>
            </w:r>
          </w:p>
        </w:tc>
        <w:tc>
          <w:tcPr>
            <w:tcW w:w="2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科目名称</w:t>
            </w:r>
          </w:p>
        </w:tc>
        <w:tc>
          <w:tcPr>
            <w:tcW w:w="10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w:t>
            </w:r>
          </w:p>
        </w:tc>
        <w:tc>
          <w:tcPr>
            <w:tcW w:w="25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工资福利支出</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574.73</w:t>
            </w:r>
          </w:p>
        </w:tc>
        <w:tc>
          <w:tcPr>
            <w:tcW w:w="1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w:t>
            </w:r>
          </w:p>
        </w:tc>
        <w:tc>
          <w:tcPr>
            <w:tcW w:w="19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商品和服务支出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50.95</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307</w:t>
            </w:r>
          </w:p>
        </w:tc>
        <w:tc>
          <w:tcPr>
            <w:tcW w:w="2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债务利息及费用支出</w:t>
            </w:r>
          </w:p>
        </w:tc>
        <w:tc>
          <w:tcPr>
            <w:tcW w:w="1039" w:type="dxa"/>
            <w:tcBorders>
              <w:top w:val="nil"/>
              <w:left w:val="nil"/>
              <w:bottom w:val="single" w:color="000000" w:sz="4" w:space="0"/>
              <w:right w:val="single" w:color="000000" w:sz="4" w:space="0"/>
            </w:tcBorders>
            <w:shd w:val="clear" w:color="auto" w:fill="auto"/>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30101</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基本工资</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123.67</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30201</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办公费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5.34</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30701</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国内债务付息</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30102</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津贴补贴</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87.97</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30202</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印刷费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30702</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国外债务付息</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30103</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奖金</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74.90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30203</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咨询费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资本性支出</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30106</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伙食补助费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30204</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手续费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0.15</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31001</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房屋建筑物购建</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30107</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绩效工资</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114.72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30205</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水费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0.56</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31002</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办公设备购置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30108</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机关事业单位基本养老保险缴费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47.86</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30206</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电费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3.22</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31003</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专用设备购置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30109</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职业年金缴费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17.75</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30207</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邮电费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0.59</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31005</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基础设施建设</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30110</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职工基本医疗保险缴费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24.62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30208</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取暖费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31006</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大型修缮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30111</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公务员医疗补助缴费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12.47</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30209</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物业管理费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31007</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信息网络及软件购置更新</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30112</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其他社会保障缴费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7.48</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30211</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差旅费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6.52</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31008</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物资储备</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30113</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住房公积金</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49.83</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30212</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因公出国（境）费用</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31009</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土地补偿</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30114</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医疗费</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30213</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维修（护）费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1.32</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31010</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安置补助</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30199</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其他工资福利支出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30214</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租赁费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31011</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地上附着物和青苗补偿</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对个人和家庭的补助</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23.21</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30215</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会议费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0.01</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31012</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拆迁补偿</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30301</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离休费</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30216</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培训费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9.46</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31013</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公务用车购置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30302</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退休费</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21.15</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30217</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公务接待费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1.06</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31019</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其他交通工具购置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30303</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退职（役）费</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30218</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专用材料费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0.07</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31021</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文物和陈列品购置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30304</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抚恤金</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30224</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被装购置费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31022</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无形资产购置</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30305</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生活补助</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2.04</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30225</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专用燃料费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31099</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其他资本性支出</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30306</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救济费</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30226</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劳务费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5.75</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399</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其他支出</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30307</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医疗费补助</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30227</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委托业务费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1.82</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39906</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赠与</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30308</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助学金</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30228</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工会经费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7.60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39907</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国家赔偿费用支出</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30309</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奖励金</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30229</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福利费</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0.93</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39908</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对民间非营利组织和群众性自治组织补贴</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30310</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个人农业生产补贴</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30231</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公务用车运行维护费</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39999</w:t>
            </w:r>
          </w:p>
        </w:tc>
        <w:tc>
          <w:tcPr>
            <w:tcW w:w="2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其他支出</w:t>
            </w: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30311</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代缴社会保险费</w:t>
            </w: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30239</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其他交通费用</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0.49</w:t>
            </w:r>
          </w:p>
        </w:tc>
        <w:tc>
          <w:tcPr>
            <w:tcW w:w="1260" w:type="dxa"/>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2490" w:type="dxa"/>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30399</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其他对个人和家庭的补助</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30240</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税金及附加费用</w:t>
            </w:r>
          </w:p>
        </w:tc>
        <w:tc>
          <w:tcPr>
            <w:tcW w:w="1290" w:type="dxa"/>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260" w:type="dxa"/>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2490" w:type="dxa"/>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69"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color w:val="auto"/>
                <w:sz w:val="24"/>
                <w:szCs w:val="24"/>
              </w:rPr>
            </w:pPr>
          </w:p>
        </w:tc>
        <w:tc>
          <w:tcPr>
            <w:tcW w:w="1335"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30299</w:t>
            </w:r>
          </w:p>
        </w:tc>
        <w:tc>
          <w:tcPr>
            <w:tcW w:w="19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其他商品和服务支出</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6.06</w:t>
            </w:r>
          </w:p>
        </w:tc>
        <w:tc>
          <w:tcPr>
            <w:tcW w:w="1260" w:type="dxa"/>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2490" w:type="dxa"/>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1039"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人员经费合计</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597.93</w:t>
            </w:r>
          </w:p>
        </w:tc>
        <w:tc>
          <w:tcPr>
            <w:tcW w:w="81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公用经费合计</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3" w:type="dxa"/>
            <w:gridSpan w:val="9"/>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3" w:type="dxa"/>
            <w:gridSpan w:val="9"/>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p>
        </w:tc>
      </w:tr>
    </w:tbl>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532"/>
        <w:gridCol w:w="599"/>
        <w:gridCol w:w="1111"/>
        <w:gridCol w:w="1111"/>
        <w:gridCol w:w="1066"/>
        <w:gridCol w:w="759"/>
        <w:gridCol w:w="1532"/>
        <w:gridCol w:w="599"/>
        <w:gridCol w:w="1111"/>
        <w:gridCol w:w="1111"/>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gridSpan w:val="12"/>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表七：</w:t>
            </w:r>
            <w:r>
              <w:rPr>
                <w:rFonts w:hint="eastAsia" w:ascii="宋体" w:hAnsi="宋体" w:eastAsia="宋体" w:cs="宋体"/>
                <w:i w:val="0"/>
                <w:iCs w:val="0"/>
                <w:color w:val="auto"/>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shd w:val="clear" w:color="auto" w:fill="auto"/>
            <w:noWrap/>
            <w:vAlign w:val="bottom"/>
          </w:tcPr>
          <w:p>
            <w:pPr>
              <w:spacing w:line="360" w:lineRule="auto"/>
              <w:rPr>
                <w:color w:val="auto"/>
                <w:sz w:val="24"/>
                <w:szCs w:val="24"/>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color w:val="auto"/>
                <w:sz w:val="24"/>
                <w:szCs w:val="24"/>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0" w:type="auto"/>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0" w:type="auto"/>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因公出国（境）费</w:t>
            </w:r>
          </w:p>
        </w:tc>
        <w:tc>
          <w:tcPr>
            <w:tcW w:w="0" w:type="auto"/>
            <w:gridSpan w:val="3"/>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公务用车购置及运行费</w:t>
            </w:r>
          </w:p>
        </w:tc>
        <w:tc>
          <w:tcPr>
            <w:tcW w:w="0" w:type="auto"/>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公务接待费</w:t>
            </w:r>
          </w:p>
        </w:tc>
        <w:tc>
          <w:tcPr>
            <w:tcW w:w="0" w:type="auto"/>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公务用车购置及运行费</w:t>
            </w:r>
          </w:p>
        </w:tc>
        <w:tc>
          <w:tcPr>
            <w:tcW w:w="0" w:type="auto"/>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0" w:type="auto"/>
            <w:vMerge w:val="continue"/>
            <w:tcBorders>
              <w:top w:val="nil"/>
              <w:left w:val="single" w:color="000000" w:sz="4" w:space="0"/>
              <w:bottom w:val="single" w:color="000000" w:sz="4" w:space="0"/>
              <w:right w:val="single" w:color="000000" w:sz="4" w:space="0"/>
            </w:tcBorders>
            <w:shd w:val="clear" w:color="FFFFFF"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single" w:color="000000" w:sz="4" w:space="0"/>
              <w:bottom w:val="single" w:color="000000" w:sz="4" w:space="0"/>
              <w:right w:val="single" w:color="000000" w:sz="4" w:space="0"/>
            </w:tcBorders>
            <w:shd w:val="clear" w:color="FFFFFF" w:fill="auto"/>
            <w:vAlign w:val="center"/>
          </w:tcPr>
          <w:p>
            <w:pPr>
              <w:spacing w:line="360" w:lineRule="auto"/>
              <w:jc w:val="center"/>
              <w:rPr>
                <w:color w:val="auto"/>
                <w:sz w:val="24"/>
                <w:szCs w:val="24"/>
              </w:rPr>
            </w:pP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小计</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公务用车购置费</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公务用车运行费</w:t>
            </w:r>
          </w:p>
        </w:tc>
        <w:tc>
          <w:tcPr>
            <w:tcW w:w="0" w:type="auto"/>
            <w:vMerge w:val="continue"/>
            <w:tcBorders>
              <w:top w:val="nil"/>
              <w:left w:val="single" w:color="000000" w:sz="4" w:space="0"/>
              <w:bottom w:val="single" w:color="000000" w:sz="4" w:space="0"/>
              <w:right w:val="single" w:color="000000" w:sz="4" w:space="0"/>
            </w:tcBorders>
            <w:shd w:val="clear" w:color="FFFFFF" w:fill="auto"/>
            <w:vAlign w:val="center"/>
          </w:tcPr>
          <w:p>
            <w:pPr>
              <w:spacing w:line="360" w:lineRule="auto"/>
              <w:jc w:val="center"/>
              <w:rPr>
                <w:color w:val="auto"/>
                <w:sz w:val="24"/>
                <w:szCs w:val="24"/>
              </w:rPr>
            </w:pPr>
          </w:p>
        </w:tc>
        <w:tc>
          <w:tcPr>
            <w:tcW w:w="0" w:type="auto"/>
            <w:vMerge w:val="continue"/>
            <w:tcBorders>
              <w:top w:val="nil"/>
              <w:left w:val="single" w:color="000000" w:sz="4" w:space="0"/>
              <w:bottom w:val="single" w:color="000000" w:sz="4" w:space="0"/>
              <w:right w:val="single" w:color="000000" w:sz="4" w:space="0"/>
            </w:tcBorders>
            <w:shd w:val="clear" w:color="FFFFFF" w:fill="auto"/>
            <w:vAlign w:val="center"/>
          </w:tcPr>
          <w:p>
            <w:pPr>
              <w:spacing w:line="360" w:lineRule="auto"/>
              <w:jc w:val="center"/>
              <w:rPr>
                <w:color w:val="auto"/>
                <w:sz w:val="24"/>
                <w:szCs w:val="24"/>
              </w:rPr>
            </w:pPr>
          </w:p>
        </w:tc>
        <w:tc>
          <w:tcPr>
            <w:tcW w:w="0" w:type="auto"/>
            <w:vMerge w:val="continue"/>
            <w:tcBorders>
              <w:top w:val="nil"/>
              <w:left w:val="nil"/>
              <w:bottom w:val="single" w:color="000000" w:sz="4" w:space="0"/>
              <w:right w:val="single" w:color="000000" w:sz="4" w:space="0"/>
            </w:tcBorders>
            <w:shd w:val="clear" w:color="FFFFFF"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小计</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公务用车购置费</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公务用车运行费</w:t>
            </w:r>
          </w:p>
        </w:tc>
        <w:tc>
          <w:tcPr>
            <w:tcW w:w="0" w:type="auto"/>
            <w:vMerge w:val="continue"/>
            <w:tcBorders>
              <w:top w:val="nil"/>
              <w:left w:val="nil"/>
              <w:bottom w:val="single" w:color="000000" w:sz="4" w:space="0"/>
              <w:right w:val="single" w:color="000000" w:sz="4" w:space="0"/>
            </w:tcBorders>
            <w:shd w:val="clear" w:color="FFFFFF"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0" w:type="auto"/>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1.14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1.06</w:t>
            </w: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0" w:type="auto"/>
            <w:gridSpan w:val="12"/>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jc w:val="center"/>
        <w:rPr>
          <w:rFonts w:hint="eastAsia" w:ascii="方正小标宋简体" w:hAnsi="宋体" w:eastAsia="方正小标宋简体" w:cs="宋体"/>
          <w:color w:val="auto"/>
          <w:kern w:val="0"/>
          <w:sz w:val="36"/>
          <w:szCs w:val="36"/>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4"/>
        <w:tblpPr w:leftFromText="180" w:rightFromText="180" w:vertAnchor="text" w:horzAnchor="page" w:tblpXSpec="center" w:tblpY="327"/>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6"/>
        <w:gridCol w:w="339"/>
        <w:gridCol w:w="339"/>
        <w:gridCol w:w="1456"/>
        <w:gridCol w:w="1456"/>
        <w:gridCol w:w="1035"/>
        <w:gridCol w:w="753"/>
        <w:gridCol w:w="1035"/>
        <w:gridCol w:w="1035"/>
        <w:gridCol w:w="2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表八：</w:t>
            </w: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项目支出</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注：本表反映部门本年度政府性基金预算财政拨款收入、支出及结转和结余情况。</w:t>
            </w:r>
            <w:r>
              <w:rPr>
                <w:rFonts w:hint="eastAsia" w:ascii="宋体" w:hAnsi="宋体" w:cs="宋体"/>
                <w:i w:val="0"/>
                <w:iCs w:val="0"/>
                <w:color w:val="auto"/>
                <w:kern w:val="0"/>
                <w:sz w:val="24"/>
                <w:szCs w:val="24"/>
                <w:u w:val="none"/>
                <w:lang w:val="en-US" w:eastAsia="zh-CN" w:bidi="ar"/>
              </w:rPr>
              <w:t>我部门本年度无政府性基金预算拨款收入，也没有政府性基金预算财政拨款安排的支出，故本表无数据。</w:t>
            </w:r>
          </w:p>
        </w:tc>
      </w:tr>
    </w:tbl>
    <w:p>
      <w:pPr>
        <w:bidi w:val="0"/>
        <w:rPr>
          <w:rFonts w:hint="eastAsia"/>
          <w:color w:val="auto"/>
          <w:lang w:val="en-US" w:eastAsia="zh-CN"/>
        </w:rPr>
      </w:pPr>
    </w:p>
    <w:p>
      <w:pPr>
        <w:bidi w:val="0"/>
        <w:rPr>
          <w:rFonts w:hint="eastAsia"/>
          <w:color w:val="auto"/>
          <w:lang w:val="en-US" w:eastAsia="zh-CN"/>
        </w:rPr>
      </w:pPr>
    </w:p>
    <w:p>
      <w:pPr>
        <w:tabs>
          <w:tab w:val="left" w:pos="1691"/>
        </w:tabs>
        <w:bidi w:val="0"/>
        <w:jc w:val="left"/>
        <w:rPr>
          <w:rFonts w:hint="eastAsia"/>
          <w:color w:val="auto"/>
          <w:lang w:val="en-US" w:eastAsia="zh-CN"/>
        </w:rPr>
      </w:pPr>
    </w:p>
    <w:p>
      <w:pPr>
        <w:tabs>
          <w:tab w:val="left" w:pos="1691"/>
        </w:tabs>
        <w:bidi w:val="0"/>
        <w:jc w:val="left"/>
        <w:rPr>
          <w:rFonts w:hint="eastAsia"/>
          <w:color w:val="auto"/>
          <w:lang w:val="en-US" w:eastAsia="zh-CN"/>
        </w:rPr>
      </w:pPr>
    </w:p>
    <w:tbl>
      <w:tblPr>
        <w:tblStyle w:val="4"/>
        <w:tblpPr w:leftFromText="180" w:rightFromText="180" w:vertAnchor="text" w:horzAnchor="page" w:tblpX="3429" w:tblpY="16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1096"/>
        <w:gridCol w:w="656"/>
        <w:gridCol w:w="1096"/>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0509" w:type="dxa"/>
            <w:gridSpan w:val="7"/>
            <w:tcBorders>
              <w:top w:val="nil"/>
              <w:left w:val="nil"/>
              <w:bottom w:val="nil"/>
              <w:right w:val="nil"/>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30"/>
                <w:szCs w:val="30"/>
                <w:u w:val="none"/>
                <w:lang w:val="en-US" w:eastAsia="zh-CN" w:bidi="ar"/>
              </w:rPr>
              <w:t>表九：</w:t>
            </w:r>
            <w:r>
              <w:rPr>
                <w:rFonts w:hint="eastAsia" w:ascii="宋体" w:hAnsi="宋体" w:eastAsia="宋体" w:cs="宋体"/>
                <w:i w:val="0"/>
                <w:iCs w:val="0"/>
                <w:color w:val="auto"/>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10509" w:type="dxa"/>
            <w:gridSpan w:val="7"/>
            <w:tcBorders>
              <w:top w:val="nil"/>
              <w:left w:val="nil"/>
              <w:bottom w:val="nil"/>
              <w:right w:val="nil"/>
            </w:tcBorders>
            <w:shd w:val="clear" w:color="auto" w:fill="auto"/>
            <w:noWrap/>
            <w:vAlign w:val="bottom"/>
          </w:tcPr>
          <w:p>
            <w:pPr>
              <w:keepNext w:val="0"/>
              <w:keepLines w:val="0"/>
              <w:widowControl/>
              <w:suppressLineNumbers w:val="0"/>
              <w:spacing w:line="360" w:lineRule="auto"/>
              <w:jc w:val="both"/>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16" w:type="dxa"/>
            <w:tcBorders>
              <w:top w:val="nil"/>
              <w:left w:val="nil"/>
              <w:bottom w:val="nil"/>
              <w:right w:val="nil"/>
            </w:tcBorders>
            <w:shd w:val="clear" w:color="auto" w:fill="auto"/>
            <w:noWrap/>
            <w:vAlign w:val="bottom"/>
          </w:tcPr>
          <w:p>
            <w:pPr>
              <w:spacing w:line="360" w:lineRule="auto"/>
              <w:rPr>
                <w:rFonts w:hint="eastAsia" w:ascii="Arial" w:hAnsi="Arial" w:cs="Arial"/>
                <w:i w:val="0"/>
                <w:iCs w:val="0"/>
                <w:color w:val="auto"/>
                <w:sz w:val="24"/>
                <w:szCs w:val="24"/>
                <w:u w:val="none"/>
              </w:rPr>
            </w:pPr>
          </w:p>
        </w:tc>
        <w:tc>
          <w:tcPr>
            <w:tcW w:w="222" w:type="dxa"/>
            <w:tcBorders>
              <w:top w:val="nil"/>
              <w:left w:val="nil"/>
              <w:bottom w:val="nil"/>
              <w:right w:val="nil"/>
            </w:tcBorders>
            <w:shd w:val="clear" w:color="auto" w:fill="auto"/>
            <w:noWrap/>
            <w:vAlign w:val="bottom"/>
          </w:tcPr>
          <w:p>
            <w:pPr>
              <w:spacing w:line="360" w:lineRule="auto"/>
              <w:rPr>
                <w:color w:val="auto"/>
                <w:sz w:val="24"/>
                <w:szCs w:val="24"/>
              </w:rPr>
            </w:pPr>
          </w:p>
        </w:tc>
        <w:tc>
          <w:tcPr>
            <w:tcW w:w="222" w:type="dxa"/>
            <w:tcBorders>
              <w:top w:val="nil"/>
              <w:left w:val="nil"/>
              <w:bottom w:val="nil"/>
              <w:right w:val="nil"/>
            </w:tcBorders>
            <w:shd w:val="clear" w:color="auto" w:fill="auto"/>
            <w:noWrap/>
            <w:vAlign w:val="bottom"/>
          </w:tcPr>
          <w:p>
            <w:pPr>
              <w:spacing w:line="360" w:lineRule="auto"/>
              <w:rPr>
                <w:color w:val="auto"/>
                <w:sz w:val="24"/>
                <w:szCs w:val="24"/>
              </w:rPr>
            </w:pPr>
          </w:p>
        </w:tc>
        <w:tc>
          <w:tcPr>
            <w:tcW w:w="1096" w:type="dxa"/>
            <w:tcBorders>
              <w:top w:val="nil"/>
              <w:left w:val="nil"/>
              <w:bottom w:val="nil"/>
              <w:right w:val="nil"/>
            </w:tcBorders>
            <w:shd w:val="clear" w:color="auto" w:fill="auto"/>
            <w:noWrap/>
            <w:vAlign w:val="bottom"/>
          </w:tcPr>
          <w:p>
            <w:pPr>
              <w:spacing w:line="360" w:lineRule="auto"/>
              <w:rPr>
                <w:color w:val="auto"/>
                <w:sz w:val="24"/>
                <w:szCs w:val="24"/>
              </w:rPr>
            </w:pPr>
          </w:p>
        </w:tc>
        <w:tc>
          <w:tcPr>
            <w:tcW w:w="656" w:type="dxa"/>
            <w:tcBorders>
              <w:top w:val="nil"/>
              <w:left w:val="nil"/>
              <w:bottom w:val="nil"/>
              <w:right w:val="nil"/>
            </w:tcBorders>
            <w:shd w:val="clear" w:color="auto" w:fill="auto"/>
            <w:noWrap/>
            <w:vAlign w:val="bottom"/>
          </w:tcPr>
          <w:p>
            <w:pPr>
              <w:spacing w:line="360" w:lineRule="auto"/>
              <w:rPr>
                <w:color w:val="auto"/>
                <w:sz w:val="24"/>
                <w:szCs w:val="24"/>
              </w:rPr>
            </w:pPr>
          </w:p>
        </w:tc>
        <w:tc>
          <w:tcPr>
            <w:tcW w:w="1096"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4601" w:type="dxa"/>
            <w:vMerge w:val="restart"/>
            <w:tcBorders>
              <w:top w:val="nil"/>
              <w:left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公开09表</w:t>
            </w:r>
          </w:p>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56" w:type="dxa"/>
            <w:gridSpan w:val="4"/>
            <w:tcBorders>
              <w:top w:val="nil"/>
              <w:left w:val="nil"/>
              <w:bottom w:val="nil"/>
              <w:right w:val="nil"/>
            </w:tcBorders>
            <w:shd w:val="clear" w:color="auto" w:fill="auto"/>
            <w:noWrap/>
            <w:vAlign w:val="bottom"/>
          </w:tcPr>
          <w:p>
            <w:pPr>
              <w:spacing w:line="360" w:lineRule="auto"/>
              <w:rPr>
                <w:color w:val="auto"/>
                <w:sz w:val="24"/>
                <w:szCs w:val="24"/>
              </w:rPr>
            </w:pPr>
            <w:r>
              <w:rPr>
                <w:rFonts w:hint="eastAsia" w:ascii="宋体" w:hAnsi="宋体" w:eastAsia="宋体" w:cs="宋体"/>
                <w:i w:val="0"/>
                <w:iCs w:val="0"/>
                <w:color w:val="auto"/>
                <w:kern w:val="0"/>
                <w:sz w:val="24"/>
                <w:szCs w:val="24"/>
                <w:u w:val="none"/>
                <w:lang w:val="en-US" w:eastAsia="zh-CN" w:bidi="ar"/>
              </w:rPr>
              <w:t>部门：柳州市残疾人联合会</w:t>
            </w:r>
          </w:p>
        </w:tc>
        <w:tc>
          <w:tcPr>
            <w:tcW w:w="656" w:type="dxa"/>
            <w:tcBorders>
              <w:top w:val="nil"/>
              <w:left w:val="nil"/>
              <w:bottom w:val="nil"/>
              <w:right w:val="nil"/>
            </w:tcBorders>
            <w:shd w:val="clear" w:color="auto" w:fill="auto"/>
            <w:noWrap/>
            <w:vAlign w:val="bottom"/>
          </w:tcPr>
          <w:p>
            <w:pPr>
              <w:spacing w:line="360" w:lineRule="auto"/>
              <w:rPr>
                <w:color w:val="auto"/>
                <w:sz w:val="24"/>
                <w:szCs w:val="24"/>
              </w:rPr>
            </w:pPr>
          </w:p>
        </w:tc>
        <w:tc>
          <w:tcPr>
            <w:tcW w:w="1096" w:type="dxa"/>
            <w:tcBorders>
              <w:top w:val="nil"/>
              <w:left w:val="nil"/>
              <w:bottom w:val="nil"/>
              <w:right w:val="nil"/>
            </w:tcBorders>
            <w:shd w:val="clear" w:color="auto" w:fill="auto"/>
            <w:noWrap/>
            <w:vAlign w:val="bottom"/>
          </w:tcPr>
          <w:p>
            <w:pPr>
              <w:spacing w:line="360" w:lineRule="auto"/>
              <w:rPr>
                <w:rFonts w:hint="default" w:ascii="Arial" w:hAnsi="Arial" w:cs="Arial"/>
                <w:i w:val="0"/>
                <w:iCs w:val="0"/>
                <w:color w:val="auto"/>
                <w:sz w:val="24"/>
                <w:szCs w:val="24"/>
                <w:u w:val="none"/>
              </w:rPr>
            </w:pPr>
          </w:p>
        </w:tc>
        <w:tc>
          <w:tcPr>
            <w:tcW w:w="4601" w:type="dxa"/>
            <w:vMerge w:val="continue"/>
            <w:tcBorders>
              <w:left w:val="nil"/>
              <w:bottom w:val="nil"/>
              <w:right w:val="nil"/>
            </w:tcBorders>
            <w:shd w:val="clear" w:color="auto" w:fill="auto"/>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p>
        </w:tc>
        <w:tc>
          <w:tcPr>
            <w:tcW w:w="63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功能分类科目编码</w:t>
            </w:r>
          </w:p>
        </w:tc>
        <w:tc>
          <w:tcPr>
            <w:tcW w:w="10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科目名称</w:t>
            </w:r>
          </w:p>
        </w:tc>
        <w:tc>
          <w:tcPr>
            <w:tcW w:w="6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合计</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基本支出</w:t>
            </w:r>
          </w:p>
        </w:tc>
        <w:tc>
          <w:tcPr>
            <w:tcW w:w="4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5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栏次</w:t>
            </w:r>
          </w:p>
        </w:tc>
        <w:tc>
          <w:tcPr>
            <w:tcW w:w="6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5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656" w:type="dxa"/>
            <w:tcBorders>
              <w:top w:val="nil"/>
              <w:left w:val="single" w:color="000000" w:sz="4" w:space="0"/>
              <w:bottom w:val="single" w:color="000000" w:sz="4" w:space="0"/>
              <w:right w:val="single" w:color="000000" w:sz="4" w:space="0"/>
            </w:tcBorders>
            <w:shd w:val="clear" w:color="auto" w:fill="auto"/>
            <w:vAlign w:val="center"/>
          </w:tcPr>
          <w:p>
            <w:pPr>
              <w:spacing w:line="360" w:lineRule="auto"/>
              <w:jc w:val="right"/>
              <w:rPr>
                <w:color w:val="auto"/>
                <w:sz w:val="24"/>
                <w:szCs w:val="24"/>
              </w:rPr>
            </w:pPr>
          </w:p>
        </w:tc>
        <w:tc>
          <w:tcPr>
            <w:tcW w:w="1096"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c>
          <w:tcPr>
            <w:tcW w:w="4601" w:type="dxa"/>
            <w:tcBorders>
              <w:top w:val="nil"/>
              <w:left w:val="nil"/>
              <w:bottom w:val="single" w:color="000000" w:sz="4" w:space="0"/>
              <w:right w:val="single" w:color="000000" w:sz="4" w:space="0"/>
            </w:tcBorders>
            <w:shd w:val="clear" w:color="auto" w:fill="auto"/>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1096"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color w:val="auto"/>
                <w:sz w:val="24"/>
                <w:szCs w:val="24"/>
              </w:rPr>
            </w:pPr>
          </w:p>
        </w:tc>
        <w:tc>
          <w:tcPr>
            <w:tcW w:w="656"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096"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4601"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i w:val="0"/>
                <w:iCs w:val="0"/>
                <w:color w:val="auto"/>
                <w:sz w:val="24"/>
                <w:szCs w:val="24"/>
                <w:u w:val="none"/>
              </w:rPr>
            </w:pPr>
          </w:p>
        </w:tc>
        <w:tc>
          <w:tcPr>
            <w:tcW w:w="1096"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left"/>
              <w:rPr>
                <w:color w:val="auto"/>
                <w:sz w:val="24"/>
                <w:szCs w:val="24"/>
              </w:rPr>
            </w:pPr>
          </w:p>
        </w:tc>
        <w:tc>
          <w:tcPr>
            <w:tcW w:w="656"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1096" w:type="dxa"/>
            <w:tcBorders>
              <w:top w:val="nil"/>
              <w:left w:val="single" w:color="000000" w:sz="4" w:space="0"/>
              <w:bottom w:val="single" w:color="000000" w:sz="4" w:space="0"/>
              <w:right w:val="single" w:color="000000" w:sz="4" w:space="0"/>
            </w:tcBorders>
            <w:shd w:val="clear" w:color="auto" w:fill="auto"/>
            <w:noWrap/>
            <w:vAlign w:val="center"/>
          </w:tcPr>
          <w:p>
            <w:pPr>
              <w:spacing w:line="360" w:lineRule="auto"/>
              <w:jc w:val="right"/>
              <w:rPr>
                <w:color w:val="auto"/>
                <w:sz w:val="24"/>
                <w:szCs w:val="24"/>
              </w:rPr>
            </w:pPr>
          </w:p>
        </w:tc>
        <w:tc>
          <w:tcPr>
            <w:tcW w:w="4601" w:type="dxa"/>
            <w:tcBorders>
              <w:top w:val="nil"/>
              <w:left w:val="nil"/>
              <w:bottom w:val="single" w:color="000000" w:sz="4" w:space="0"/>
              <w:right w:val="single" w:color="000000" w:sz="4" w:space="0"/>
            </w:tcBorders>
            <w:shd w:val="clear" w:color="auto" w:fill="auto"/>
            <w:noWrap/>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09"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注：本表反映部门本年度国有资本经营预算财政拨款支出情况。我部门本年度国有资本经营预算财政拨款收入，也没有国有资本经营预算财政拨款安排的支出，故本表无数据</w:t>
            </w:r>
          </w:p>
        </w:tc>
      </w:tr>
    </w:tbl>
    <w:p>
      <w:pPr>
        <w:tabs>
          <w:tab w:val="left" w:pos="13286"/>
        </w:tabs>
        <w:bidi w:val="0"/>
        <w:rPr>
          <w:rFonts w:hint="eastAsia"/>
          <w:color w:val="auto"/>
          <w:lang w:val="en-US" w:eastAsia="zh-CN"/>
        </w:rPr>
        <w:sectPr>
          <w:pgSz w:w="16838" w:h="11906" w:orient="landscape"/>
          <w:pgMar w:top="986" w:right="1800" w:bottom="1213"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eastAsia="zh-CN"/>
        </w:rPr>
        <w:t>柳州市残疾人联合会</w:t>
      </w:r>
      <w:r>
        <w:rPr>
          <w:rFonts w:hint="eastAsia" w:ascii="仿宋_GB2312" w:eastAsia="仿宋_GB2312"/>
          <w:b/>
          <w:color w:val="auto"/>
          <w:sz w:val="32"/>
          <w:szCs w:val="32"/>
          <w:u w:val="none"/>
          <w:lang w:eastAsia="zh-CN"/>
        </w:rPr>
        <w:t>2</w:t>
      </w:r>
      <w:r>
        <w:rPr>
          <w:rFonts w:hint="eastAsia" w:ascii="仿宋_GB2312" w:eastAsia="仿宋_GB2312"/>
          <w:b/>
          <w:color w:val="auto"/>
          <w:sz w:val="32"/>
          <w:szCs w:val="32"/>
          <w:lang w:eastAsia="zh-CN"/>
        </w:rPr>
        <w:t>021</w:t>
      </w:r>
      <w:r>
        <w:rPr>
          <w:rFonts w:hint="eastAsia" w:ascii="仿宋_GB2312" w:eastAsia="仿宋_GB2312"/>
          <w:b/>
          <w:color w:val="auto"/>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lang w:val="en-US" w:eastAsia="zh-CN"/>
        </w:rPr>
        <w:t>4309.56</w:t>
      </w:r>
      <w:r>
        <w:rPr>
          <w:rFonts w:hint="eastAsia" w:ascii="仿宋_GB2312" w:eastAsia="仿宋_GB2312" w:cs="仿宋_GB2312"/>
          <w:color w:val="auto"/>
          <w:kern w:val="0"/>
          <w:sz w:val="32"/>
          <w:szCs w:val="32"/>
        </w:rPr>
        <w:t>万元，其中本年收入</w:t>
      </w:r>
      <w:r>
        <w:rPr>
          <w:rFonts w:hint="eastAsia" w:ascii="仿宋_GB2312" w:eastAsia="仿宋_GB2312" w:cs="仿宋_GB2312"/>
          <w:color w:val="auto"/>
          <w:kern w:val="0"/>
          <w:sz w:val="32"/>
          <w:szCs w:val="32"/>
          <w:lang w:val="en-US" w:eastAsia="zh-CN"/>
        </w:rPr>
        <w:t>3583.83</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725.73</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14.77</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lang w:val="en-US" w:eastAsia="zh-CN"/>
        </w:rPr>
        <w:t>3539.33</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年度决算减少</w:t>
      </w:r>
      <w:r>
        <w:rPr>
          <w:rFonts w:hint="eastAsia" w:ascii="仿宋_GB2312" w:hAnsi="黑体" w:eastAsia="仿宋_GB2312" w:cs="仿宋_GB2312"/>
          <w:color w:val="auto"/>
          <w:kern w:val="0"/>
          <w:sz w:val="32"/>
          <w:szCs w:val="32"/>
          <w:lang w:val="en-US" w:eastAsia="zh-CN"/>
        </w:rPr>
        <w:t>120.52</w:t>
      </w:r>
      <w:r>
        <w:rPr>
          <w:rFonts w:hint="eastAsia" w:ascii="仿宋_GB2312" w:hAnsi="黑体" w:eastAsia="仿宋_GB2312" w:cs="仿宋_GB2312"/>
          <w:color w:val="auto"/>
          <w:kern w:val="0"/>
          <w:sz w:val="32"/>
          <w:szCs w:val="32"/>
        </w:rPr>
        <w:t>万元，增长下降</w:t>
      </w:r>
      <w:r>
        <w:rPr>
          <w:rFonts w:hint="eastAsia" w:ascii="仿宋_GB2312" w:hAnsi="黑体" w:eastAsia="仿宋_GB2312" w:cs="仿宋_GB2312"/>
          <w:color w:val="auto"/>
          <w:kern w:val="0"/>
          <w:sz w:val="32"/>
          <w:szCs w:val="32"/>
          <w:lang w:val="en-US" w:eastAsia="zh-CN"/>
        </w:rPr>
        <w:t>3.53</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2022年年度预算同比去年减少。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68.8</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：本年未收到政府性基金预算财政拨款收入。</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持平。</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4.事业收入</w:t>
      </w:r>
      <w:r>
        <w:rPr>
          <w:rFonts w:hint="eastAsia" w:ascii="仿宋_GB2312" w:eastAsia="仿宋_GB2312"/>
          <w:color w:val="auto"/>
          <w:kern w:val="0"/>
          <w:sz w:val="32"/>
          <w:szCs w:val="32"/>
          <w:lang w:val="en-US" w:eastAsia="zh-CN"/>
        </w:rPr>
        <w:t>15.89</w:t>
      </w:r>
      <w:r>
        <w:rPr>
          <w:rFonts w:hint="eastAsia" w:ascii="仿宋_GB2312" w:eastAsia="仿宋_GB2312" w:cs="仿宋_GB2312"/>
          <w:color w:val="auto"/>
          <w:kern w:val="0"/>
          <w:sz w:val="32"/>
          <w:szCs w:val="32"/>
        </w:rPr>
        <w:t>万元，为事业单位开展业务活动取得的收入。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201.88</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92.70</w:t>
      </w:r>
      <w:r>
        <w:rPr>
          <w:rFonts w:hint="eastAsia" w:ascii="仿宋_GB2312" w:hAnsi="黑体" w:eastAsia="仿宋_GB2312" w:cs="仿宋_GB2312"/>
          <w:color w:val="auto"/>
          <w:kern w:val="0"/>
          <w:sz w:val="32"/>
          <w:szCs w:val="32"/>
        </w:rPr>
        <w:t>%，主要原因</w:t>
      </w:r>
      <w:r>
        <w:rPr>
          <w:rFonts w:hint="eastAsia" w:ascii="仿宋_GB2312" w:hAnsi="黑体" w:eastAsia="仿宋_GB2312" w:cs="仿宋_GB2312"/>
          <w:color w:val="auto"/>
          <w:kern w:val="0"/>
          <w:sz w:val="32"/>
          <w:szCs w:val="32"/>
          <w:lang w:eastAsia="zh-CN"/>
        </w:rPr>
        <w:t>为：</w:t>
      </w:r>
      <w:r>
        <w:rPr>
          <w:rFonts w:hint="eastAsia" w:ascii="仿宋_GB2312" w:eastAsia="仿宋_GB2312" w:cs="仿宋_GB2312"/>
          <w:color w:val="auto"/>
          <w:kern w:val="0"/>
          <w:sz w:val="32"/>
          <w:szCs w:val="32"/>
        </w:rPr>
        <w:t>记账方式改变导致，原收到各级残联经费时记事业收入，改变为财政审批该经费用款申请，额度到达时记事业收入。2021年未向财政提出用款申请，导致账上事业收入减少。</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，为事业单位在业务活动之外开展非独立核算经营活动取得的收入。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6</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lang w:val="en-US" w:eastAsia="zh-CN"/>
        </w:rPr>
        <w:t>28.62</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p>
    <w:p>
      <w:pPr>
        <w:autoSpaceDE w:val="0"/>
        <w:autoSpaceDN w:val="0"/>
        <w:adjustRightInd w:val="0"/>
        <w:spacing w:line="560" w:lineRule="exact"/>
        <w:jc w:val="left"/>
        <w:rPr>
          <w:rFonts w:hint="eastAsia" w:ascii="仿宋_GB2312" w:eastAsia="仿宋_GB2312" w:cs="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w:t>
      </w:r>
      <w:r>
        <w:rPr>
          <w:rFonts w:hint="eastAsia" w:ascii="仿宋_GB2312" w:hAnsi="黑体" w:eastAsia="仿宋_GB2312" w:cs="仿宋_GB2312"/>
          <w:color w:val="auto"/>
          <w:kern w:val="0"/>
          <w:sz w:val="32"/>
          <w:szCs w:val="32"/>
          <w:lang w:eastAsia="zh-CN"/>
        </w:rPr>
        <w:t>增加</w:t>
      </w:r>
      <w:r>
        <w:rPr>
          <w:rFonts w:hint="eastAsia" w:ascii="仿宋_GB2312" w:hAnsi="黑体" w:eastAsia="仿宋_GB2312" w:cs="仿宋_GB2312"/>
          <w:color w:val="auto"/>
          <w:kern w:val="0"/>
          <w:sz w:val="32"/>
          <w:szCs w:val="32"/>
          <w:lang w:val="en-US" w:eastAsia="zh-CN"/>
        </w:rPr>
        <w:t>18.49</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lang w:val="en-US" w:eastAsia="zh-CN"/>
        </w:rPr>
        <w:t>64.61</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：一是卫生健康委央补社会心理服务系统建设经费</w:t>
      </w:r>
      <w:r>
        <w:rPr>
          <w:rFonts w:hint="eastAsia" w:ascii="仿宋_GB2312" w:hAnsi="黑体" w:eastAsia="仿宋_GB2312" w:cs="仿宋_GB2312"/>
          <w:color w:val="auto"/>
          <w:kern w:val="0"/>
          <w:sz w:val="32"/>
          <w:szCs w:val="32"/>
          <w:lang w:val="en-US" w:eastAsia="zh-CN"/>
        </w:rPr>
        <w:t>10万元；二是公益性岗位工资社保5万。</w:t>
      </w:r>
    </w:p>
    <w:p>
      <w:pPr>
        <w:numPr>
          <w:ilvl w:val="0"/>
          <w:numId w:val="0"/>
        </w:numPr>
        <w:autoSpaceDE w:val="0"/>
        <w:autoSpaceDN w:val="0"/>
        <w:adjustRightInd w:val="0"/>
        <w:spacing w:line="560" w:lineRule="exact"/>
        <w:ind w:firstLine="640" w:firstLineChars="200"/>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7.</w:t>
      </w:r>
      <w:r>
        <w:rPr>
          <w:rFonts w:hint="eastAsia" w:ascii="仿宋_GB2312" w:eastAsia="仿宋_GB2312" w:cs="仿宋_GB2312"/>
          <w:color w:val="auto"/>
          <w:kern w:val="0"/>
          <w:sz w:val="32"/>
          <w:szCs w:val="32"/>
        </w:rPr>
        <w:t>使用非财政拨款结余</w:t>
      </w:r>
      <w:r>
        <w:rPr>
          <w:rFonts w:hint="eastAsia" w:ascii="仿宋_GB2312" w:eastAsia="仿宋_GB2312"/>
          <w:color w:val="auto"/>
          <w:kern w:val="0"/>
          <w:sz w:val="32"/>
          <w:szCs w:val="32"/>
          <w:lang w:val="en-US" w:eastAsia="zh-CN"/>
        </w:rPr>
        <w:t>2.24</w:t>
      </w:r>
      <w:r>
        <w:rPr>
          <w:rFonts w:hint="eastAsia" w:ascii="仿宋_GB2312" w:eastAsia="仿宋_GB2312" w:cs="仿宋_GB2312"/>
          <w:color w:val="auto"/>
          <w:kern w:val="0"/>
          <w:sz w:val="32"/>
          <w:szCs w:val="32"/>
        </w:rPr>
        <w:t>万元，主要是所属事业单位在当年的</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及</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不能保证其支出的情况下，使用以前年度积累的非财政拨款结余弥补本年度收支缺口的资金。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2.24</w:t>
      </w:r>
      <w:r>
        <w:rPr>
          <w:rFonts w:hint="eastAsia" w:ascii="仿宋_GB2312" w:hAnsi="黑体" w:eastAsia="仿宋_GB2312" w:cs="仿宋_GB2312"/>
          <w:color w:val="auto"/>
          <w:kern w:val="0"/>
          <w:sz w:val="32"/>
          <w:szCs w:val="32"/>
        </w:rPr>
        <w:t>万元，</w:t>
      </w:r>
      <w:r>
        <w:rPr>
          <w:rFonts w:hint="eastAsia" w:ascii="仿宋_GB2312" w:eastAsia="仿宋_GB2312" w:cs="仿宋_GB2312"/>
          <w:color w:val="auto"/>
          <w:kern w:val="0"/>
          <w:sz w:val="32"/>
          <w:szCs w:val="32"/>
        </w:rPr>
        <w:t>主要原因是</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2021年公益岗人员工资部分从上年度该项非财结余经费开支。</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8</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lang w:val="en-US" w:eastAsia="zh-CN"/>
        </w:rPr>
        <w:t>723.48</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217.05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：上年结转结余数相较以前年度有所减少。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年度总支出</w:t>
      </w:r>
      <w:r>
        <w:rPr>
          <w:rFonts w:hint="eastAsia" w:ascii="仿宋_GB2312" w:eastAsia="仿宋_GB2312"/>
          <w:color w:val="auto"/>
          <w:kern w:val="0"/>
          <w:sz w:val="32"/>
          <w:szCs w:val="32"/>
          <w:lang w:val="en-US" w:eastAsia="zh-CN"/>
        </w:rPr>
        <w:t>4309.56</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4019.52</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605.49</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12.32</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社会保障和就业支出</w:t>
      </w:r>
      <w:r>
        <w:rPr>
          <w:rFonts w:hint="eastAsia" w:ascii="仿宋_GB2312" w:eastAsia="仿宋_GB2312" w:cs="仿宋_GB2312"/>
          <w:color w:val="auto"/>
          <w:kern w:val="0"/>
          <w:sz w:val="32"/>
          <w:szCs w:val="32"/>
        </w:rPr>
        <w:t>类</w:t>
      </w:r>
      <w:r>
        <w:rPr>
          <w:rFonts w:hint="eastAsia" w:ascii="仿宋_GB2312" w:eastAsia="仿宋_GB2312"/>
          <w:color w:val="auto"/>
          <w:kern w:val="0"/>
          <w:sz w:val="32"/>
          <w:szCs w:val="32"/>
          <w:lang w:val="en-US" w:eastAsia="zh-CN"/>
        </w:rPr>
        <w:t>3932.56</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eastAsia="zh-CN"/>
        </w:rPr>
        <w:t>行政事业单位养老支出、残疾人事业和其他社会保障和就业支出。</w:t>
      </w:r>
    </w:p>
    <w:p>
      <w:pPr>
        <w:autoSpaceDE w:val="0"/>
        <w:autoSpaceDN w:val="0"/>
        <w:adjustRightInd w:val="0"/>
        <w:spacing w:line="560" w:lineRule="exact"/>
        <w:ind w:firstLine="0" w:firstLineChars="0"/>
        <w:jc w:val="left"/>
        <w:rPr>
          <w:rFonts w:hint="eastAsia" w:ascii="仿宋_GB2312" w:hAnsi="黑体" w:eastAsia="仿宋_GB2312" w:cs="仿宋_GB2312"/>
          <w:color w:val="auto"/>
          <w:kern w:val="0"/>
          <w:sz w:val="32"/>
          <w:szCs w:val="32"/>
          <w:lang w:eastAsia="zh-CN"/>
        </w:rPr>
      </w:pP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605.49</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12.32</w:t>
      </w:r>
      <w:r>
        <w:rPr>
          <w:rFonts w:hint="eastAsia" w:ascii="仿宋_GB2312" w:hAnsi="黑体" w:eastAsia="仿宋_GB2312" w:cs="仿宋_GB2312"/>
          <w:color w:val="auto"/>
          <w:kern w:val="0"/>
          <w:sz w:val="32"/>
          <w:szCs w:val="32"/>
        </w:rPr>
        <w:t xml:space="preserve"> %，主要原因是</w:t>
      </w:r>
      <w:r>
        <w:rPr>
          <w:rFonts w:hint="eastAsia" w:ascii="仿宋_GB2312" w:hAnsi="黑体" w:eastAsia="仿宋_GB2312" w:cs="仿宋_GB2312"/>
          <w:color w:val="auto"/>
          <w:kern w:val="0"/>
          <w:sz w:val="32"/>
          <w:szCs w:val="32"/>
          <w:lang w:eastAsia="zh-CN"/>
        </w:rPr>
        <w:t>：</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lang w:val="en-US" w:eastAsia="zh-CN"/>
        </w:rPr>
        <w:t>2.卫生健康类37.12万元：主要用于行政运行、残疾人康复、残疾人就业和扶贫、残疾人体育</w:t>
      </w:r>
      <w:r>
        <w:rPr>
          <w:rFonts w:hint="eastAsia" w:ascii="仿宋_GB2312" w:eastAsia="仿宋_GB2312" w:cs="仿宋_GB2312"/>
          <w:color w:val="auto"/>
          <w:kern w:val="0"/>
          <w:sz w:val="32"/>
          <w:szCs w:val="32"/>
          <w:lang w:eastAsia="zh-CN"/>
        </w:rPr>
        <w:t>和其他残疾人事业支出。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11.39</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23.48</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：缴纳基数下降。</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lang w:val="en-US" w:eastAsia="zh-CN"/>
        </w:rPr>
        <w:t>3.住房保障支出类49.83万元：主要用于职工住房公积金</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5.45</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12.28</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：单位在职人员增加。</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lang w:val="en-US" w:eastAsia="zh-CN"/>
        </w:rPr>
        <w:t>4.</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290.04</w:t>
      </w:r>
      <w:r>
        <w:rPr>
          <w:rFonts w:hint="eastAsia" w:ascii="仿宋_GB2312" w:eastAsia="仿宋_GB2312" w:cs="仿宋_GB2312"/>
          <w:color w:val="auto"/>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792.89</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73.2</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：财政收回年末结转结余。</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olor w:val="auto"/>
          <w:kern w:val="0"/>
          <w:sz w:val="32"/>
          <w:szCs w:val="32"/>
        </w:rPr>
        <w:t xml:space="preserve"> </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lang w:val="en-US" w:eastAsia="zh-CN"/>
        </w:rPr>
        <w:t>3741.57</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增加</w:t>
      </w:r>
      <w:r>
        <w:rPr>
          <w:rFonts w:hint="eastAsia" w:ascii="仿宋_GB2312" w:hAnsi="黑体" w:eastAsia="仿宋_GB2312" w:cs="仿宋_GB2312"/>
          <w:color w:val="auto"/>
          <w:kern w:val="0"/>
          <w:sz w:val="32"/>
          <w:szCs w:val="32"/>
          <w:lang w:val="en-US" w:eastAsia="zh-CN"/>
        </w:rPr>
        <w:t>253.96</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lang w:val="en-US" w:eastAsia="zh-CN"/>
        </w:rPr>
        <w:t>7.28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648.89</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lang w:val="en-US" w:eastAsia="zh-CN"/>
        </w:rPr>
        <w:t>3092.68</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hAnsi="黑体" w:eastAsia="仿宋_GB2312"/>
          <w:color w:val="auto"/>
          <w:kern w:val="0"/>
          <w:sz w:val="32"/>
          <w:szCs w:val="32"/>
          <w:lang w:eastAsia="zh-CN"/>
        </w:rPr>
        <w:t>2021</w:t>
      </w:r>
      <w:r>
        <w:rPr>
          <w:rFonts w:hint="eastAsia" w:ascii="仿宋_GB2312" w:hAnsi="黑体" w:eastAsia="仿宋_GB2312"/>
          <w:color w:val="auto"/>
          <w:kern w:val="0"/>
          <w:sz w:val="32"/>
          <w:szCs w:val="32"/>
        </w:rPr>
        <w:t xml:space="preserve"> </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w:t>
      </w:r>
      <w:r>
        <w:rPr>
          <w:rFonts w:hint="eastAsia" w:ascii="仿宋_GB2312" w:hAnsi="黑体" w:eastAsia="仿宋_GB2312" w:cs="仿宋_GB2312"/>
          <w:color w:val="auto"/>
          <w:kern w:val="0"/>
          <w:sz w:val="32"/>
          <w:szCs w:val="32"/>
          <w:lang w:val="en-US" w:eastAsia="zh-CN"/>
        </w:rPr>
        <w:t>5373.22</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3741.57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69.63</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其中：</w:t>
      </w:r>
    </w:p>
    <w:p>
      <w:pPr>
        <w:spacing w:line="560" w:lineRule="exact"/>
        <w:ind w:firstLine="640" w:firstLineChars="200"/>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（一）</w:t>
      </w:r>
      <w:r>
        <w:rPr>
          <w:rFonts w:hint="eastAsia" w:ascii="仿宋_GB2312" w:eastAsia="仿宋_GB2312" w:cs="仿宋_GB2312"/>
          <w:bCs/>
          <w:color w:val="auto"/>
          <w:kern w:val="0"/>
          <w:sz w:val="32"/>
          <w:szCs w:val="32"/>
        </w:rPr>
        <w:t>社会保障和就业支出（类）行政事业单位离退休（款）归口管理的行政单位离退休（项）年初预算为</w:t>
      </w:r>
      <w:r>
        <w:rPr>
          <w:rFonts w:hint="eastAsia" w:ascii="仿宋_GB2312" w:eastAsia="仿宋_GB2312" w:cs="仿宋_GB2312"/>
          <w:bCs/>
          <w:color w:val="auto"/>
          <w:kern w:val="0"/>
          <w:sz w:val="32"/>
          <w:szCs w:val="32"/>
          <w:lang w:val="en-US" w:eastAsia="zh-CN"/>
        </w:rPr>
        <w:t>17.10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19.14</w:t>
      </w:r>
      <w:r>
        <w:rPr>
          <w:rFonts w:hint="eastAsia" w:ascii="仿宋_GB2312" w:eastAsia="仿宋_GB2312" w:cs="仿宋_GB2312"/>
          <w:bCs/>
          <w:color w:val="auto"/>
          <w:kern w:val="0"/>
          <w:sz w:val="32"/>
          <w:szCs w:val="32"/>
        </w:rPr>
        <w:t>万元，完成年初预算</w:t>
      </w:r>
      <w:r>
        <w:rPr>
          <w:rFonts w:hint="eastAsia" w:ascii="仿宋_GB2312" w:eastAsia="仿宋_GB2312" w:cs="仿宋_GB2312"/>
          <w:bCs/>
          <w:color w:val="auto"/>
          <w:kern w:val="0"/>
          <w:sz w:val="32"/>
          <w:szCs w:val="32"/>
          <w:lang w:val="en-US" w:eastAsia="zh-CN"/>
        </w:rPr>
        <w:t>111.93</w:t>
      </w:r>
      <w:r>
        <w:rPr>
          <w:rFonts w:hint="eastAsia" w:ascii="仿宋_GB2312" w:eastAsia="仿宋_GB2312" w:cs="仿宋_GB2312"/>
          <w:bCs/>
          <w:color w:val="auto"/>
          <w:kern w:val="0"/>
          <w:sz w:val="32"/>
          <w:szCs w:val="32"/>
        </w:rPr>
        <w:t>%。</w:t>
      </w:r>
    </w:p>
    <w:p>
      <w:pPr>
        <w:spacing w:line="560" w:lineRule="exact"/>
        <w:ind w:firstLine="640" w:firstLineChars="200"/>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（二）</w:t>
      </w:r>
      <w:r>
        <w:rPr>
          <w:rFonts w:hint="eastAsia" w:ascii="仿宋_GB2312" w:eastAsia="仿宋_GB2312" w:cs="仿宋_GB2312"/>
          <w:bCs/>
          <w:color w:val="auto"/>
          <w:kern w:val="0"/>
          <w:sz w:val="32"/>
          <w:szCs w:val="32"/>
        </w:rPr>
        <w:t>社会保障和就业支出（类）行政事业单位离退休（款）事业单位离退休（项）年初预算为</w:t>
      </w:r>
      <w:r>
        <w:rPr>
          <w:rFonts w:hint="eastAsia" w:ascii="仿宋_GB2312" w:eastAsia="仿宋_GB2312" w:cs="仿宋_GB2312"/>
          <w:bCs/>
          <w:color w:val="auto"/>
          <w:kern w:val="0"/>
          <w:sz w:val="32"/>
          <w:szCs w:val="32"/>
          <w:lang w:val="en-US" w:eastAsia="zh-CN"/>
        </w:rPr>
        <w:t>2.08</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2.41</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完成年初预算</w:t>
      </w:r>
      <w:r>
        <w:rPr>
          <w:rFonts w:hint="eastAsia" w:ascii="仿宋_GB2312" w:eastAsia="仿宋_GB2312" w:cs="仿宋_GB2312"/>
          <w:bCs/>
          <w:color w:val="auto"/>
          <w:kern w:val="0"/>
          <w:sz w:val="32"/>
          <w:szCs w:val="32"/>
          <w:lang w:val="en-US" w:eastAsia="zh-CN"/>
        </w:rPr>
        <w:t>115.87</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于预算数的主要原因是：</w:t>
      </w:r>
      <w:r>
        <w:rPr>
          <w:rFonts w:hint="eastAsia" w:ascii="仿宋_GB2312" w:eastAsia="仿宋_GB2312" w:cs="仿宋_GB2312"/>
          <w:bCs/>
          <w:color w:val="auto"/>
          <w:kern w:val="0"/>
          <w:sz w:val="32"/>
          <w:szCs w:val="32"/>
          <w:lang w:eastAsia="zh-CN"/>
        </w:rPr>
        <w:t>事业单位增人增资。</w:t>
      </w:r>
    </w:p>
    <w:p>
      <w:pPr>
        <w:spacing w:line="560" w:lineRule="exact"/>
        <w:ind w:firstLine="640" w:firstLineChars="200"/>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（三）</w:t>
      </w:r>
      <w:r>
        <w:rPr>
          <w:rFonts w:hint="eastAsia" w:ascii="仿宋_GB2312" w:eastAsia="仿宋_GB2312" w:cs="仿宋_GB2312"/>
          <w:bCs/>
          <w:color w:val="auto"/>
          <w:kern w:val="0"/>
          <w:sz w:val="32"/>
          <w:szCs w:val="32"/>
        </w:rPr>
        <w:t>社会保障和就业支出（类）行政事业单位离退休（款）机关事业单位基本养老保险缴费支出（项）年初预算为</w:t>
      </w:r>
      <w:r>
        <w:rPr>
          <w:rFonts w:hint="eastAsia" w:ascii="仿宋_GB2312" w:eastAsia="仿宋_GB2312" w:cs="仿宋_GB2312"/>
          <w:bCs/>
          <w:color w:val="auto"/>
          <w:kern w:val="0"/>
          <w:sz w:val="32"/>
          <w:szCs w:val="32"/>
          <w:lang w:val="en-US" w:eastAsia="zh-CN"/>
        </w:rPr>
        <w:t>60.82</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47.86</w:t>
      </w:r>
      <w:r>
        <w:rPr>
          <w:rFonts w:hint="eastAsia" w:ascii="仿宋_GB2312" w:eastAsia="仿宋_GB2312" w:cs="仿宋_GB2312"/>
          <w:bCs/>
          <w:color w:val="auto"/>
          <w:kern w:val="0"/>
          <w:sz w:val="32"/>
          <w:szCs w:val="32"/>
        </w:rPr>
        <w:t>万元，完成年初预算</w:t>
      </w:r>
      <w:r>
        <w:rPr>
          <w:rFonts w:hint="eastAsia" w:ascii="仿宋_GB2312" w:eastAsia="仿宋_GB2312" w:cs="仿宋_GB2312"/>
          <w:bCs/>
          <w:color w:val="auto"/>
          <w:kern w:val="0"/>
          <w:sz w:val="32"/>
          <w:szCs w:val="32"/>
          <w:lang w:val="en-US" w:eastAsia="zh-CN"/>
        </w:rPr>
        <w:t>78.69</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决算数小于预算数的主要原因是：</w:t>
      </w:r>
      <w:r>
        <w:rPr>
          <w:rFonts w:hint="eastAsia" w:ascii="仿宋_GB2312" w:eastAsia="仿宋_GB2312" w:cs="仿宋_GB2312"/>
          <w:bCs/>
          <w:color w:val="auto"/>
          <w:kern w:val="0"/>
          <w:sz w:val="32"/>
          <w:szCs w:val="32"/>
          <w:lang w:eastAsia="zh-CN"/>
        </w:rPr>
        <w:t>年中退休一人</w:t>
      </w:r>
      <w:r>
        <w:rPr>
          <w:rFonts w:hint="eastAsia" w:ascii="仿宋_GB2312" w:eastAsia="仿宋_GB2312" w:cs="仿宋_GB2312"/>
          <w:bCs/>
          <w:color w:val="auto"/>
          <w:kern w:val="0"/>
          <w:sz w:val="32"/>
          <w:szCs w:val="32"/>
        </w:rPr>
        <w:t>。</w:t>
      </w:r>
    </w:p>
    <w:p>
      <w:pPr>
        <w:autoSpaceDE w:val="0"/>
        <w:autoSpaceDN w:val="0"/>
        <w:adjustRightInd w:val="0"/>
        <w:spacing w:line="560" w:lineRule="exact"/>
        <w:ind w:firstLine="640" w:firstLineChars="200"/>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（四）</w:t>
      </w:r>
      <w:r>
        <w:rPr>
          <w:rFonts w:hint="eastAsia" w:ascii="仿宋_GB2312" w:eastAsia="仿宋_GB2312" w:cs="仿宋_GB2312"/>
          <w:bCs/>
          <w:color w:val="auto"/>
          <w:kern w:val="0"/>
          <w:sz w:val="32"/>
          <w:szCs w:val="32"/>
        </w:rPr>
        <w:t>社会保障和就业支出（类）行政事业单位离退休（款）机关事业单位职业年金（项）年初预算为</w:t>
      </w:r>
      <w:r>
        <w:rPr>
          <w:rFonts w:hint="eastAsia" w:ascii="仿宋_GB2312" w:eastAsia="仿宋_GB2312" w:cs="仿宋_GB2312"/>
          <w:bCs/>
          <w:color w:val="auto"/>
          <w:kern w:val="0"/>
          <w:sz w:val="32"/>
          <w:szCs w:val="32"/>
          <w:lang w:val="en-US" w:eastAsia="zh-CN"/>
        </w:rPr>
        <w:t>30.41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17.76</w:t>
      </w:r>
      <w:r>
        <w:rPr>
          <w:rFonts w:hint="eastAsia" w:ascii="仿宋_GB2312" w:eastAsia="仿宋_GB2312" w:cs="仿宋_GB2312"/>
          <w:bCs/>
          <w:color w:val="auto"/>
          <w:kern w:val="0"/>
          <w:sz w:val="32"/>
          <w:szCs w:val="32"/>
        </w:rPr>
        <w:t>万元，完成年初预算</w:t>
      </w:r>
      <w:r>
        <w:rPr>
          <w:rFonts w:hint="eastAsia" w:ascii="仿宋_GB2312" w:eastAsia="仿宋_GB2312" w:cs="仿宋_GB2312"/>
          <w:bCs/>
          <w:color w:val="auto"/>
          <w:kern w:val="0"/>
          <w:sz w:val="32"/>
          <w:szCs w:val="32"/>
          <w:lang w:val="en-US" w:eastAsia="zh-CN"/>
        </w:rPr>
        <w:t>58.40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决算数小于预算数的主要原因是：</w:t>
      </w:r>
      <w:r>
        <w:rPr>
          <w:rFonts w:hint="eastAsia" w:ascii="仿宋_GB2312" w:eastAsia="仿宋_GB2312" w:cs="仿宋_GB2312"/>
          <w:bCs/>
          <w:color w:val="auto"/>
          <w:kern w:val="0"/>
          <w:sz w:val="32"/>
          <w:szCs w:val="32"/>
          <w:lang w:eastAsia="zh-CN"/>
        </w:rPr>
        <w:t>年中退休</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eastAsia="zh-CN"/>
        </w:rPr>
        <w:t>人。</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（五）</w:t>
      </w:r>
      <w:r>
        <w:rPr>
          <w:rFonts w:hint="eastAsia" w:ascii="仿宋_GB2312" w:eastAsia="仿宋_GB2312" w:cs="仿宋_GB2312"/>
          <w:bCs/>
          <w:color w:val="auto"/>
          <w:kern w:val="0"/>
          <w:sz w:val="32"/>
          <w:szCs w:val="32"/>
        </w:rPr>
        <w:t>社会保障和就业支出（类）残疾人事业（款）行政运行（项）年初预算为</w:t>
      </w:r>
      <w:r>
        <w:rPr>
          <w:rFonts w:hint="eastAsia" w:ascii="仿宋_GB2312" w:eastAsia="仿宋_GB2312" w:cs="仿宋_GB2312"/>
          <w:bCs/>
          <w:color w:val="auto"/>
          <w:kern w:val="0"/>
          <w:sz w:val="32"/>
          <w:szCs w:val="32"/>
          <w:lang w:val="en-US" w:eastAsia="zh-CN"/>
        </w:rPr>
        <w:t>242.98</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277.66</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114.27</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。决算数大于预算数的主要原因是年中发放机关在职人员绩效奖励、物业补贴及调职调级产生的工资增资部分。</w:t>
      </w:r>
    </w:p>
    <w:p>
      <w:pPr>
        <w:autoSpaceDE w:val="0"/>
        <w:autoSpaceDN w:val="0"/>
        <w:adjustRightInd w:val="0"/>
        <w:spacing w:line="560" w:lineRule="exact"/>
        <w:ind w:firstLine="640" w:firstLineChars="200"/>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（六）</w:t>
      </w:r>
      <w:r>
        <w:rPr>
          <w:rFonts w:hint="eastAsia" w:ascii="仿宋_GB2312" w:eastAsia="仿宋_GB2312" w:cs="仿宋_GB2312"/>
          <w:bCs/>
          <w:color w:val="auto"/>
          <w:kern w:val="0"/>
          <w:sz w:val="32"/>
          <w:szCs w:val="32"/>
        </w:rPr>
        <w:t>社会保障和就业支出（类）残疾人事业（款）残疾人康复（项）年初预算为</w:t>
      </w:r>
      <w:r>
        <w:rPr>
          <w:rFonts w:hint="eastAsia" w:ascii="仿宋_GB2312" w:eastAsia="仿宋_GB2312" w:cs="仿宋_GB2312"/>
          <w:bCs/>
          <w:color w:val="auto"/>
          <w:kern w:val="0"/>
          <w:sz w:val="32"/>
          <w:szCs w:val="32"/>
          <w:lang w:val="en-US" w:eastAsia="zh-CN"/>
        </w:rPr>
        <w:t>1374.34</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883.55</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64.29</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于预算数的主要原因有：</w:t>
      </w:r>
      <w:r>
        <w:rPr>
          <w:rFonts w:hint="eastAsia" w:ascii="仿宋_GB2312" w:eastAsia="仿宋_GB2312" w:cs="仿宋_GB2312"/>
          <w:bCs/>
          <w:color w:val="auto"/>
          <w:kern w:val="0"/>
          <w:sz w:val="32"/>
          <w:szCs w:val="32"/>
          <w:lang w:eastAsia="zh-CN"/>
        </w:rPr>
        <w:t>财政国库年终紧张，压减当年项目支付额度。</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（七）</w:t>
      </w:r>
      <w:r>
        <w:rPr>
          <w:rFonts w:hint="eastAsia" w:ascii="仿宋_GB2312" w:eastAsia="仿宋_GB2312" w:cs="仿宋_GB2312"/>
          <w:bCs/>
          <w:color w:val="auto"/>
          <w:kern w:val="0"/>
          <w:sz w:val="32"/>
          <w:szCs w:val="32"/>
        </w:rPr>
        <w:t>社会保障和就业支出（类）残疾人事业（款）残疾人就业和扶贫（项）年初预算为</w:t>
      </w:r>
      <w:r>
        <w:rPr>
          <w:rFonts w:hint="eastAsia" w:ascii="仿宋_GB2312" w:eastAsia="仿宋_GB2312" w:cs="仿宋_GB2312"/>
          <w:bCs/>
          <w:color w:val="auto"/>
          <w:kern w:val="0"/>
          <w:sz w:val="32"/>
          <w:szCs w:val="32"/>
          <w:lang w:val="en-US" w:eastAsia="zh-CN"/>
        </w:rPr>
        <w:t>207</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165.41</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完成年初预算的</w:t>
      </w:r>
      <w:r>
        <w:rPr>
          <w:rFonts w:hint="eastAsia" w:ascii="仿宋_GB2312" w:eastAsia="仿宋_GB2312" w:cs="仿宋_GB2312"/>
          <w:bCs/>
          <w:color w:val="auto"/>
          <w:kern w:val="0"/>
          <w:sz w:val="32"/>
          <w:szCs w:val="32"/>
          <w:lang w:val="en-US" w:eastAsia="zh-CN"/>
        </w:rPr>
        <w:t>79.91</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于预算数的主要原因是</w:t>
      </w:r>
      <w:r>
        <w:rPr>
          <w:rFonts w:hint="eastAsia" w:ascii="仿宋_GB2312" w:eastAsia="仿宋_GB2312" w:cs="仿宋_GB2312"/>
          <w:bCs/>
          <w:color w:val="auto"/>
          <w:kern w:val="0"/>
          <w:sz w:val="32"/>
          <w:szCs w:val="32"/>
          <w:lang w:eastAsia="zh-CN"/>
        </w:rPr>
        <w:t>农村残疾人重度医疗保险</w:t>
      </w:r>
      <w:r>
        <w:rPr>
          <w:rFonts w:hint="eastAsia" w:ascii="仿宋_GB2312" w:eastAsia="仿宋_GB2312" w:cs="仿宋_GB2312"/>
          <w:bCs/>
          <w:color w:val="auto"/>
          <w:kern w:val="0"/>
          <w:sz w:val="32"/>
          <w:szCs w:val="32"/>
          <w:lang w:val="en-US" w:eastAsia="zh-CN"/>
        </w:rPr>
        <w:t>62万预算指标划转市医保局</w:t>
      </w:r>
      <w:r>
        <w:rPr>
          <w:rFonts w:hint="eastAsia" w:ascii="仿宋_GB2312" w:eastAsia="仿宋_GB2312" w:cs="仿宋_GB2312"/>
          <w:bCs/>
          <w:color w:val="auto"/>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（八）</w:t>
      </w:r>
      <w:r>
        <w:rPr>
          <w:rFonts w:hint="eastAsia" w:ascii="仿宋_GB2312" w:eastAsia="仿宋_GB2312" w:cs="仿宋_GB2312"/>
          <w:bCs/>
          <w:color w:val="auto"/>
          <w:kern w:val="0"/>
          <w:sz w:val="32"/>
          <w:szCs w:val="32"/>
        </w:rPr>
        <w:t>社会保障和就业支出（类）残疾人事业（款）残疾人体育（项）年初预算为</w:t>
      </w:r>
      <w:r>
        <w:rPr>
          <w:rFonts w:hint="eastAsia" w:ascii="仿宋_GB2312" w:eastAsia="仿宋_GB2312" w:cs="仿宋_GB2312"/>
          <w:bCs/>
          <w:color w:val="auto"/>
          <w:kern w:val="0"/>
          <w:sz w:val="32"/>
          <w:szCs w:val="32"/>
          <w:lang w:val="en-US" w:eastAsia="zh-CN"/>
        </w:rPr>
        <w:t>87.35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291.80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吗，</w:t>
      </w:r>
      <w:r>
        <w:rPr>
          <w:rFonts w:hint="eastAsia" w:ascii="仿宋_GB2312" w:eastAsia="仿宋_GB2312" w:cs="仿宋_GB2312"/>
          <w:bCs/>
          <w:color w:val="auto"/>
          <w:kern w:val="0"/>
          <w:sz w:val="32"/>
          <w:szCs w:val="32"/>
        </w:rPr>
        <w:t>完成年初预算的</w:t>
      </w:r>
      <w:r>
        <w:rPr>
          <w:rFonts w:hint="eastAsia" w:ascii="仿宋_GB2312" w:eastAsia="仿宋_GB2312" w:cs="仿宋_GB2312"/>
          <w:bCs/>
          <w:color w:val="auto"/>
          <w:kern w:val="0"/>
          <w:sz w:val="32"/>
          <w:szCs w:val="32"/>
          <w:lang w:val="en-US" w:eastAsia="zh-CN"/>
        </w:rPr>
        <w:t>334.06</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。决算数大于预算数的主要原因有：是年中自治区下达残疾人体育专项经费</w:t>
      </w:r>
      <w:r>
        <w:rPr>
          <w:rFonts w:hint="eastAsia" w:ascii="仿宋_GB2312" w:eastAsia="仿宋_GB2312" w:cs="仿宋_GB2312"/>
          <w:bCs/>
          <w:color w:val="auto"/>
          <w:kern w:val="0"/>
          <w:sz w:val="32"/>
          <w:szCs w:val="32"/>
          <w:lang w:val="en-US" w:eastAsia="zh-CN"/>
        </w:rPr>
        <w:t>330</w:t>
      </w:r>
      <w:r>
        <w:rPr>
          <w:rFonts w:hint="eastAsia" w:ascii="仿宋_GB2312" w:eastAsia="仿宋_GB2312" w:cs="仿宋_GB2312"/>
          <w:bCs/>
          <w:color w:val="auto"/>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（九）</w:t>
      </w:r>
      <w:r>
        <w:rPr>
          <w:rFonts w:hint="eastAsia" w:ascii="仿宋_GB2312" w:eastAsia="仿宋_GB2312" w:cs="仿宋_GB2312"/>
          <w:bCs/>
          <w:color w:val="auto"/>
          <w:kern w:val="0"/>
          <w:sz w:val="32"/>
          <w:szCs w:val="32"/>
        </w:rPr>
        <w:t>社会保障和就业支出（类）残疾人事业（款）其他残疾人事业支出（项）年初预算为</w:t>
      </w:r>
      <w:r>
        <w:rPr>
          <w:rFonts w:hint="eastAsia" w:ascii="仿宋_GB2312" w:eastAsia="仿宋_GB2312" w:cs="仿宋_GB2312"/>
          <w:bCs/>
          <w:color w:val="auto"/>
          <w:kern w:val="0"/>
          <w:sz w:val="32"/>
          <w:szCs w:val="32"/>
          <w:lang w:val="en-US" w:eastAsia="zh-CN"/>
        </w:rPr>
        <w:t>3266.29</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1947</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59.61</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。决算数小于预算数的主要原因有：一是柳州市</w:t>
      </w:r>
      <w:r>
        <w:rPr>
          <w:rFonts w:hint="eastAsia" w:ascii="仿宋_GB2312" w:eastAsia="仿宋_GB2312" w:cs="仿宋_GB2312"/>
          <w:bCs/>
          <w:color w:val="auto"/>
          <w:kern w:val="0"/>
          <w:sz w:val="32"/>
          <w:szCs w:val="32"/>
          <w:lang w:eastAsia="zh-CN"/>
        </w:rPr>
        <w:t>康复医院改造工程尾款因财政紧张，</w:t>
      </w:r>
      <w:r>
        <w:rPr>
          <w:rFonts w:hint="eastAsia" w:ascii="仿宋_GB2312" w:eastAsia="仿宋_GB2312" w:cs="仿宋_GB2312"/>
          <w:bCs/>
          <w:color w:val="auto"/>
          <w:kern w:val="0"/>
          <w:sz w:val="32"/>
          <w:szCs w:val="32"/>
        </w:rPr>
        <w:t>未</w:t>
      </w:r>
      <w:r>
        <w:rPr>
          <w:rFonts w:hint="eastAsia" w:ascii="仿宋_GB2312" w:eastAsia="仿宋_GB2312" w:cs="仿宋_GB2312"/>
          <w:bCs/>
          <w:color w:val="auto"/>
          <w:kern w:val="0"/>
          <w:sz w:val="32"/>
          <w:szCs w:val="32"/>
          <w:lang w:eastAsia="zh-CN"/>
        </w:rPr>
        <w:t>能按期</w:t>
      </w:r>
      <w:r>
        <w:rPr>
          <w:rFonts w:hint="eastAsia" w:ascii="仿宋_GB2312" w:eastAsia="仿宋_GB2312" w:cs="仿宋_GB2312"/>
          <w:bCs/>
          <w:color w:val="auto"/>
          <w:kern w:val="0"/>
          <w:sz w:val="32"/>
          <w:szCs w:val="32"/>
        </w:rPr>
        <w:t>支付</w:t>
      </w:r>
      <w:r>
        <w:rPr>
          <w:rFonts w:hint="eastAsia" w:ascii="仿宋_GB2312" w:eastAsia="仿宋_GB2312" w:cs="仿宋_GB2312"/>
          <w:bCs/>
          <w:color w:val="auto"/>
          <w:kern w:val="0"/>
          <w:sz w:val="32"/>
          <w:szCs w:val="32"/>
          <w:lang w:eastAsia="zh-CN"/>
        </w:rPr>
        <w:t>工程进度款</w:t>
      </w:r>
      <w:r>
        <w:rPr>
          <w:rFonts w:hint="eastAsia" w:ascii="仿宋_GB2312" w:eastAsia="仿宋_GB2312" w:cs="仿宋_GB2312"/>
          <w:bCs/>
          <w:color w:val="auto"/>
          <w:kern w:val="0"/>
          <w:sz w:val="32"/>
          <w:szCs w:val="32"/>
        </w:rPr>
        <w:t>。二是各项政府采购、政府购买服务中标成交价与预算价差异形成结余。三是部分项目跨年度实施形成项目尾款未支付。</w:t>
      </w:r>
    </w:p>
    <w:p>
      <w:pPr>
        <w:autoSpaceDE w:val="0"/>
        <w:autoSpaceDN w:val="0"/>
        <w:adjustRightInd w:val="0"/>
        <w:spacing w:line="560" w:lineRule="exact"/>
        <w:ind w:firstLine="640" w:firstLineChars="200"/>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eastAsia="zh-CN"/>
        </w:rPr>
        <w:t>（十）</w:t>
      </w: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eastAsia="zh-CN"/>
        </w:rPr>
        <w:t>其他社会保障和就业支出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其他社会保障和就业支出</w:t>
      </w:r>
      <w:r>
        <w:rPr>
          <w:rFonts w:hint="eastAsia" w:ascii="仿宋_GB2312" w:eastAsia="仿宋_GB2312" w:cs="仿宋_GB2312"/>
          <w:bCs/>
          <w:color w:val="auto"/>
          <w:kern w:val="0"/>
          <w:sz w:val="32"/>
          <w:szCs w:val="32"/>
        </w:rPr>
        <w:t>（项）</w:t>
      </w:r>
      <w:r>
        <w:rPr>
          <w:rFonts w:hint="eastAsia" w:ascii="仿宋_GB2312" w:eastAsia="仿宋_GB2312" w:cs="仿宋_GB2312"/>
          <w:bCs/>
          <w:color w:val="auto"/>
          <w:kern w:val="0"/>
          <w:sz w:val="32"/>
          <w:szCs w:val="32"/>
          <w:lang w:val="en-US" w:eastAsia="zh-CN"/>
        </w:rPr>
        <w:t>0万元，</w:t>
      </w:r>
      <w:r>
        <w:rPr>
          <w:rFonts w:hint="eastAsia" w:ascii="仿宋_GB2312" w:eastAsia="仿宋_GB2312" w:cs="仿宋_GB2312"/>
          <w:bCs/>
          <w:color w:val="auto"/>
          <w:kern w:val="0"/>
          <w:sz w:val="32"/>
          <w:szCs w:val="32"/>
        </w:rPr>
        <w:t>支出决算为</w:t>
      </w:r>
      <w:r>
        <w:rPr>
          <w:rFonts w:hint="eastAsia" w:ascii="仿宋_GB2312" w:eastAsia="仿宋_GB2312" w:cs="仿宋_GB2312"/>
          <w:bCs/>
          <w:color w:val="auto"/>
          <w:kern w:val="0"/>
          <w:sz w:val="32"/>
          <w:szCs w:val="32"/>
          <w:lang w:val="en-US" w:eastAsia="zh-CN"/>
        </w:rPr>
        <w:t>2.04万元。</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于预算数的主要原因是</w:t>
      </w:r>
      <w:r>
        <w:rPr>
          <w:rFonts w:hint="eastAsia" w:ascii="仿宋_GB2312" w:eastAsia="仿宋_GB2312" w:cs="仿宋_GB2312"/>
          <w:bCs/>
          <w:color w:val="auto"/>
          <w:kern w:val="0"/>
          <w:sz w:val="32"/>
          <w:szCs w:val="32"/>
          <w:lang w:val="en-US" w:eastAsia="zh-CN"/>
        </w:rPr>
        <w:t>事业单位增人增资，故预算追加。</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val="en-US" w:eastAsia="zh-CN"/>
        </w:rPr>
        <w:t>（十一）</w:t>
      </w:r>
      <w:r>
        <w:rPr>
          <w:rFonts w:hint="eastAsia" w:ascii="仿宋_GB2312" w:eastAsia="仿宋_GB2312" w:cs="仿宋_GB2312"/>
          <w:bCs/>
          <w:color w:val="auto"/>
          <w:kern w:val="0"/>
          <w:sz w:val="32"/>
          <w:szCs w:val="32"/>
        </w:rPr>
        <w:t>医疗卫生与计划生育支出（类）行政事业单位医疗（款）行政单位医疗（项）年初预算为</w:t>
      </w:r>
      <w:r>
        <w:rPr>
          <w:rFonts w:hint="eastAsia" w:ascii="仿宋_GB2312" w:eastAsia="仿宋_GB2312" w:cs="仿宋_GB2312"/>
          <w:bCs/>
          <w:color w:val="auto"/>
          <w:kern w:val="0"/>
          <w:sz w:val="32"/>
          <w:szCs w:val="32"/>
          <w:lang w:val="en-US" w:eastAsia="zh-CN"/>
        </w:rPr>
        <w:t>17.95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15.61</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86.96</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于预算数的主要原因是</w:t>
      </w:r>
      <w:r>
        <w:rPr>
          <w:rFonts w:hint="eastAsia" w:ascii="仿宋_GB2312" w:eastAsia="仿宋_GB2312" w:cs="仿宋_GB2312"/>
          <w:bCs/>
          <w:color w:val="auto"/>
          <w:kern w:val="0"/>
          <w:sz w:val="32"/>
          <w:szCs w:val="32"/>
          <w:lang w:eastAsia="zh-CN"/>
        </w:rPr>
        <w:t>本年度有在编人员退休。</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（十二）</w:t>
      </w:r>
      <w:r>
        <w:rPr>
          <w:rFonts w:hint="eastAsia" w:ascii="仿宋_GB2312" w:eastAsia="仿宋_GB2312" w:cs="仿宋_GB2312"/>
          <w:bCs/>
          <w:color w:val="auto"/>
          <w:kern w:val="0"/>
          <w:sz w:val="32"/>
          <w:szCs w:val="32"/>
        </w:rPr>
        <w:t>医疗卫生与计划生育支出（类）行政事业单位医疗（款）事业单位医疗（项）年初预算为</w:t>
      </w:r>
      <w:r>
        <w:rPr>
          <w:rFonts w:hint="eastAsia" w:ascii="仿宋_GB2312" w:eastAsia="仿宋_GB2312" w:cs="仿宋_GB2312"/>
          <w:bCs/>
          <w:color w:val="auto"/>
          <w:kern w:val="0"/>
          <w:sz w:val="32"/>
          <w:szCs w:val="32"/>
          <w:lang w:val="en-US" w:eastAsia="zh-CN"/>
        </w:rPr>
        <w:t>11.79</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10.54</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89.4</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eastAsia="zh-CN"/>
        </w:rPr>
        <w:t>本年度有在编人员退休。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eastAsia="zh-CN"/>
        </w:rPr>
        <w:t>（十三）</w:t>
      </w:r>
      <w:r>
        <w:rPr>
          <w:rFonts w:hint="eastAsia" w:ascii="仿宋_GB2312" w:eastAsia="仿宋_GB2312" w:cs="仿宋_GB2312"/>
          <w:bCs/>
          <w:color w:val="auto"/>
          <w:kern w:val="0"/>
          <w:sz w:val="32"/>
          <w:szCs w:val="32"/>
        </w:rPr>
        <w:t>医疗卫生与计划生育支出（类）行政事业单位医疗（款）</w:t>
      </w:r>
      <w:r>
        <w:rPr>
          <w:rFonts w:hint="eastAsia" w:ascii="仿宋_GB2312" w:eastAsia="仿宋_GB2312" w:cs="仿宋_GB2312"/>
          <w:bCs/>
          <w:color w:val="auto"/>
          <w:kern w:val="0"/>
          <w:sz w:val="32"/>
          <w:szCs w:val="32"/>
          <w:lang w:eastAsia="zh-CN"/>
        </w:rPr>
        <w:t>公务员医疗补助</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10.46</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10.82</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103.63</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eastAsia="zh-CN"/>
        </w:rPr>
        <w:t>具体核算应缴额大于预算下达数，财政年终追加指标。</w:t>
      </w:r>
      <w:r>
        <w:rPr>
          <w:rFonts w:hint="eastAsia" w:ascii="仿宋_GB2312" w:eastAsia="仿宋_GB2312" w:cs="仿宋_GB2312"/>
          <w:bCs/>
          <w:color w:val="auto"/>
          <w:kern w:val="0"/>
          <w:sz w:val="32"/>
          <w:szCs w:val="32"/>
          <w:lang w:val="en-US" w:eastAsia="zh-CN"/>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（十四）</w:t>
      </w:r>
      <w:r>
        <w:rPr>
          <w:rFonts w:hint="eastAsia" w:ascii="仿宋_GB2312" w:eastAsia="仿宋_GB2312" w:cs="仿宋_GB2312"/>
          <w:bCs/>
          <w:color w:val="auto"/>
          <w:kern w:val="0"/>
          <w:sz w:val="32"/>
          <w:szCs w:val="32"/>
        </w:rPr>
        <w:t>医疗卫生与计划生育支出（类）行政事业单位医疗（款）</w:t>
      </w:r>
      <w:r>
        <w:rPr>
          <w:rFonts w:hint="eastAsia" w:ascii="仿宋_GB2312" w:eastAsia="仿宋_GB2312" w:cs="仿宋_GB2312"/>
          <w:bCs/>
          <w:color w:val="auto"/>
          <w:kern w:val="0"/>
          <w:sz w:val="32"/>
          <w:szCs w:val="32"/>
          <w:lang w:val="en-US" w:eastAsia="zh-CN"/>
        </w:rPr>
        <w:t>其他行政事业单位医疗支出（项）年初预算为0万元，支出决算为0.14万元。决算数大于预算数的主要原因是年中下达退休人员大额医疗。</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(十五）住房保障支出（类）住房改革支出</w:t>
      </w:r>
      <w:r>
        <w:rPr>
          <w:rFonts w:hint="eastAsia" w:ascii="仿宋_GB2312" w:eastAsia="仿宋_GB2312" w:cs="仿宋_GB2312"/>
          <w:bCs/>
          <w:color w:val="auto"/>
          <w:kern w:val="0"/>
          <w:sz w:val="32"/>
          <w:szCs w:val="32"/>
        </w:rPr>
        <w:t>（款）住房公积金（项）年初预算为</w:t>
      </w:r>
      <w:r>
        <w:rPr>
          <w:rFonts w:hint="eastAsia" w:ascii="仿宋_GB2312" w:eastAsia="仿宋_GB2312" w:cs="仿宋_GB2312"/>
          <w:bCs/>
          <w:color w:val="auto"/>
          <w:kern w:val="0"/>
          <w:sz w:val="32"/>
          <w:szCs w:val="32"/>
          <w:lang w:val="en-US" w:eastAsia="zh-CN"/>
        </w:rPr>
        <w:t>45.61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49.83</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109.25</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rPr>
        <w:t>。决算数大于预算数的主要原因是在职人员公积金缴费基数增加。</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    万元，支出具体情况如下：</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bCs/>
          <w:color w:val="auto"/>
          <w:kern w:val="0"/>
          <w:sz w:val="32"/>
          <w:szCs w:val="32"/>
        </w:rPr>
        <w:t>（一）工资福利支出</w:t>
      </w:r>
      <w:r>
        <w:rPr>
          <w:rFonts w:hint="eastAsia" w:ascii="仿宋_GB2312" w:eastAsia="仿宋_GB2312"/>
          <w:bCs/>
          <w:color w:val="auto"/>
          <w:kern w:val="0"/>
          <w:sz w:val="32"/>
          <w:szCs w:val="32"/>
          <w:lang w:val="en-US" w:eastAsia="zh-CN"/>
        </w:rPr>
        <w:t>574.73</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109.94</w:t>
      </w:r>
      <w:r>
        <w:rPr>
          <w:rFonts w:hint="eastAsia" w:ascii="仿宋_GB2312" w:eastAsia="仿宋_GB2312"/>
          <w:bCs/>
          <w:color w:val="auto"/>
          <w:kern w:val="0"/>
          <w:sz w:val="32"/>
          <w:szCs w:val="32"/>
        </w:rPr>
        <w:t>%。</w:t>
      </w:r>
      <w:r>
        <w:rPr>
          <w:rFonts w:hint="eastAsia" w:ascii="仿宋_GB2312" w:eastAsia="仿宋_GB2312" w:cs="仿宋_GB2312"/>
          <w:bCs/>
          <w:color w:val="auto"/>
          <w:kern w:val="0"/>
          <w:sz w:val="32"/>
          <w:szCs w:val="32"/>
        </w:rPr>
        <w:t>决算数大于预算数的主要原因是年中发放机关在职人员绩效奖励、物业补贴及调职调级产生的工资增资部分。</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bCs/>
          <w:color w:val="auto"/>
          <w:kern w:val="0"/>
          <w:sz w:val="32"/>
          <w:szCs w:val="32"/>
        </w:rPr>
        <w:t>（二）商品和服务支出</w:t>
      </w:r>
      <w:r>
        <w:rPr>
          <w:rFonts w:hint="eastAsia" w:ascii="仿宋_GB2312" w:eastAsia="仿宋_GB2312"/>
          <w:bCs/>
          <w:color w:val="auto"/>
          <w:kern w:val="0"/>
          <w:sz w:val="32"/>
          <w:szCs w:val="32"/>
          <w:lang w:val="en-US" w:eastAsia="zh-CN"/>
        </w:rPr>
        <w:t>23.21</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149.97</w:t>
      </w:r>
      <w:r>
        <w:rPr>
          <w:rFonts w:hint="eastAsia" w:ascii="仿宋_GB2312" w:eastAsia="仿宋_GB2312"/>
          <w:bCs/>
          <w:color w:val="auto"/>
          <w:kern w:val="0"/>
          <w:sz w:val="32"/>
          <w:szCs w:val="32"/>
        </w:rPr>
        <w:t>%。</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eastAsia="zh-CN"/>
        </w:rPr>
        <w:t>增人增资。</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三</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对个人和家庭的补助</w:t>
      </w:r>
      <w:r>
        <w:rPr>
          <w:rFonts w:hint="eastAsia" w:ascii="仿宋_GB2312" w:eastAsia="仿宋_GB2312"/>
          <w:bCs/>
          <w:color w:val="auto"/>
          <w:kern w:val="0"/>
          <w:sz w:val="32"/>
          <w:szCs w:val="32"/>
          <w:lang w:val="en-US" w:eastAsia="zh-CN"/>
        </w:rPr>
        <w:t>23.21</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122.00</w:t>
      </w:r>
      <w:r>
        <w:rPr>
          <w:rFonts w:hint="eastAsia" w:ascii="仿宋_GB2312" w:eastAsia="仿宋_GB2312"/>
          <w:bCs/>
          <w:color w:val="auto"/>
          <w:kern w:val="0"/>
          <w:sz w:val="32"/>
          <w:szCs w:val="32"/>
        </w:rPr>
        <w:t>%。</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eastAsia="zh-CN"/>
        </w:rPr>
        <w:t>增人增资。</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eastAsia="zh-CN"/>
        </w:rPr>
        <w:t>柳州市残疾人联合会</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eastAsia="zh-CN"/>
        </w:rPr>
        <w:t>柳州市残疾人联合会</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bCs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bCs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w:t>
      </w:r>
      <w:r>
        <w:rPr>
          <w:rFonts w:hint="eastAsia" w:ascii="仿宋_GB2312" w:eastAsia="仿宋_GB2312" w:cs="仿宋_GB2312"/>
          <w:color w:val="auto"/>
          <w:kern w:val="0"/>
          <w:sz w:val="32"/>
          <w:szCs w:val="32"/>
          <w:lang w:val="en-US" w:eastAsia="zh-CN"/>
        </w:rPr>
        <w:t>1.06</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92.98</w:t>
      </w:r>
      <w:r>
        <w:rPr>
          <w:rFonts w:hint="eastAsia" w:ascii="仿宋_GB2312" w:eastAsia="仿宋_GB2312" w:cs="仿宋_GB2312"/>
          <w:color w:val="auto"/>
          <w:kern w:val="0"/>
          <w:sz w:val="32"/>
          <w:szCs w:val="32"/>
        </w:rPr>
        <w:t>%，比上年增减（减少</w:t>
      </w:r>
      <w:r>
        <w:rPr>
          <w:rFonts w:hint="eastAsia" w:ascii="仿宋_GB2312" w:eastAsia="仿宋_GB2312" w:cs="仿宋_GB2312"/>
          <w:color w:val="auto"/>
          <w:kern w:val="0"/>
          <w:sz w:val="32"/>
          <w:szCs w:val="32"/>
          <w:lang w:val="en-US" w:eastAsia="zh-CN"/>
        </w:rPr>
        <w:t>1.67</w:t>
      </w:r>
      <w:r>
        <w:rPr>
          <w:rFonts w:hint="eastAsia" w:ascii="仿宋_GB2312" w:eastAsia="仿宋_GB2312" w:cs="仿宋_GB2312"/>
          <w:color w:val="auto"/>
          <w:kern w:val="0"/>
          <w:sz w:val="32"/>
          <w:szCs w:val="32"/>
        </w:rPr>
        <w:t>万元，主要原因是</w:t>
      </w:r>
      <w:r>
        <w:rPr>
          <w:rFonts w:hint="eastAsia" w:ascii="仿宋_GB2312" w:eastAsia="仿宋_GB2312" w:cs="仿宋_GB2312"/>
          <w:color w:val="auto"/>
          <w:kern w:val="0"/>
          <w:sz w:val="32"/>
          <w:szCs w:val="32"/>
          <w:lang w:eastAsia="zh-CN"/>
        </w:rPr>
        <w:t>财政压减三公经费</w:t>
      </w:r>
      <w:r>
        <w:rPr>
          <w:rFonts w:hint="eastAsia" w:ascii="仿宋_GB2312" w:eastAsia="仿宋_GB2312" w:cs="仿宋_GB2312"/>
          <w:color w:val="auto"/>
          <w:kern w:val="0"/>
          <w:sz w:val="32"/>
          <w:szCs w:val="32"/>
        </w:rPr>
        <w:t>。其中：因公出国（境）费支出决算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万元，公务用车购置及运行费支出决算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万元，公务接待费支出决算</w:t>
      </w:r>
      <w:r>
        <w:rPr>
          <w:rFonts w:hint="eastAsia" w:ascii="仿宋_GB2312" w:eastAsia="仿宋_GB2312" w:cs="仿宋_GB2312"/>
          <w:color w:val="auto"/>
          <w:kern w:val="0"/>
          <w:sz w:val="32"/>
          <w:szCs w:val="32"/>
          <w:lang w:val="en-US" w:eastAsia="zh-CN"/>
        </w:rPr>
        <w:t>1.06</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pPr>
        <w:numPr>
          <w:ilvl w:val="0"/>
          <w:numId w:val="1"/>
        </w:numPr>
        <w:autoSpaceDE w:val="0"/>
        <w:autoSpaceDN w:val="0"/>
        <w:adjustRightInd w:val="0"/>
        <w:spacing w:line="560" w:lineRule="exact"/>
        <w:ind w:firstLine="640" w:firstLineChars="200"/>
        <w:jc w:val="left"/>
        <w:rPr>
          <w:rFonts w:hint="eastAsia" w:ascii="仿宋_GB2312" w:hAnsi="黑体" w:eastAsia="仿宋_GB2312"/>
          <w:bCs/>
          <w:color w:val="auto"/>
          <w:sz w:val="32"/>
          <w:szCs w:val="32"/>
          <w:lang w:eastAsia="zh-CN"/>
        </w:rPr>
      </w:pPr>
      <w:r>
        <w:rPr>
          <w:rFonts w:hint="eastAsia" w:ascii="仿宋_GB2312" w:eastAsia="仿宋_GB2312" w:cs="仿宋_GB2312"/>
          <w:color w:val="auto"/>
          <w:kern w:val="0"/>
          <w:sz w:val="32"/>
          <w:szCs w:val="32"/>
        </w:rPr>
        <w:t>因公出国（境）费支出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万元，完成年初预算的  %，</w:t>
      </w:r>
      <w:r>
        <w:rPr>
          <w:rFonts w:hint="eastAsia" w:ascii="仿宋_GB2312" w:eastAsia="仿宋_GB2312" w:cs="仿宋_GB2312"/>
          <w:color w:val="auto"/>
          <w:kern w:val="0"/>
          <w:sz w:val="32"/>
          <w:szCs w:val="32"/>
          <w:lang w:eastAsia="zh-CN"/>
        </w:rPr>
        <w:t>与上年持平，</w:t>
      </w:r>
      <w:r>
        <w:rPr>
          <w:rFonts w:hint="eastAsia" w:ascii="仿宋_GB2312" w:eastAsia="仿宋_GB2312" w:cs="仿宋_GB2312"/>
          <w:color w:val="auto"/>
          <w:kern w:val="0"/>
          <w:sz w:val="32"/>
          <w:szCs w:val="32"/>
        </w:rPr>
        <w:t>原因是</w:t>
      </w:r>
      <w:r>
        <w:rPr>
          <w:rFonts w:hint="eastAsia" w:ascii="仿宋_GB2312" w:eastAsia="仿宋_GB2312" w:cs="仿宋_GB2312"/>
          <w:color w:val="auto"/>
          <w:kern w:val="0"/>
          <w:sz w:val="32"/>
          <w:szCs w:val="32"/>
          <w:lang w:eastAsia="zh-CN"/>
        </w:rPr>
        <w:t>本年度无因公出国事项</w:t>
      </w:r>
      <w:r>
        <w:rPr>
          <w:rFonts w:hint="eastAsia" w:ascii="仿宋_GB2312" w:eastAsia="仿宋_GB2312" w:cs="仿宋_GB2312"/>
          <w:color w:val="auto"/>
          <w:kern w:val="0"/>
          <w:sz w:val="32"/>
          <w:szCs w:val="32"/>
        </w:rPr>
        <w:t>。全年使用财政拨款安排</w:t>
      </w:r>
      <w:r>
        <w:rPr>
          <w:rFonts w:hint="eastAsia" w:ascii="仿宋_GB2312" w:hAnsi="黑体" w:eastAsia="仿宋_GB2312"/>
          <w:bCs/>
          <w:color w:val="auto"/>
          <w:sz w:val="32"/>
          <w:szCs w:val="32"/>
          <w:u w:val="none"/>
          <w:lang w:val="en-US" w:eastAsia="zh-CN"/>
        </w:rPr>
        <w:t>0个</w:t>
      </w:r>
      <w:r>
        <w:rPr>
          <w:rFonts w:hint="eastAsia" w:ascii="仿宋_GB2312" w:hAnsi="黑体" w:eastAsia="仿宋_GB2312"/>
          <w:bCs/>
          <w:color w:val="auto"/>
          <w:sz w:val="32"/>
          <w:szCs w:val="32"/>
        </w:rPr>
        <w:t>（</w:t>
      </w:r>
      <w:r>
        <w:rPr>
          <w:rFonts w:hint="eastAsia" w:ascii="仿宋_GB2312" w:eastAsia="仿宋_GB2312" w:cs="仿宋_GB2312"/>
          <w:color w:val="auto"/>
          <w:kern w:val="0"/>
          <w:sz w:val="32"/>
          <w:szCs w:val="32"/>
        </w:rPr>
        <w:t>委、局、办</w:t>
      </w:r>
      <w:r>
        <w:rPr>
          <w:rFonts w:hint="eastAsia" w:ascii="仿宋_GB2312" w:hAnsi="黑体" w:eastAsia="仿宋_GB2312"/>
          <w:bCs/>
          <w:color w:val="auto"/>
          <w:sz w:val="32"/>
          <w:szCs w:val="32"/>
        </w:rPr>
        <w:t>）机关、</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个所属单位出国团组</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个，参加其他单位组织的出国团组</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个，全年因公出国（境）团组共计</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个，累计</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人次</w:t>
      </w:r>
      <w:r>
        <w:rPr>
          <w:rFonts w:hint="eastAsia" w:ascii="仿宋_GB2312" w:hAnsi="黑体" w:eastAsia="仿宋_GB2312"/>
          <w:bCs/>
          <w:color w:val="auto"/>
          <w:sz w:val="32"/>
          <w:szCs w:val="32"/>
          <w:lang w:eastAsia="zh-CN"/>
        </w:rPr>
        <w:t>（必须说明）</w:t>
      </w:r>
      <w:r>
        <w:rPr>
          <w:rFonts w:hint="eastAsia" w:ascii="仿宋_GB2312" w:hAnsi="黑体" w:eastAsia="仿宋_GB2312"/>
          <w:bCs/>
          <w:color w:val="auto"/>
          <w:sz w:val="32"/>
          <w:szCs w:val="32"/>
        </w:rPr>
        <w:t>。</w:t>
      </w:r>
      <w:r>
        <w:rPr>
          <w:rFonts w:hint="eastAsia" w:ascii="仿宋_GB2312" w:hAnsi="黑体" w:eastAsia="仿宋_GB2312"/>
          <w:bCs/>
          <w:color w:val="auto"/>
          <w:sz w:val="32"/>
          <w:szCs w:val="32"/>
          <w:lang w:eastAsia="zh-CN"/>
        </w:rPr>
        <w:t>全年无</w:t>
      </w:r>
      <w:r>
        <w:rPr>
          <w:rFonts w:hint="eastAsia" w:ascii="仿宋_GB2312" w:hAnsi="黑体" w:eastAsia="仿宋_GB2312"/>
          <w:bCs/>
          <w:color w:val="auto"/>
          <w:sz w:val="32"/>
          <w:szCs w:val="32"/>
        </w:rPr>
        <w:t>开支</w:t>
      </w:r>
      <w:r>
        <w:rPr>
          <w:rFonts w:hint="eastAsia" w:ascii="仿宋_GB2312" w:hAnsi="黑体" w:eastAsia="仿宋_GB2312"/>
          <w:bCs/>
          <w:color w:val="auto"/>
          <w:sz w:val="32"/>
          <w:szCs w:val="32"/>
          <w:lang w:eastAsia="zh-CN"/>
        </w:rPr>
        <w:t>。</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公务用车购置支出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与上年持平。本年无新</w:t>
      </w:r>
      <w:r>
        <w:rPr>
          <w:rFonts w:hint="eastAsia" w:ascii="仿宋_GB2312" w:eastAsia="仿宋_GB2312" w:cs="仿宋_GB2312"/>
          <w:color w:val="auto"/>
          <w:kern w:val="0"/>
          <w:sz w:val="32"/>
          <w:szCs w:val="32"/>
        </w:rPr>
        <w:t>购置了公务用车</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bCs/>
          <w:color w:val="auto"/>
          <w:sz w:val="32"/>
          <w:szCs w:val="32"/>
        </w:rPr>
      </w:pPr>
      <w:r>
        <w:rPr>
          <w:rFonts w:hint="eastAsia" w:ascii="仿宋_GB2312" w:eastAsia="仿宋_GB2312" w:cs="仿宋_GB2312"/>
          <w:color w:val="auto"/>
          <w:kern w:val="0"/>
          <w:sz w:val="32"/>
          <w:szCs w:val="32"/>
        </w:rPr>
        <w:t>公务用车运行支出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万元，比上年增</w:t>
      </w:r>
      <w:r>
        <w:rPr>
          <w:rFonts w:hint="eastAsia" w:ascii="仿宋_GB2312" w:eastAsia="仿宋_GB2312" w:cs="仿宋_GB2312"/>
          <w:color w:val="auto"/>
          <w:kern w:val="0"/>
          <w:sz w:val="32"/>
          <w:szCs w:val="32"/>
          <w:lang w:eastAsia="zh-CN"/>
        </w:rPr>
        <w:t>加</w:t>
      </w:r>
      <w:r>
        <w:rPr>
          <w:rFonts w:hint="eastAsia" w:ascii="仿宋_GB2312" w:eastAsia="仿宋_GB2312" w:cs="仿宋_GB2312"/>
          <w:color w:val="auto"/>
          <w:kern w:val="0"/>
          <w:sz w:val="32"/>
          <w:szCs w:val="32"/>
        </w:rPr>
        <w:t>减少</w:t>
      </w: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万元，原因是成立了</w:t>
      </w:r>
      <w:r>
        <w:rPr>
          <w:rFonts w:hint="eastAsia" w:ascii="仿宋_GB2312" w:eastAsia="仿宋_GB2312" w:cs="仿宋_GB2312"/>
          <w:color w:val="auto"/>
          <w:kern w:val="0"/>
          <w:sz w:val="32"/>
          <w:szCs w:val="32"/>
          <w:lang w:eastAsia="zh-CN"/>
        </w:rPr>
        <w:t>我部门于</w:t>
      </w:r>
      <w:r>
        <w:rPr>
          <w:rFonts w:hint="eastAsia" w:ascii="仿宋_GB2312" w:eastAsia="仿宋_GB2312" w:cs="仿宋_GB2312"/>
          <w:color w:val="auto"/>
          <w:kern w:val="0"/>
          <w:sz w:val="32"/>
          <w:szCs w:val="32"/>
          <w:lang w:val="en-US" w:eastAsia="zh-CN"/>
        </w:rPr>
        <w:t>2020年8月成立了柳州残疾人辅助器具</w:t>
      </w:r>
      <w:r>
        <w:rPr>
          <w:rFonts w:hint="eastAsia" w:ascii="仿宋_GB2312" w:eastAsia="仿宋_GB2312" w:cs="仿宋_GB2312"/>
          <w:color w:val="auto"/>
          <w:kern w:val="0"/>
          <w:sz w:val="32"/>
          <w:szCs w:val="32"/>
        </w:rPr>
        <w:t>中心，原</w:t>
      </w:r>
      <w:r>
        <w:rPr>
          <w:rFonts w:hint="eastAsia" w:ascii="仿宋_GB2312" w:eastAsia="仿宋_GB2312" w:cs="仿宋_GB2312"/>
          <w:color w:val="auto"/>
          <w:kern w:val="0"/>
          <w:sz w:val="32"/>
          <w:szCs w:val="32"/>
          <w:lang w:eastAsia="zh-CN"/>
        </w:rPr>
        <w:t>柳州市残疾人</w:t>
      </w:r>
      <w:r>
        <w:rPr>
          <w:rFonts w:hint="eastAsia" w:ascii="仿宋_GB2312" w:eastAsia="仿宋_GB2312" w:cs="仿宋_GB2312"/>
          <w:color w:val="auto"/>
          <w:kern w:val="0"/>
          <w:sz w:val="32"/>
          <w:szCs w:val="32"/>
        </w:rPr>
        <w:t>康复中心的辅具业务用车划归</w:t>
      </w:r>
      <w:r>
        <w:rPr>
          <w:rFonts w:hint="eastAsia" w:ascii="仿宋_GB2312" w:eastAsia="仿宋_GB2312" w:cs="仿宋_GB2312"/>
          <w:color w:val="auto"/>
          <w:kern w:val="0"/>
          <w:sz w:val="32"/>
          <w:szCs w:val="32"/>
          <w:lang w:val="en-US" w:eastAsia="zh-CN"/>
        </w:rPr>
        <w:t>柳州残疾人辅助器具</w:t>
      </w:r>
      <w:r>
        <w:rPr>
          <w:rFonts w:hint="eastAsia" w:ascii="仿宋_GB2312" w:eastAsia="仿宋_GB2312" w:cs="仿宋_GB2312"/>
          <w:color w:val="auto"/>
          <w:kern w:val="0"/>
          <w:sz w:val="32"/>
          <w:szCs w:val="32"/>
        </w:rPr>
        <w:t>中心所有</w:t>
      </w:r>
      <w:r>
        <w:rPr>
          <w:rFonts w:hint="eastAsia" w:ascii="仿宋_GB2312" w:eastAsia="仿宋_GB2312" w:cs="仿宋_GB2312"/>
          <w:color w:val="auto"/>
          <w:kern w:val="0"/>
          <w:sz w:val="32"/>
          <w:szCs w:val="32"/>
          <w:lang w:eastAsia="zh-CN"/>
        </w:rPr>
        <w:t>，该单位为无预算单位，全年无财政拨款收入，不需做年度决算</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本年无新</w:t>
      </w:r>
      <w:r>
        <w:rPr>
          <w:rFonts w:hint="eastAsia" w:ascii="仿宋_GB2312" w:eastAsia="仿宋_GB2312" w:cs="仿宋_GB2312"/>
          <w:color w:val="auto"/>
          <w:kern w:val="0"/>
          <w:sz w:val="32"/>
          <w:szCs w:val="32"/>
        </w:rPr>
        <w:t>购置了公务用车</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主要用于机要文件交换、市内因公出行以及开展业务所需车辆燃料费、维修费、过路过桥费、保险费等。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w:t>
      </w:r>
      <w:r>
        <w:rPr>
          <w:rFonts w:hint="eastAsia" w:ascii="仿宋_GB2312" w:hAnsi="黑体" w:eastAsia="仿宋_GB2312"/>
          <w:bCs/>
          <w:color w:val="auto"/>
          <w:sz w:val="32"/>
          <w:szCs w:val="32"/>
          <w:u w:val="none"/>
          <w:lang w:eastAsia="zh-CN"/>
        </w:rPr>
        <w:t>柳州市残疾人联合会</w:t>
      </w:r>
      <w:r>
        <w:rPr>
          <w:rFonts w:hint="eastAsia" w:ascii="仿宋_GB2312" w:hAnsi="黑体" w:eastAsia="仿宋_GB2312"/>
          <w:bCs/>
          <w:color w:val="auto"/>
          <w:sz w:val="32"/>
          <w:szCs w:val="32"/>
          <w:lang w:val="en-US" w:eastAsia="zh-CN"/>
        </w:rPr>
        <w:t>3</w:t>
      </w:r>
      <w:r>
        <w:rPr>
          <w:rFonts w:hint="eastAsia" w:ascii="仿宋_GB2312" w:hAnsi="黑体" w:eastAsia="仿宋_GB2312"/>
          <w:bCs/>
          <w:color w:val="auto"/>
          <w:sz w:val="32"/>
          <w:szCs w:val="32"/>
        </w:rPr>
        <w:t>个所属单位开支财政拨款的公务用车保有量为</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辆</w:t>
      </w:r>
      <w:r>
        <w:rPr>
          <w:rFonts w:hint="eastAsia" w:ascii="仿宋_GB2312" w:hAnsi="黑体" w:eastAsia="仿宋_GB2312"/>
          <w:b/>
          <w:bCs w:val="0"/>
          <w:color w:val="auto"/>
          <w:sz w:val="32"/>
          <w:szCs w:val="32"/>
        </w:rPr>
        <w:t>，</w:t>
      </w:r>
      <w:r>
        <w:rPr>
          <w:rFonts w:hint="eastAsia" w:ascii="仿宋_GB2312" w:hAnsi="黑体" w:eastAsia="仿宋_GB2312"/>
          <w:bCs/>
          <w:color w:val="auto"/>
          <w:sz w:val="32"/>
          <w:szCs w:val="32"/>
        </w:rPr>
        <w:t>全年运行费支出</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万元，平均每辆</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（三）公务接待费支出</w:t>
      </w:r>
      <w:r>
        <w:rPr>
          <w:rFonts w:hint="eastAsia" w:ascii="仿宋_GB2312" w:eastAsia="仿宋_GB2312" w:cs="仿宋_GB2312"/>
          <w:color w:val="auto"/>
          <w:kern w:val="0"/>
          <w:sz w:val="32"/>
          <w:szCs w:val="32"/>
          <w:lang w:val="en-US" w:eastAsia="zh-CN"/>
        </w:rPr>
        <w:t>1.06</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92.98</w:t>
      </w:r>
      <w:r>
        <w:rPr>
          <w:rFonts w:hint="eastAsia" w:ascii="仿宋_GB2312" w:eastAsia="仿宋_GB2312" w:cs="仿宋_GB2312"/>
          <w:color w:val="auto"/>
          <w:kern w:val="0"/>
          <w:sz w:val="32"/>
          <w:szCs w:val="32"/>
        </w:rPr>
        <w:t>%， 比上年</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0.73</w:t>
      </w:r>
      <w:r>
        <w:rPr>
          <w:rFonts w:hint="eastAsia" w:ascii="仿宋_GB2312" w:eastAsia="仿宋_GB2312" w:cs="仿宋_GB2312"/>
          <w:color w:val="auto"/>
          <w:kern w:val="0"/>
          <w:sz w:val="32"/>
          <w:szCs w:val="32"/>
        </w:rPr>
        <w:t>万元，原因是</w:t>
      </w:r>
      <w:r>
        <w:rPr>
          <w:rFonts w:hint="eastAsia" w:ascii="仿宋_GB2312" w:eastAsia="仿宋_GB2312" w:cs="仿宋_GB2312"/>
          <w:color w:val="auto"/>
          <w:kern w:val="0"/>
          <w:sz w:val="32"/>
          <w:szCs w:val="32"/>
          <w:lang w:eastAsia="zh-CN"/>
        </w:rPr>
        <w:t>接待任务增加</w:t>
      </w:r>
      <w:r>
        <w:rPr>
          <w:rFonts w:hint="eastAsia" w:ascii="仿宋_GB2312" w:eastAsia="仿宋_GB2312" w:cs="仿宋_GB2312"/>
          <w:color w:val="auto"/>
          <w:kern w:val="0"/>
          <w:sz w:val="32"/>
          <w:szCs w:val="32"/>
        </w:rPr>
        <w:t>。国内公务接待批次</w:t>
      </w:r>
      <w:r>
        <w:rPr>
          <w:rFonts w:hint="eastAsia" w:ascii="仿宋_GB2312" w:eastAsia="仿宋_GB2312" w:cs="仿宋_GB2312"/>
          <w:color w:val="auto"/>
          <w:kern w:val="0"/>
          <w:sz w:val="32"/>
          <w:szCs w:val="32"/>
          <w:lang w:val="en-US" w:eastAsia="zh-CN"/>
        </w:rPr>
        <w:t>25</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70</w:t>
      </w:r>
      <w:r>
        <w:rPr>
          <w:rFonts w:hint="eastAsia" w:ascii="仿宋_GB2312" w:eastAsia="仿宋_GB2312" w:cs="仿宋_GB2312"/>
          <w:color w:val="auto"/>
          <w:kern w:val="0"/>
          <w:sz w:val="32"/>
          <w:szCs w:val="32"/>
        </w:rPr>
        <w:t>次，国（境）外公务接待批次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（一）</w:t>
      </w:r>
      <w:r>
        <w:rPr>
          <w:rFonts w:hint="eastAsia" w:ascii="楷体_GB2312" w:eastAsia="楷体_GB2312"/>
          <w:color w:val="auto"/>
          <w:sz w:val="32"/>
          <w:szCs w:val="32"/>
        </w:rPr>
        <w:t xml:space="preserve"> </w:t>
      </w:r>
      <w:r>
        <w:rPr>
          <w:rFonts w:hint="eastAsia" w:ascii="楷体_GB2312" w:eastAsia="楷体_GB2312" w:cs="仿宋_GB2312"/>
          <w:color w:val="auto"/>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年度机关运行经费支出</w:t>
      </w:r>
      <w:r>
        <w:rPr>
          <w:rFonts w:hint="eastAsia" w:ascii="仿宋_GB2312" w:eastAsia="仿宋_GB2312" w:cs="仿宋_GB2312"/>
          <w:color w:val="auto"/>
          <w:kern w:val="0"/>
          <w:sz w:val="32"/>
          <w:szCs w:val="32"/>
          <w:lang w:val="en-US" w:eastAsia="zh-CN"/>
        </w:rPr>
        <w:t>30.56</w:t>
      </w:r>
      <w:r>
        <w:rPr>
          <w:rFonts w:hint="eastAsia" w:ascii="仿宋_GB2312" w:eastAsia="仿宋_GB2312" w:cs="仿宋_GB2312"/>
          <w:color w:val="auto"/>
          <w:kern w:val="0"/>
          <w:sz w:val="32"/>
          <w:szCs w:val="32"/>
        </w:rPr>
        <w:t>万元，比年初预算数减少</w:t>
      </w:r>
      <w:r>
        <w:rPr>
          <w:rFonts w:hint="eastAsia" w:ascii="仿宋_GB2312" w:eastAsia="仿宋_GB2312" w:cs="仿宋_GB2312"/>
          <w:color w:val="auto"/>
          <w:kern w:val="0"/>
          <w:sz w:val="32"/>
          <w:szCs w:val="32"/>
          <w:lang w:val="en-US" w:eastAsia="zh-CN"/>
        </w:rPr>
        <w:t>22.06</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41.92</w:t>
      </w:r>
      <w:r>
        <w:rPr>
          <w:rFonts w:hint="eastAsia" w:ascii="仿宋_GB2312" w:eastAsia="仿宋_GB2312" w:cs="仿宋_GB2312"/>
          <w:color w:val="auto"/>
          <w:kern w:val="0"/>
          <w:sz w:val="32"/>
          <w:szCs w:val="32"/>
        </w:rPr>
        <w:t>%。主要原因是：</w:t>
      </w:r>
      <w:r>
        <w:rPr>
          <w:rFonts w:hint="eastAsia" w:ascii="仿宋_GB2312" w:eastAsia="仿宋_GB2312" w:cs="仿宋_GB2312"/>
          <w:color w:val="auto"/>
          <w:kern w:val="0"/>
          <w:sz w:val="32"/>
          <w:szCs w:val="32"/>
          <w:lang w:eastAsia="zh-CN"/>
        </w:rPr>
        <w:t>记账时将伙食补助纳入工资福利支出</w:t>
      </w:r>
      <w:r>
        <w:rPr>
          <w:rFonts w:hint="eastAsia" w:ascii="仿宋_GB2312" w:eastAsia="仿宋_GB2312" w:cs="仿宋_GB2312"/>
          <w:color w:val="auto"/>
          <w:kern w:val="0"/>
          <w:sz w:val="32"/>
          <w:szCs w:val="32"/>
        </w:rPr>
        <w:t>，比</w:t>
      </w:r>
      <w:r>
        <w:rPr>
          <w:rFonts w:hint="eastAsia" w:ascii="仿宋_GB2312" w:eastAsia="仿宋_GB2312" w:cs="仿宋_GB2312"/>
          <w:color w:val="auto"/>
          <w:kern w:val="0"/>
          <w:sz w:val="32"/>
          <w:szCs w:val="32"/>
          <w:lang w:eastAsia="zh-CN"/>
        </w:rPr>
        <w:t>2020</w:t>
      </w:r>
      <w:r>
        <w:rPr>
          <w:rFonts w:hint="eastAsia" w:ascii="仿宋_GB2312" w:eastAsia="仿宋_GB2312" w:cs="仿宋_GB2312"/>
          <w:color w:val="auto"/>
          <w:kern w:val="0"/>
          <w:sz w:val="32"/>
          <w:szCs w:val="32"/>
        </w:rPr>
        <w:t>年增加</w:t>
      </w:r>
      <w:r>
        <w:rPr>
          <w:rFonts w:hint="eastAsia" w:ascii="仿宋_GB2312" w:eastAsia="仿宋_GB2312" w:cs="仿宋_GB2312"/>
          <w:color w:val="auto"/>
          <w:kern w:val="0"/>
          <w:sz w:val="32"/>
          <w:szCs w:val="32"/>
          <w:lang w:val="en-US" w:eastAsia="zh-CN"/>
        </w:rPr>
        <w:t>10.47</w:t>
      </w:r>
      <w:r>
        <w:rPr>
          <w:rFonts w:hint="eastAsia" w:ascii="仿宋_GB2312" w:eastAsia="仿宋_GB2312" w:cs="仿宋_GB2312"/>
          <w:color w:val="auto"/>
          <w:kern w:val="0"/>
          <w:sz w:val="32"/>
          <w:szCs w:val="32"/>
        </w:rPr>
        <w:t>万元，增长</w:t>
      </w:r>
      <w:r>
        <w:rPr>
          <w:rFonts w:hint="eastAsia" w:ascii="仿宋_GB2312" w:eastAsia="仿宋_GB2312" w:cs="仿宋_GB2312"/>
          <w:color w:val="auto"/>
          <w:kern w:val="0"/>
          <w:sz w:val="32"/>
          <w:szCs w:val="32"/>
          <w:lang w:val="en-US" w:eastAsia="zh-CN"/>
        </w:rPr>
        <w:t>52.12</w:t>
      </w:r>
      <w:r>
        <w:rPr>
          <w:rFonts w:hint="eastAsia" w:ascii="仿宋_GB2312" w:eastAsia="仿宋_GB2312" w:cs="仿宋_GB2312"/>
          <w:color w:val="auto"/>
          <w:kern w:val="0"/>
          <w:sz w:val="32"/>
          <w:szCs w:val="32"/>
        </w:rPr>
        <w:t>%。主要原因是：资产运行维护支出增加</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、信息系统运行维护支出增加</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、人员编制数量增加</w:t>
      </w:r>
      <w:r>
        <w:rPr>
          <w:rFonts w:hint="eastAsia" w:ascii="仿宋_GB2312" w:eastAsia="仿宋_GB2312" w:cs="仿宋_GB2312"/>
          <w:color w:val="auto"/>
          <w:kern w:val="0"/>
          <w:sz w:val="32"/>
          <w:szCs w:val="32"/>
          <w:lang w:val="en-US" w:eastAsia="zh-CN"/>
        </w:rPr>
        <w:t xml:space="preserve"> 。</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年度政府采购支出总额</w:t>
      </w:r>
      <w:r>
        <w:rPr>
          <w:rFonts w:hint="eastAsia" w:ascii="仿宋_GB2312" w:eastAsia="仿宋_GB2312" w:cs="仿宋_GB2312"/>
          <w:color w:val="auto"/>
          <w:kern w:val="0"/>
          <w:sz w:val="32"/>
          <w:szCs w:val="32"/>
          <w:lang w:val="en-US" w:eastAsia="zh-CN"/>
        </w:rPr>
        <w:t>265.31</w:t>
      </w:r>
      <w:r>
        <w:rPr>
          <w:rFonts w:hint="eastAsia" w:ascii="仿宋_GB2312" w:eastAsia="仿宋_GB2312" w:cs="仿宋_GB2312"/>
          <w:color w:val="auto"/>
          <w:kern w:val="0"/>
          <w:sz w:val="32"/>
          <w:szCs w:val="32"/>
        </w:rPr>
        <w:t>万元，其中：政府采购货物支出</w:t>
      </w:r>
      <w:r>
        <w:rPr>
          <w:rFonts w:hint="eastAsia" w:ascii="仿宋_GB2312" w:eastAsia="仿宋_GB2312" w:cs="仿宋_GB2312"/>
          <w:color w:val="auto"/>
          <w:kern w:val="0"/>
          <w:sz w:val="32"/>
          <w:szCs w:val="32"/>
          <w:lang w:val="en-US" w:eastAsia="zh-CN"/>
        </w:rPr>
        <w:t>179.72</w:t>
      </w:r>
      <w:r>
        <w:rPr>
          <w:rFonts w:hint="eastAsia" w:ascii="仿宋_GB2312" w:eastAsia="仿宋_GB2312" w:cs="仿宋_GB2312"/>
          <w:color w:val="auto"/>
          <w:kern w:val="0"/>
          <w:sz w:val="32"/>
          <w:szCs w:val="32"/>
        </w:rPr>
        <w:t>万元、政府采购服务支出</w:t>
      </w:r>
      <w:r>
        <w:rPr>
          <w:rFonts w:hint="eastAsia" w:ascii="仿宋_GB2312" w:eastAsia="仿宋_GB2312" w:cs="仿宋_GB2312"/>
          <w:color w:val="auto"/>
          <w:kern w:val="0"/>
          <w:sz w:val="32"/>
          <w:szCs w:val="32"/>
          <w:lang w:val="en-US" w:eastAsia="zh-CN"/>
        </w:rPr>
        <w:t>85.59</w:t>
      </w:r>
      <w:r>
        <w:rPr>
          <w:rFonts w:hint="eastAsia" w:ascii="仿宋_GB2312" w:eastAsia="仿宋_GB2312" w:cs="仿宋_GB2312"/>
          <w:color w:val="auto"/>
          <w:kern w:val="0"/>
          <w:sz w:val="32"/>
          <w:szCs w:val="32"/>
        </w:rPr>
        <w:t>万元，（口径参见部门决算F03表《机构运行信息表》中政府采购相关数据，并做好与</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 xml:space="preserve"> 年度政府采购信息统计报表中“政府采购资金情况表”有关数据的衔接）。授予中小企业合同金额</w:t>
      </w:r>
      <w:r>
        <w:rPr>
          <w:rFonts w:hint="eastAsia" w:ascii="仿宋_GB2312" w:eastAsia="仿宋_GB2312" w:cs="仿宋_GB2312"/>
          <w:color w:val="auto"/>
          <w:kern w:val="0"/>
          <w:sz w:val="32"/>
          <w:szCs w:val="32"/>
          <w:lang w:val="en-US" w:eastAsia="zh-CN"/>
        </w:rPr>
        <w:t>4.88</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1.84</w:t>
      </w:r>
      <w:r>
        <w:rPr>
          <w:rFonts w:hint="eastAsia" w:ascii="仿宋_GB2312"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238.44</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89.87</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color w:val="auto"/>
          <w:kern w:val="0"/>
          <w:sz w:val="32"/>
          <w:szCs w:val="32"/>
        </w:rPr>
      </w:pPr>
      <w:r>
        <w:rPr>
          <w:rFonts w:hint="eastAsia" w:ascii="仿宋_GB2312" w:eastAsia="仿宋_GB2312" w:cs="仿宋_GB2312"/>
          <w:b/>
          <w:color w:val="auto"/>
          <w:kern w:val="0"/>
          <w:sz w:val="32"/>
          <w:szCs w:val="32"/>
        </w:rPr>
        <w:t>无支出也需要注明“本部门无政府采购支出”。</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辆，其中：</w:t>
      </w:r>
      <w:r>
        <w:rPr>
          <w:rFonts w:hint="eastAsia" w:ascii="仿宋_GB2312" w:eastAsia="仿宋_GB2312" w:cs="仿宋_GB2312"/>
          <w:color w:val="auto"/>
          <w:kern w:val="0"/>
          <w:sz w:val="32"/>
          <w:szCs w:val="32"/>
          <w:lang w:eastAsia="zh-CN"/>
        </w:rPr>
        <w:t>专业技术</w:t>
      </w:r>
      <w:r>
        <w:rPr>
          <w:rFonts w:hint="eastAsia" w:ascii="仿宋_GB2312" w:eastAsia="仿宋_GB2312" w:cs="仿宋_GB2312"/>
          <w:color w:val="auto"/>
          <w:kern w:val="0"/>
          <w:sz w:val="32"/>
          <w:szCs w:val="32"/>
        </w:rPr>
        <w:t>用车</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辆；单价50万元以上通用设备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台（套）。 </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无国有资产则在相关的资产后填0。</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根据财政预算管理要求，我部门组织对20</w:t>
      </w:r>
      <w:r>
        <w:rPr>
          <w:rFonts w:hint="eastAsia" w:ascii="仿宋_GB2312" w:eastAsia="仿宋_GB2312" w:cs="仿宋_GB2312"/>
          <w:color w:val="auto"/>
          <w:kern w:val="0"/>
          <w:sz w:val="32"/>
          <w:szCs w:val="32"/>
          <w:highlight w:val="none"/>
          <w:lang w:val="en-US" w:eastAsia="zh-CN"/>
        </w:rPr>
        <w:t>21</w:t>
      </w:r>
      <w:r>
        <w:rPr>
          <w:rFonts w:hint="eastAsia" w:ascii="仿宋_GB2312" w:eastAsia="仿宋_GB2312" w:cs="仿宋_GB2312"/>
          <w:color w:val="auto"/>
          <w:kern w:val="0"/>
          <w:sz w:val="32"/>
          <w:szCs w:val="32"/>
          <w:highlight w:val="none"/>
        </w:rPr>
        <w:t>年度一般公共预算项目支出全面开展绩效自评。共涉及资金</w:t>
      </w:r>
      <w:r>
        <w:rPr>
          <w:rFonts w:hint="eastAsia" w:ascii="仿宋_GB2312" w:eastAsia="仿宋_GB2312" w:cs="仿宋_GB2312"/>
          <w:color w:val="auto"/>
          <w:kern w:val="0"/>
          <w:sz w:val="32"/>
          <w:szCs w:val="32"/>
          <w:highlight w:val="none"/>
          <w:lang w:val="en-US" w:eastAsia="zh-CN"/>
        </w:rPr>
        <w:t>5148.73</w:t>
      </w:r>
      <w:r>
        <w:rPr>
          <w:rFonts w:hint="eastAsia" w:ascii="仿宋_GB2312" w:eastAsia="仿宋_GB2312" w:cs="仿宋_GB2312"/>
          <w:color w:val="auto"/>
          <w:kern w:val="0"/>
          <w:sz w:val="32"/>
          <w:szCs w:val="32"/>
          <w:highlight w:val="none"/>
        </w:rPr>
        <w:t>万元，占一般公共预算项目支出总额的</w:t>
      </w:r>
      <w:r>
        <w:rPr>
          <w:rFonts w:hint="eastAsia" w:ascii="仿宋_GB2312" w:eastAsia="仿宋_GB2312" w:cs="仿宋_GB2312"/>
          <w:color w:val="auto"/>
          <w:kern w:val="0"/>
          <w:sz w:val="32"/>
          <w:szCs w:val="32"/>
          <w:highlight w:val="none"/>
          <w:lang w:val="en-US" w:eastAsia="zh-CN"/>
        </w:rPr>
        <w:t>100</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组织对20</w:t>
      </w:r>
      <w:r>
        <w:rPr>
          <w:rFonts w:hint="eastAsia" w:ascii="仿宋_GB2312" w:eastAsia="仿宋_GB2312" w:cs="仿宋_GB2312"/>
          <w:color w:val="auto"/>
          <w:kern w:val="0"/>
          <w:sz w:val="32"/>
          <w:szCs w:val="32"/>
          <w:highlight w:val="none"/>
          <w:lang w:val="en-US" w:eastAsia="zh-CN"/>
        </w:rPr>
        <w:t>21</w:t>
      </w:r>
      <w:r>
        <w:rPr>
          <w:rFonts w:hint="eastAsia" w:ascii="仿宋_GB2312" w:eastAsia="仿宋_GB2312" w:cs="仿宋_GB2312"/>
          <w:color w:val="auto"/>
          <w:kern w:val="0"/>
          <w:sz w:val="32"/>
          <w:szCs w:val="32"/>
          <w:highlight w:val="none"/>
        </w:rPr>
        <w:t>年度</w:t>
      </w:r>
      <w:r>
        <w:rPr>
          <w:rFonts w:hint="eastAsia" w:ascii="仿宋_GB2312" w:eastAsia="仿宋_GB2312" w:cs="仿宋_GB2312"/>
          <w:color w:val="auto"/>
          <w:kern w:val="0"/>
          <w:sz w:val="32"/>
          <w:szCs w:val="32"/>
          <w:highlight w:val="none"/>
          <w:lang w:eastAsia="zh-CN"/>
        </w:rPr>
        <w:t>康复经费（市级）</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康复经费（补助县）、康复经费（补助城区）、康复医院改造工程、基金待安排、</w:t>
      </w:r>
      <w:r>
        <w:rPr>
          <w:rFonts w:hint="eastAsia" w:ascii="仿宋_GB2312" w:eastAsia="仿宋_GB2312" w:cs="仿宋_GB2312"/>
          <w:color w:val="auto"/>
          <w:kern w:val="0"/>
          <w:sz w:val="32"/>
          <w:szCs w:val="32"/>
          <w:highlight w:val="none"/>
        </w:rPr>
        <w:t>聘用人员经费、劳务派遣经费、残疾人康复设施设备购置经费</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2021年柳州市个体工商户和灵活就业残疾人参加企业职工基本养老保险补贴经费、柳州市（柳南区）残疾人辅助性就业示范基地经费</w:t>
      </w:r>
      <w:r>
        <w:rPr>
          <w:rFonts w:hint="eastAsia" w:ascii="仿宋_GB2312" w:eastAsia="仿宋_GB2312" w:cs="仿宋_GB2312"/>
          <w:color w:val="auto"/>
          <w:kern w:val="0"/>
          <w:sz w:val="32"/>
          <w:szCs w:val="32"/>
          <w:highlight w:val="none"/>
          <w:lang w:val="en-US" w:eastAsia="zh-CN"/>
        </w:rPr>
        <w:t>10</w:t>
      </w:r>
      <w:r>
        <w:rPr>
          <w:rFonts w:hint="eastAsia" w:ascii="仿宋_GB2312" w:eastAsia="仿宋_GB2312" w:cs="仿宋_GB2312"/>
          <w:color w:val="auto"/>
          <w:kern w:val="0"/>
          <w:sz w:val="32"/>
          <w:szCs w:val="32"/>
          <w:highlight w:val="none"/>
        </w:rPr>
        <w:t>个项目进行了绩效评价</w:t>
      </w:r>
      <w:r>
        <w:rPr>
          <w:rFonts w:hint="eastAsia" w:ascii="仿宋_GB2312" w:eastAsia="仿宋_GB2312" w:cs="仿宋_GB2312"/>
          <w:color w:val="auto"/>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2.部门决算中项目绩效自评结果。</w:t>
      </w:r>
    </w:p>
    <w:p>
      <w:pPr>
        <w:spacing w:line="560" w:lineRule="exact"/>
        <w:ind w:firstLine="640" w:firstLineChars="200"/>
        <w:rPr>
          <w:rFonts w:ascii="仿宋_GB2312" w:eastAsia="仿宋_GB2312" w:cs="仿宋_GB2312"/>
          <w:color w:val="auto"/>
          <w:kern w:val="0"/>
          <w:sz w:val="32"/>
          <w:szCs w:val="32"/>
        </w:rPr>
      </w:pPr>
      <w:r>
        <w:rPr>
          <w:rFonts w:hint="eastAsia" w:ascii="仿宋_GB2312" w:eastAsia="仿宋_GB2312" w:cs="仿宋_GB2312"/>
          <w:color w:val="auto"/>
          <w:kern w:val="0"/>
          <w:sz w:val="32"/>
          <w:szCs w:val="32"/>
          <w:highlight w:val="none"/>
        </w:rPr>
        <w:t>我部门根据年初设定的绩效目标，</w:t>
      </w:r>
      <w:r>
        <w:rPr>
          <w:rFonts w:hint="eastAsia" w:ascii="仿宋_GB2312" w:eastAsia="仿宋_GB2312" w:cs="仿宋_GB2312"/>
          <w:color w:val="auto"/>
          <w:kern w:val="0"/>
          <w:sz w:val="32"/>
          <w:szCs w:val="32"/>
          <w:highlight w:val="none"/>
          <w:lang w:eastAsia="zh-CN"/>
        </w:rPr>
        <w:t>自评得分如下：康复经费（市级）自评等分</w:t>
      </w:r>
      <w:r>
        <w:rPr>
          <w:rFonts w:hint="eastAsia" w:ascii="仿宋_GB2312" w:eastAsia="仿宋_GB2312" w:cs="仿宋_GB2312"/>
          <w:color w:val="auto"/>
          <w:kern w:val="0"/>
          <w:sz w:val="32"/>
          <w:szCs w:val="32"/>
          <w:highlight w:val="none"/>
          <w:lang w:val="en-US" w:eastAsia="zh-CN"/>
        </w:rPr>
        <w:t>97分；基金待安排90分；康复医院改造工程86分；</w:t>
      </w:r>
      <w:r>
        <w:rPr>
          <w:rFonts w:hint="eastAsia" w:ascii="仿宋_GB2312" w:eastAsia="仿宋_GB2312" w:cs="仿宋_GB2312"/>
          <w:color w:val="auto"/>
          <w:kern w:val="0"/>
          <w:sz w:val="32"/>
          <w:szCs w:val="32"/>
        </w:rPr>
        <w:t>2021年柳州市个体工商户和灵活就业残疾人参加企业职工基本养老保险补贴经费项目自评得分为99分</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highlight w:val="none"/>
          <w:lang w:val="en-US" w:eastAsia="zh-CN"/>
        </w:rPr>
        <w:t>康复经费（补助县）、康复经费（补助城区）、</w:t>
      </w:r>
      <w:r>
        <w:rPr>
          <w:rFonts w:hint="eastAsia" w:ascii="仿宋_GB2312" w:eastAsia="仿宋_GB2312" w:cs="仿宋_GB2312"/>
          <w:color w:val="auto"/>
          <w:kern w:val="0"/>
          <w:sz w:val="32"/>
          <w:szCs w:val="32"/>
        </w:rPr>
        <w:t>柳州市（柳南区）残疾人辅助性就业示范基地经费</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聘用人员经费、劳务派遣经费、残疾人康复设施设备购置经费</w:t>
      </w:r>
      <w:r>
        <w:rPr>
          <w:rFonts w:hint="eastAsia" w:ascii="仿宋_GB2312" w:eastAsia="仿宋_GB2312" w:cs="仿宋_GB2312"/>
          <w:color w:val="auto"/>
          <w:kern w:val="0"/>
          <w:sz w:val="32"/>
          <w:szCs w:val="32"/>
          <w:lang w:val="en-US" w:eastAsia="zh-CN"/>
        </w:rPr>
        <w:t>6</w:t>
      </w:r>
      <w:r>
        <w:rPr>
          <w:rFonts w:hint="eastAsia" w:ascii="仿宋_GB2312" w:eastAsia="仿宋_GB2312" w:cs="仿宋_GB2312"/>
          <w:color w:val="auto"/>
          <w:kern w:val="0"/>
          <w:sz w:val="32"/>
          <w:szCs w:val="32"/>
        </w:rPr>
        <w:t xml:space="preserve"> 个项目自评得分均为100分。发现的主要问题及原因：一是鱼峰区、柳城县和融安县审批结果有误，整改后按结果完成发放。下一步改进措施：一是每年发放工作开始前中心抽查各县（区）发放人员名单申请材料，各县区整改后再发放；二是每年各县（区）完成发放和精准预算工作后，中心对于五城五县两新区养老补贴工作完成情况进行检查，归档材料不完整的县区补齐相关材料，已发名单存在不符合文件补贴条件的县区追回违规发放资金。柳州市（柳南区）残疾人辅助性就业示范基地经费项目自评得分为97分。发现的主要问题及原因：一是市财政实际下拨60万元，还有42.16万元未下拨。未下拨的这42.16万元是2021年柳州市残疾人辅助性就业示范基地项目运营管理服务采购的项目款。2021年柳州市残疾人辅助性就业示范基地项目运营管理服务合同项目款61.13万元，按照合同要求招募满34名辅助性就业对象，并提供所需材料后支付60%，即36.678万元，现只支付18.97万元，未能全部达到预期指标。下一步改进措施：一是</w:t>
      </w:r>
      <w:r>
        <w:rPr>
          <w:rFonts w:ascii="仿宋_GB2312" w:eastAsia="仿宋_GB2312" w:cs="仿宋_GB2312"/>
          <w:color w:val="auto"/>
          <w:kern w:val="0"/>
          <w:sz w:val="32"/>
          <w:szCs w:val="32"/>
        </w:rPr>
        <w:t>加快资金支付力度</w:t>
      </w:r>
      <w:r>
        <w:rPr>
          <w:rFonts w:hint="eastAsia" w:ascii="仿宋_GB2312" w:eastAsia="仿宋_GB2312" w:cs="仿宋_GB2312"/>
          <w:color w:val="auto"/>
          <w:kern w:val="0"/>
          <w:sz w:val="32"/>
          <w:szCs w:val="32"/>
        </w:rPr>
        <w:t>，</w:t>
      </w:r>
      <w:r>
        <w:rPr>
          <w:rFonts w:ascii="仿宋_GB2312" w:eastAsia="仿宋_GB2312" w:cs="仿宋_GB2312"/>
          <w:color w:val="auto"/>
          <w:kern w:val="0"/>
          <w:sz w:val="32"/>
          <w:szCs w:val="32"/>
        </w:rPr>
        <w:t>确保年底资金没有结余</w:t>
      </w:r>
      <w:r>
        <w:rPr>
          <w:rFonts w:hint="eastAsia" w:ascii="仿宋_GB2312" w:eastAsia="仿宋_GB2312" w:cs="仿宋_GB2312"/>
          <w:color w:val="auto"/>
          <w:kern w:val="0"/>
          <w:sz w:val="32"/>
          <w:szCs w:val="32"/>
        </w:rPr>
        <w:t>；二是</w:t>
      </w:r>
      <w:r>
        <w:rPr>
          <w:rFonts w:ascii="仿宋_GB2312" w:eastAsia="仿宋_GB2312" w:cs="仿宋_GB2312"/>
          <w:color w:val="auto"/>
          <w:kern w:val="0"/>
          <w:sz w:val="32"/>
          <w:szCs w:val="32"/>
        </w:rPr>
        <w:t>项目资金做到早安排早下达</w:t>
      </w:r>
      <w:r>
        <w:rPr>
          <w:rFonts w:hint="eastAsia" w:ascii="仿宋_GB2312" w:eastAsia="仿宋_GB2312" w:cs="仿宋_GB2312"/>
          <w:color w:val="auto"/>
          <w:kern w:val="0"/>
          <w:sz w:val="32"/>
          <w:szCs w:val="32"/>
        </w:rPr>
        <w:t>，</w:t>
      </w:r>
      <w:r>
        <w:rPr>
          <w:rFonts w:ascii="仿宋_GB2312" w:eastAsia="仿宋_GB2312" w:cs="仿宋_GB2312"/>
          <w:color w:val="auto"/>
          <w:kern w:val="0"/>
          <w:sz w:val="32"/>
          <w:szCs w:val="32"/>
        </w:rPr>
        <w:t>充分考虑各种因素，确保年底</w:t>
      </w:r>
      <w:r>
        <w:rPr>
          <w:rFonts w:hint="eastAsia" w:ascii="仿宋_GB2312" w:eastAsia="仿宋_GB2312" w:cs="仿宋_GB2312"/>
          <w:color w:val="auto"/>
          <w:kern w:val="0"/>
          <w:sz w:val="32"/>
          <w:szCs w:val="32"/>
        </w:rPr>
        <w:t>项目完成</w:t>
      </w:r>
      <w:r>
        <w:rPr>
          <w:rFonts w:ascii="仿宋_GB2312" w:eastAsia="仿宋_GB2312" w:cs="仿宋_GB2312"/>
          <w:color w:val="auto"/>
          <w:kern w:val="0"/>
          <w:sz w:val="32"/>
          <w:szCs w:val="32"/>
        </w:rPr>
        <w:t>。</w:t>
      </w:r>
    </w:p>
    <w:p>
      <w:pPr>
        <w:spacing w:line="560" w:lineRule="exact"/>
        <w:ind w:firstLine="640" w:firstLineChars="200"/>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 </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0"/>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ind w:firstLine="640"/>
        <w:rPr>
          <w:rFonts w:hint="eastAsia"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六、年初结转和结余：指以前年度尚未完成、结转到本年 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十、项目支出：指在基本支出之外为完成特定行政任务和事业发展目标所发生的支出。 </w:t>
      </w:r>
    </w:p>
    <w:p>
      <w:pPr>
        <w:ind w:firstLine="640"/>
        <w:rPr>
          <w:rFonts w:hint="eastAsia" w:ascii="仿宋_GB2312" w:eastAsia="仿宋_GB2312"/>
          <w:color w:val="auto"/>
          <w:sz w:val="32"/>
          <w:szCs w:val="32"/>
        </w:rPr>
      </w:pPr>
      <w:r>
        <w:rPr>
          <w:rFonts w:hint="eastAsia" w:ascii="仿宋_GB2312" w:eastAsia="仿宋_GB2312"/>
          <w:color w:val="auto"/>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十二、“三公”经费：纳入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color w:val="auto"/>
          <w:kern w:val="0"/>
          <w:sz w:val="32"/>
          <w:szCs w:val="32"/>
        </w:rPr>
      </w:pPr>
    </w:p>
    <w:p>
      <w:pPr>
        <w:rPr>
          <w:color w:val="auto"/>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4444E"/>
    <w:multiLevelType w:val="singleLevel"/>
    <w:tmpl w:val="E8A444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172A27"/>
    <w:rsid w:val="01D54D98"/>
    <w:rsid w:val="03205376"/>
    <w:rsid w:val="03B16F15"/>
    <w:rsid w:val="04422422"/>
    <w:rsid w:val="04576130"/>
    <w:rsid w:val="04EF3CDE"/>
    <w:rsid w:val="067515A0"/>
    <w:rsid w:val="07163D83"/>
    <w:rsid w:val="083E0795"/>
    <w:rsid w:val="09343478"/>
    <w:rsid w:val="0B4109E3"/>
    <w:rsid w:val="0B571845"/>
    <w:rsid w:val="0D4C78BD"/>
    <w:rsid w:val="0DD50723"/>
    <w:rsid w:val="0DEA1BCB"/>
    <w:rsid w:val="0E74382D"/>
    <w:rsid w:val="0F010435"/>
    <w:rsid w:val="0FCE4AE0"/>
    <w:rsid w:val="10861CB0"/>
    <w:rsid w:val="126C0172"/>
    <w:rsid w:val="152F6A2B"/>
    <w:rsid w:val="15C565C8"/>
    <w:rsid w:val="167504A0"/>
    <w:rsid w:val="16BB6FEA"/>
    <w:rsid w:val="170C0F7D"/>
    <w:rsid w:val="18241D84"/>
    <w:rsid w:val="18B73993"/>
    <w:rsid w:val="1A9F2F51"/>
    <w:rsid w:val="1AE45BF4"/>
    <w:rsid w:val="1B6848B0"/>
    <w:rsid w:val="1C286558"/>
    <w:rsid w:val="1DFB3BE0"/>
    <w:rsid w:val="1DFF2747"/>
    <w:rsid w:val="1F0449FF"/>
    <w:rsid w:val="1FAF0094"/>
    <w:rsid w:val="1FC236C1"/>
    <w:rsid w:val="1FCE0CE7"/>
    <w:rsid w:val="20970AC6"/>
    <w:rsid w:val="214560D2"/>
    <w:rsid w:val="24970857"/>
    <w:rsid w:val="26460DBA"/>
    <w:rsid w:val="290128D1"/>
    <w:rsid w:val="29DC7ED1"/>
    <w:rsid w:val="29E82DBD"/>
    <w:rsid w:val="2A351FC9"/>
    <w:rsid w:val="2C4219FE"/>
    <w:rsid w:val="2C4E5273"/>
    <w:rsid w:val="2D2473FC"/>
    <w:rsid w:val="2DC84D69"/>
    <w:rsid w:val="2DD10A68"/>
    <w:rsid w:val="2EF27184"/>
    <w:rsid w:val="2EFA49A9"/>
    <w:rsid w:val="307E5D8A"/>
    <w:rsid w:val="30E630DF"/>
    <w:rsid w:val="318F1765"/>
    <w:rsid w:val="322E684A"/>
    <w:rsid w:val="32C4107A"/>
    <w:rsid w:val="333C5D8B"/>
    <w:rsid w:val="34BD6D0A"/>
    <w:rsid w:val="34DD5737"/>
    <w:rsid w:val="356564FF"/>
    <w:rsid w:val="36B9176F"/>
    <w:rsid w:val="378D42B4"/>
    <w:rsid w:val="394C271F"/>
    <w:rsid w:val="39A63F06"/>
    <w:rsid w:val="3A6F7FA5"/>
    <w:rsid w:val="3A8B1492"/>
    <w:rsid w:val="3ED1439F"/>
    <w:rsid w:val="3F260F89"/>
    <w:rsid w:val="41BF3C3E"/>
    <w:rsid w:val="4337490C"/>
    <w:rsid w:val="437006D9"/>
    <w:rsid w:val="4395786A"/>
    <w:rsid w:val="445F005C"/>
    <w:rsid w:val="44C6288E"/>
    <w:rsid w:val="455844E9"/>
    <w:rsid w:val="45697EC4"/>
    <w:rsid w:val="457E2341"/>
    <w:rsid w:val="463C2CFD"/>
    <w:rsid w:val="470276BB"/>
    <w:rsid w:val="48F12759"/>
    <w:rsid w:val="4B545EAC"/>
    <w:rsid w:val="4BA321E8"/>
    <w:rsid w:val="4C256E3D"/>
    <w:rsid w:val="4CB52F0F"/>
    <w:rsid w:val="4F2F1129"/>
    <w:rsid w:val="509E5CE6"/>
    <w:rsid w:val="50A37D3B"/>
    <w:rsid w:val="518F6BA3"/>
    <w:rsid w:val="532F1F9A"/>
    <w:rsid w:val="53CD26A9"/>
    <w:rsid w:val="54166F16"/>
    <w:rsid w:val="54EA382C"/>
    <w:rsid w:val="55CA28B8"/>
    <w:rsid w:val="5EAD6EB3"/>
    <w:rsid w:val="5F8F158D"/>
    <w:rsid w:val="608A7986"/>
    <w:rsid w:val="6126226E"/>
    <w:rsid w:val="61902C1E"/>
    <w:rsid w:val="62163194"/>
    <w:rsid w:val="634F3F7E"/>
    <w:rsid w:val="655928E5"/>
    <w:rsid w:val="664D2ADA"/>
    <w:rsid w:val="698E0D6B"/>
    <w:rsid w:val="6BE37A39"/>
    <w:rsid w:val="6C6021D6"/>
    <w:rsid w:val="6CBB4CF5"/>
    <w:rsid w:val="6DDC699F"/>
    <w:rsid w:val="6E806558"/>
    <w:rsid w:val="701C349A"/>
    <w:rsid w:val="713D28F7"/>
    <w:rsid w:val="725F02E1"/>
    <w:rsid w:val="72A66B8C"/>
    <w:rsid w:val="734B4421"/>
    <w:rsid w:val="73951C43"/>
    <w:rsid w:val="75886935"/>
    <w:rsid w:val="765C11D2"/>
    <w:rsid w:val="76D95799"/>
    <w:rsid w:val="77002F29"/>
    <w:rsid w:val="772A5FEE"/>
    <w:rsid w:val="7C9D4C3B"/>
    <w:rsid w:val="7D18475A"/>
    <w:rsid w:val="7E413C0D"/>
    <w:rsid w:val="7E77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01"/>
    <w:basedOn w:val="5"/>
    <w:qFormat/>
    <w:uiPriority w:val="0"/>
    <w:rPr>
      <w:rFonts w:hint="default" w:ascii="Times New Roman" w:hAnsi="Times New Roman" w:cs="Times New Roman"/>
      <w:color w:val="000000"/>
      <w:sz w:val="24"/>
      <w:szCs w:val="24"/>
      <w:u w:val="none"/>
    </w:rPr>
  </w:style>
  <w:style w:type="character" w:customStyle="1" w:styleId="8">
    <w:name w:val="font51"/>
    <w:basedOn w:val="5"/>
    <w:qFormat/>
    <w:uiPriority w:val="0"/>
    <w:rPr>
      <w:rFonts w:hint="eastAsia" w:ascii="宋体" w:hAnsi="宋体" w:eastAsia="宋体" w:cs="宋体"/>
      <w:color w:val="000000"/>
      <w:sz w:val="24"/>
      <w:szCs w:val="24"/>
      <w:u w:val="none"/>
    </w:rPr>
  </w:style>
  <w:style w:type="character" w:customStyle="1" w:styleId="9">
    <w:name w:val="font7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 w:type="character" w:customStyle="1" w:styleId="11">
    <w:name w:val="font11"/>
    <w:basedOn w:val="5"/>
    <w:qFormat/>
    <w:uiPriority w:val="0"/>
    <w:rPr>
      <w:rFonts w:hint="default" w:ascii="Times New Roman" w:hAnsi="Times New Roman" w:cs="Times New Roman"/>
      <w:color w:val="000000"/>
      <w:sz w:val="18"/>
      <w:szCs w:val="18"/>
      <w:u w:val="none"/>
    </w:rPr>
  </w:style>
  <w:style w:type="character" w:customStyle="1" w:styleId="12">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10234</Words>
  <Characters>12748</Characters>
  <Lines>0</Lines>
  <Paragraphs>0</Paragraphs>
  <TotalTime>11</TotalTime>
  <ScaleCrop>false</ScaleCrop>
  <LinksUpToDate>false</LinksUpToDate>
  <CharactersWithSpaces>13037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2021-08-03T09:00:00Z</cp:lastPrinted>
  <dcterms:modified xsi:type="dcterms:W3CDTF">2023-07-29T05:10:01Z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A562567FF1E4448790B5F109DB88D758</vt:lpwstr>
  </property>
</Properties>
</file>