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体育局</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概况</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_GB2312" w:eastAsia="仿宋_GB2312"/>
          <w:b/>
          <w:sz w:val="32"/>
          <w:szCs w:val="32"/>
        </w:rPr>
      </w:pPr>
      <w:r>
        <w:rPr>
          <w:rFonts w:hint="eastAsia" w:ascii="仿宋_GB2312" w:eastAsia="仿宋_GB2312"/>
          <w:b/>
          <w:sz w:val="32"/>
          <w:szCs w:val="32"/>
        </w:rPr>
        <w:t>一、主要职能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1.贯彻执行国家有关体育工作的方针、政策和法规；研究全市体育发展战略，协调各县（区）体育发展，负责推动多元化体育服务体育建设，推进全市体育公共服务和体育体制改革。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2.拟定全市体育事业发展规划和政策，起草有关规范性文件草案并督促实施。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3.统筹规划全市群众体育发展，负责推行全民健身计划，监督实施国家体育锻炼标准，推动国民体质监测和社会体育指导工作队伍制度建设，指导公共体育设施建设，负责对公共体育设施的监督管理。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color w:val="000000"/>
          <w:sz w:val="32"/>
          <w:szCs w:val="32"/>
        </w:rPr>
        <w:t>统筹规划全市</w:t>
      </w:r>
      <w:r>
        <w:rPr>
          <w:rFonts w:hint="eastAsia" w:ascii="仿宋_GB2312" w:hAnsi="仿宋" w:eastAsia="仿宋_GB2312"/>
          <w:sz w:val="32"/>
          <w:szCs w:val="32"/>
        </w:rPr>
        <w:t>竞技体育发展，设置体育运动项目，指导协调体育训练和体育竞赛，指导运动队伍建设工作。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5.统筹规划全市青少年体育发展，指导和推进青少年体育工作。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6.拟定体育产业发展规划、政策，规范体育服务管理，推动体育标准化建设。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sz w:val="32"/>
          <w:szCs w:val="32"/>
        </w:rPr>
        <w:t>7.</w:t>
      </w:r>
      <w:r>
        <w:rPr>
          <w:rFonts w:hint="eastAsia" w:ascii="仿宋_GB2312" w:hAnsi="仿宋" w:eastAsia="仿宋_GB2312"/>
          <w:color w:val="000000"/>
          <w:sz w:val="32"/>
          <w:szCs w:val="32"/>
        </w:rPr>
        <w:t>指导、管理全市体育外事有关工作，组织开展国际间和港澳台的体育交流与合作。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8.组织体育领域重大科技研究、技术攻关和成果推广。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sz w:val="32"/>
          <w:szCs w:val="32"/>
        </w:rPr>
        <w:t>9.</w:t>
      </w:r>
      <w:r>
        <w:rPr>
          <w:rFonts w:hint="eastAsia" w:ascii="仿宋_GB2312" w:hAnsi="仿宋" w:eastAsia="仿宋_GB2312"/>
          <w:color w:val="000000"/>
          <w:sz w:val="32"/>
          <w:szCs w:val="32"/>
        </w:rPr>
        <w:t>负责组织、协调、监督体育运动的</w:t>
      </w:r>
      <w:r>
        <w:rPr>
          <w:rFonts w:hint="eastAsia" w:ascii="仿宋_GB2312" w:hAnsi="仿宋" w:eastAsia="仿宋_GB2312"/>
          <w:sz w:val="32"/>
          <w:szCs w:val="32"/>
        </w:rPr>
        <w:t>反兴奋剂工作。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10.为柳州市政府主办的各种大型群众性体育赛事及活动提供比赛场地与相关服务；为柳州市全民健身运动提供良好的健身环境。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11.监督市属体育场馆在规定时段内免费低收费对外开放。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12.选拔、招录、培养和输送高水平竞技体育后备人才及各类社会体育专业人才。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13.做好体校学生教学、训练、思想教育和日常生活管理，同时协调各类体育比赛活动。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14.组织开展社会体育项目推广、培训等活动，培育社会指导员负责体育项目推广工作。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15.承办市人民政府交办的其他事项。</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黑体" w:hAnsi="黑体" w:eastAsia="黑体" w:cs="黑体"/>
          <w:b/>
          <w:bCs/>
          <w:color w:val="000000"/>
          <w:sz w:val="32"/>
          <w:szCs w:val="32"/>
        </w:rPr>
      </w:pPr>
      <w:r>
        <w:rPr>
          <w:rFonts w:hint="eastAsia" w:ascii="仿宋_GB2312" w:eastAsia="仿宋_GB2312"/>
          <w:b/>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ascii="仿宋" w:hAnsi="仿宋" w:eastAsia="仿宋" w:cs="仿宋"/>
          <w:sz w:val="32"/>
          <w:szCs w:val="32"/>
        </w:rPr>
      </w:pPr>
      <w:r>
        <w:rPr>
          <w:rFonts w:ascii="仿宋_GB2312" w:hAnsi="宋体" w:eastAsia="仿宋_GB2312" w:cs="仿宋_GB2312"/>
          <w:color w:val="333333"/>
          <w:sz w:val="31"/>
          <w:szCs w:val="31"/>
          <w:shd w:val="clear" w:color="auto" w:fill="FFFFFF"/>
        </w:rPr>
        <w:t>柳州市体育局机关属行政单位，内设办公室、人事宣传教育科、群众体育科、竞技体育科。体育局二层下属单位2个，均为全额拨款事业单位，分别为：柳州市体育运动学校、柳州市社会体育运动发展中心。</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hint="eastAsia" w:ascii="仿宋_GB2312" w:hAnsi="宋体" w:eastAsia="仿宋_GB2312" w:cs="仿宋_GB2312"/>
          <w:color w:val="333333"/>
          <w:sz w:val="31"/>
          <w:szCs w:val="31"/>
          <w:shd w:val="clear" w:color="auto" w:fill="FFFFFF"/>
          <w:lang w:eastAsia="zh-CN"/>
        </w:rPr>
      </w:pPr>
      <w:r>
        <w:rPr>
          <w:rFonts w:hint="eastAsia" w:ascii="仿宋_GB2312" w:hAnsi="宋体" w:eastAsia="仿宋_GB2312" w:cs="仿宋_GB2312"/>
          <w:color w:val="333333"/>
          <w:sz w:val="31"/>
          <w:szCs w:val="31"/>
          <w:shd w:val="clear" w:color="auto" w:fill="FFFFFF"/>
        </w:rPr>
        <w:t>此部分另附表格，详见附件</w:t>
      </w:r>
      <w:r>
        <w:rPr>
          <w:rFonts w:hint="eastAsia" w:ascii="仿宋_GB2312" w:hAnsi="宋体" w:eastAsia="仿宋_GB2312" w:cs="仿宋_GB2312"/>
          <w:color w:val="333333"/>
          <w:sz w:val="31"/>
          <w:szCs w:val="31"/>
          <w:shd w:val="clear" w:color="auto" w:fill="FFFFFF"/>
          <w:lang w:val="en-US" w:eastAsia="zh-CN"/>
        </w:rPr>
        <w:t>1</w:t>
      </w:r>
      <w:r>
        <w:rPr>
          <w:rFonts w:hint="eastAsia" w:ascii="仿宋_GB2312" w:hAnsi="宋体" w:eastAsia="仿宋_GB2312" w:cs="仿宋_GB2312"/>
          <w:color w:val="333333"/>
          <w:sz w:val="31"/>
          <w:szCs w:val="31"/>
          <w:shd w:val="clear" w:color="auto" w:fill="FFFFFF"/>
        </w:rPr>
        <w:t>：</w:t>
      </w:r>
      <w:r>
        <w:rPr>
          <w:rFonts w:hint="eastAsia" w:ascii="仿宋_GB2312" w:hAnsi="宋体" w:eastAsia="仿宋_GB2312" w:cs="仿宋_GB2312"/>
          <w:color w:val="333333"/>
          <w:sz w:val="31"/>
          <w:szCs w:val="31"/>
          <w:shd w:val="clear" w:color="auto" w:fill="FFFFFF"/>
          <w:lang w:val="en-US" w:eastAsia="zh-CN"/>
        </w:rPr>
        <w:t>柳州市体育局</w:t>
      </w:r>
      <w:r>
        <w:rPr>
          <w:rFonts w:hint="eastAsia" w:ascii="仿宋_GB2312" w:hAnsi="宋体" w:eastAsia="仿宋_GB2312" w:cs="仿宋_GB2312"/>
          <w:color w:val="333333"/>
          <w:sz w:val="31"/>
          <w:szCs w:val="31"/>
          <w:shd w:val="clear" w:color="auto" w:fill="FFFFFF"/>
        </w:rPr>
        <w:t>202</w:t>
      </w:r>
      <w:r>
        <w:rPr>
          <w:rFonts w:hint="eastAsia" w:ascii="仿宋_GB2312" w:hAnsi="宋体" w:eastAsia="仿宋_GB2312" w:cs="仿宋_GB2312"/>
          <w:color w:val="333333"/>
          <w:sz w:val="31"/>
          <w:szCs w:val="31"/>
          <w:shd w:val="clear" w:color="auto" w:fill="FFFFFF"/>
          <w:lang w:val="en-US" w:eastAsia="zh-CN"/>
        </w:rPr>
        <w:t>1</w:t>
      </w:r>
      <w:r>
        <w:rPr>
          <w:rFonts w:hint="eastAsia" w:ascii="仿宋_GB2312" w:hAnsi="宋体" w:eastAsia="仿宋_GB2312" w:cs="仿宋_GB2312"/>
          <w:color w:val="333333"/>
          <w:sz w:val="31"/>
          <w:szCs w:val="31"/>
          <w:shd w:val="clear" w:color="auto" w:fill="FFFFFF"/>
        </w:rPr>
        <w:t>年度部门决算公开表</w:t>
      </w:r>
      <w:r>
        <w:rPr>
          <w:rFonts w:hint="eastAsia" w:ascii="仿宋_GB2312" w:hAnsi="宋体" w:eastAsia="仿宋_GB2312" w:cs="仿宋_GB2312"/>
          <w:color w:val="333333"/>
          <w:sz w:val="31"/>
          <w:szCs w:val="31"/>
          <w:shd w:val="clear" w:color="auto" w:fill="FFFFFF"/>
          <w:lang w:eastAsia="zh-CN"/>
        </w:rPr>
        <w:t>。</w:t>
      </w:r>
    </w:p>
    <w:p>
      <w:pPr>
        <w:spacing w:line="580" w:lineRule="exact"/>
        <w:ind w:firstLine="640" w:firstLineChars="200"/>
        <w:rPr>
          <w:rFonts w:hint="eastAsia" w:ascii="仿宋_GB2312" w:hAnsi="黑体" w:eastAsia="仿宋_GB2312"/>
          <w:sz w:val="32"/>
          <w:szCs w:val="32"/>
        </w:r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柳州市体育局</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w:t>
      </w:r>
      <w:r>
        <w:rPr>
          <w:rFonts w:hint="eastAsia" w:eastAsia="仿宋_GB2312"/>
          <w:b/>
          <w:kern w:val="0"/>
          <w:sz w:val="32"/>
          <w:szCs w:val="32"/>
          <w:lang w:val="en-US" w:eastAsia="zh-CN"/>
        </w:rPr>
        <w:t>1</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cs="仿宋_GB2312"/>
          <w:bCs/>
          <w:kern w:val="0"/>
          <w:sz w:val="32"/>
          <w:szCs w:val="32"/>
          <w:lang w:val="en-US" w:eastAsia="zh-CN"/>
        </w:rPr>
        <w:t>6564.58</w:t>
      </w:r>
      <w:r>
        <w:rPr>
          <w:rFonts w:hint="eastAsia" w:ascii="仿宋_GB2312" w:eastAsia="仿宋_GB2312" w:cs="仿宋_GB2312"/>
          <w:bCs/>
          <w:kern w:val="0"/>
          <w:sz w:val="32"/>
          <w:szCs w:val="32"/>
        </w:rPr>
        <w:t>万元，</w:t>
      </w:r>
      <w:r>
        <w:rPr>
          <w:rFonts w:hint="eastAsia" w:ascii="仿宋_GB2312" w:eastAsia="仿宋_GB2312" w:cs="仿宋_GB2312"/>
          <w:kern w:val="0"/>
          <w:sz w:val="32"/>
          <w:szCs w:val="32"/>
        </w:rPr>
        <w:t>其中本年收入</w:t>
      </w:r>
      <w:r>
        <w:rPr>
          <w:rFonts w:hint="eastAsia" w:ascii="仿宋_GB2312" w:eastAsia="仿宋_GB2312" w:cs="仿宋_GB2312"/>
          <w:kern w:val="0"/>
          <w:sz w:val="32"/>
          <w:szCs w:val="32"/>
          <w:lang w:val="en-US" w:eastAsia="zh-CN"/>
        </w:rPr>
        <w:t>6557.83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101.76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1.57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6342.43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702.88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12.46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一是本年度新增项目柳州市第十五届运动会经费；二是疫情好转，部分国际、国内赛事重新开始举办。</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215.40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602.66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73.67</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本年度自治区体育局未下拨体彩公益金。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val="en-US" w:eastAsia="zh-CN"/>
        </w:rPr>
        <w:t>持平。</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6.75</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减少1.54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下降29.56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财政批准结转养老保险资金。</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cs="仿宋_GB2312"/>
          <w:bCs/>
          <w:kern w:val="0"/>
          <w:sz w:val="32"/>
          <w:szCs w:val="32"/>
          <w:lang w:val="en-US" w:eastAsia="zh-CN"/>
        </w:rPr>
        <w:t>6564.58</w:t>
      </w:r>
      <w:r>
        <w:rPr>
          <w:rFonts w:hint="eastAsia" w:ascii="仿宋_GB2312" w:eastAsia="仿宋_GB2312" w:cs="仿宋_GB2312"/>
          <w:bCs/>
          <w:kern w:val="0"/>
          <w:sz w:val="32"/>
          <w:szCs w:val="32"/>
        </w:rPr>
        <w:t>万元，</w:t>
      </w:r>
      <w:r>
        <w:rPr>
          <w:rFonts w:hint="eastAsia" w:ascii="仿宋_GB2312" w:eastAsia="仿宋_GB2312" w:cs="仿宋_GB2312"/>
          <w:kern w:val="0"/>
          <w:sz w:val="32"/>
          <w:szCs w:val="32"/>
        </w:rPr>
        <w:t>其中本年支出</w:t>
      </w:r>
      <w:r>
        <w:rPr>
          <w:rFonts w:hint="eastAsia" w:ascii="仿宋_GB2312" w:eastAsia="仿宋_GB2312" w:cs="仿宋_GB2312"/>
          <w:kern w:val="0"/>
          <w:sz w:val="32"/>
          <w:szCs w:val="32"/>
          <w:lang w:val="en-US" w:eastAsia="zh-CN"/>
        </w:rPr>
        <w:t>6564.58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101.76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1.57</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.一般公共服务支出</w:t>
      </w:r>
      <w:r>
        <w:rPr>
          <w:rFonts w:hint="eastAsia" w:ascii="仿宋_GB2312" w:eastAsia="仿宋_GB2312" w:cs="仿宋_GB2312"/>
          <w:kern w:val="0"/>
          <w:sz w:val="32"/>
          <w:szCs w:val="32"/>
          <w:highlight w:val="none"/>
          <w:lang w:val="en-US" w:eastAsia="zh-CN"/>
        </w:rPr>
        <w:t>1.51</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val="en-US" w:eastAsia="zh-CN"/>
        </w:rPr>
        <w:t>政务公开审批支出，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1.51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年中追加经费。</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2.文化旅游体育与传媒支出5296.79万元：主要用于人员工资、单位日常运转经费以及各项国际国内体育赛事、活动支出。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653.24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14.07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一是本年度新增项目柳州市第十五届运动会经费；二是疫情好转，部分国际、国内赛事重新开始举办。</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3.社会保障和就业支出650.01万元：主要用于行政事业单位离退休经费支出。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116.35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21.80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一是本年度退休人员春节慰问标准提高，二是社保基数上调，养老保险、职业年金支出增加。</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4.卫生健康支出143.30万元：主要用于行政事业单位医疗及公务员医疗保险支出。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19.86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12.17</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本年度未缴纳退休人员公务员医疗补助。</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5.城乡社区支出0万元，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w:t>
      </w:r>
      <w:r>
        <w:rPr>
          <w:rFonts w:hint="eastAsia" w:ascii="仿宋_GB2312" w:hAnsi="黑体" w:eastAsia="仿宋_GB2312" w:cs="仿宋_GB2312"/>
          <w:kern w:val="0"/>
          <w:sz w:val="32"/>
          <w:szCs w:val="32"/>
        </w:rPr>
        <w:t xml:space="preserve"> 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本年度无该类项目。</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6.住房保障支出257.56万元：主要用于职工公积金支出。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47.63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22.69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人员工资、绩效增加，公积金缴存基数增长。</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7.其他支出215.40万元：主要用于体育赛事、活动支出。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602.66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73.67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本年度未下拨体彩公益金。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较2020年度持平。</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79.46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本年度无年末结转结余资金。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6349.18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783.88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14.09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3668.20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2680.98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5975.03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6349.18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106.26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hAnsi="黑体" w:eastAsia="仿宋_GB2312" w:cs="仿宋_GB2312"/>
          <w:kern w:val="0"/>
          <w:sz w:val="32"/>
          <w:szCs w:val="32"/>
          <w:lang w:val="en-US" w:eastAsia="zh-CN"/>
        </w:rPr>
        <w:t>（一）一般公共服务支出（类）政府办公厅（室）及相关机构事务（款）政务公开审批（项）。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1.51</w:t>
      </w:r>
      <w:r>
        <w:rPr>
          <w:rFonts w:hint="eastAsia" w:ascii="仿宋_GB2312" w:hAnsi="黑体" w:eastAsia="仿宋_GB2312" w:cs="仿宋_GB2312"/>
          <w:kern w:val="0"/>
          <w:sz w:val="32"/>
          <w:szCs w:val="32"/>
        </w:rPr>
        <w:t xml:space="preserve"> 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决算数大于预算数的主要原因是</w:t>
      </w:r>
      <w:r>
        <w:rPr>
          <w:rFonts w:hint="eastAsia" w:ascii="仿宋_GB2312" w:hAnsi="黑体" w:eastAsia="仿宋_GB2312" w:cs="仿宋_GB2312"/>
          <w:kern w:val="0"/>
          <w:sz w:val="32"/>
          <w:szCs w:val="32"/>
          <w:highlight w:val="none"/>
          <w:lang w:val="en-US" w:eastAsia="zh-CN"/>
        </w:rPr>
        <w:t>追加经费。</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kern w:val="0"/>
          <w:sz w:val="32"/>
          <w:szCs w:val="32"/>
          <w:lang w:val="en-US" w:eastAsia="zh-CN"/>
        </w:rPr>
        <w:t>（二）文化旅游体育与传媒支出（类）体育（款）行政运行（项）。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241.96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307.05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126.90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决算数大于预算数的主要原因</w:t>
      </w:r>
      <w:r>
        <w:rPr>
          <w:rFonts w:hint="eastAsia" w:ascii="仿宋_GB2312" w:eastAsia="仿宋_GB2312" w:cs="仿宋_GB2312"/>
          <w:bCs/>
          <w:kern w:val="0"/>
          <w:sz w:val="32"/>
          <w:szCs w:val="32"/>
          <w:highlight w:val="none"/>
          <w:lang w:val="en-US" w:eastAsia="zh-CN"/>
        </w:rPr>
        <w:t>一</w:t>
      </w:r>
      <w:r>
        <w:rPr>
          <w:rFonts w:hint="eastAsia" w:ascii="仿宋_GB2312" w:eastAsia="仿宋_GB2312" w:cs="仿宋_GB2312"/>
          <w:bCs/>
          <w:kern w:val="0"/>
          <w:sz w:val="32"/>
          <w:szCs w:val="32"/>
          <w:highlight w:val="none"/>
        </w:rPr>
        <w:t>是</w:t>
      </w:r>
      <w:r>
        <w:rPr>
          <w:rFonts w:hint="eastAsia" w:ascii="仿宋_GB2312" w:eastAsia="仿宋_GB2312" w:cs="仿宋_GB2312"/>
          <w:bCs/>
          <w:kern w:val="0"/>
          <w:sz w:val="32"/>
          <w:szCs w:val="32"/>
          <w:highlight w:val="none"/>
          <w:lang w:val="en-US" w:eastAsia="zh-CN"/>
        </w:rPr>
        <w:t>年度增人增资</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支出增加，二是新增人员福利费。</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kern w:val="0"/>
          <w:sz w:val="32"/>
          <w:szCs w:val="32"/>
          <w:lang w:val="en-US" w:eastAsia="zh-CN"/>
        </w:rPr>
        <w:t>（三）文化旅游体育与传媒支出（类）体育（款）体育竞赛（项）。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1680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889.83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52.97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因疫情影响，部分国际国内赛事暂停举办。</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kern w:val="0"/>
          <w:sz w:val="32"/>
          <w:szCs w:val="32"/>
          <w:lang w:val="en-US" w:eastAsia="zh-CN"/>
        </w:rPr>
        <w:t>（四）文化旅游体育与传媒支出（类）体育（款）体育场馆（项）。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368.21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668.65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181.59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追加市属大型体育场馆免、低收费对外开放专项资金。</w:t>
      </w:r>
    </w:p>
    <w:p>
      <w:pPr>
        <w:numPr>
          <w:ilvl w:val="0"/>
          <w:numId w:val="0"/>
        </w:num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（五）</w:t>
      </w:r>
      <w:r>
        <w:rPr>
          <w:rFonts w:hint="eastAsia" w:ascii="仿宋_GB2312" w:eastAsia="仿宋_GB2312" w:cs="仿宋_GB2312"/>
          <w:kern w:val="0"/>
          <w:sz w:val="32"/>
          <w:szCs w:val="32"/>
          <w:lang w:val="en-US" w:eastAsia="zh-CN"/>
        </w:rPr>
        <w:t>文化旅游体育与传媒支出（类）体育（款）</w:t>
      </w:r>
      <w:r>
        <w:rPr>
          <w:rFonts w:hint="eastAsia" w:ascii="仿宋_GB2312" w:eastAsia="仿宋_GB2312" w:cs="仿宋_GB2312"/>
          <w:bCs/>
          <w:kern w:val="0"/>
          <w:sz w:val="32"/>
          <w:szCs w:val="32"/>
          <w:highlight w:val="none"/>
          <w:lang w:val="en-US" w:eastAsia="zh-CN"/>
        </w:rPr>
        <w:t>群众体育</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2611.96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3363.91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128.79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追加2020年度人员绩效以及公共体育项目资金。</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val="en-US" w:eastAsia="zh-CN"/>
        </w:rPr>
        <w:t>（六）</w:t>
      </w:r>
      <w:r>
        <w:rPr>
          <w:rFonts w:hint="eastAsia" w:ascii="仿宋_GB2312" w:eastAsia="仿宋_GB2312" w:cs="仿宋_GB2312"/>
          <w:kern w:val="0"/>
          <w:sz w:val="32"/>
          <w:szCs w:val="32"/>
          <w:lang w:val="en-US" w:eastAsia="zh-CN"/>
        </w:rPr>
        <w:t>文化旅游体育与传媒支出（类）体育（款）</w:t>
      </w:r>
      <w:r>
        <w:rPr>
          <w:rFonts w:hint="eastAsia" w:ascii="仿宋_GB2312" w:eastAsia="仿宋_GB2312" w:cs="仿宋_GB2312"/>
          <w:bCs/>
          <w:kern w:val="0"/>
          <w:sz w:val="32"/>
          <w:szCs w:val="32"/>
          <w:highlight w:val="none"/>
          <w:lang w:val="en-US" w:eastAsia="zh-CN"/>
        </w:rPr>
        <w:t>体育交流与合作</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2.70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2.70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等</w:t>
      </w:r>
      <w:r>
        <w:rPr>
          <w:rFonts w:hint="eastAsia" w:ascii="仿宋_GB2312" w:eastAsia="仿宋_GB2312" w:cs="仿宋_GB2312"/>
          <w:bCs/>
          <w:kern w:val="0"/>
          <w:sz w:val="32"/>
          <w:szCs w:val="32"/>
          <w:highlight w:val="none"/>
        </w:rPr>
        <w:t>于预算数</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（七）</w:t>
      </w:r>
      <w:r>
        <w:rPr>
          <w:rFonts w:hint="eastAsia" w:ascii="仿宋_GB2312" w:eastAsia="仿宋_GB2312" w:cs="仿宋_GB2312"/>
          <w:kern w:val="0"/>
          <w:sz w:val="32"/>
          <w:szCs w:val="32"/>
          <w:lang w:val="en-US" w:eastAsia="zh-CN"/>
        </w:rPr>
        <w:t>文化旅游体育与传媒支出（类）体育（款）</w:t>
      </w:r>
      <w:r>
        <w:rPr>
          <w:rFonts w:hint="eastAsia" w:ascii="仿宋_GB2312" w:eastAsia="仿宋_GB2312" w:cs="仿宋_GB2312"/>
          <w:bCs/>
          <w:kern w:val="0"/>
          <w:sz w:val="32"/>
          <w:szCs w:val="32"/>
          <w:highlight w:val="none"/>
          <w:lang w:val="en-US" w:eastAsia="zh-CN"/>
        </w:rPr>
        <w:t>其他体育支出</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73.53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64.66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87.94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因疫情影响，部分赛事、活动暂停举办。</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（八）社会保障和就业支出（类）行政事业单位养老支出（款）行政单位离退休（项）。年初预算35.61万元，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40.21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112.92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退休人员春节慰问标准提高。</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（九）社会保障和就业支出（类）行政事业单位养老支出（款）事业单位离退休</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。年初预算144.01万元，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164.84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114.46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退休人员春节慰问标准提高。</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hAnsi="黑体" w:eastAsia="仿宋_GB2312" w:cs="仿宋_GB2312"/>
          <w:kern w:val="0"/>
          <w:sz w:val="32"/>
          <w:szCs w:val="32"/>
          <w:lang w:val="en-US" w:eastAsia="zh-CN"/>
        </w:rPr>
        <w:t>（十）</w:t>
      </w:r>
      <w:r>
        <w:rPr>
          <w:rFonts w:hint="eastAsia" w:ascii="仿宋_GB2312" w:eastAsia="仿宋_GB2312" w:cs="仿宋_GB2312"/>
          <w:bCs/>
          <w:kern w:val="0"/>
          <w:sz w:val="32"/>
          <w:szCs w:val="32"/>
          <w:highlight w:val="none"/>
          <w:lang w:val="en-US" w:eastAsia="zh-CN"/>
        </w:rPr>
        <w:t>社会保障和就业支出（类）行政事业单位养老支出（款）</w:t>
      </w:r>
      <w:r>
        <w:rPr>
          <w:rFonts w:hint="eastAsia" w:ascii="仿宋_GB2312" w:hAnsi="黑体" w:eastAsia="仿宋_GB2312" w:cs="仿宋_GB2312"/>
          <w:kern w:val="0"/>
          <w:sz w:val="32"/>
          <w:szCs w:val="32"/>
        </w:rPr>
        <w:t>机关事业单位基本养老保险缴费支出</w:t>
      </w:r>
      <w:r>
        <w:rPr>
          <w:rFonts w:hint="eastAsia" w:ascii="仿宋_GB2312" w:eastAsia="仿宋_GB2312" w:cs="仿宋_GB2312"/>
          <w:kern w:val="0"/>
          <w:sz w:val="32"/>
          <w:szCs w:val="32"/>
          <w:lang w:val="en-US" w:eastAsia="zh-CN"/>
        </w:rPr>
        <w:t>（项）</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lang w:val="en-US" w:eastAsia="zh-CN"/>
        </w:rPr>
        <w:t>年初预算292.17万元，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297.88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101.95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使用年初结转结余资金。</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（十一）社会保障和就业支出（类）行政事业单位养老支出（款）</w:t>
      </w:r>
      <w:r>
        <w:rPr>
          <w:rFonts w:hint="eastAsia" w:ascii="仿宋_GB2312" w:eastAsia="仿宋_GB2312" w:cs="仿宋_GB2312"/>
          <w:bCs/>
          <w:kern w:val="0"/>
          <w:sz w:val="32"/>
          <w:szCs w:val="32"/>
        </w:rPr>
        <w:t>机关事业单位职业年金缴费支出</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highlight w:val="none"/>
          <w:lang w:val="en-US" w:eastAsia="zh-CN"/>
        </w:rPr>
        <w:t>年初预算146.08万元，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145.72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99.75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本年度局机关新增人员，经费不足以支付全年职业年金缴费，11、12月职业年金未缴纳，故有剩余经费。</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val="en-US" w:eastAsia="zh-CN"/>
        </w:rPr>
        <w:t>（十二）社会保障和就业支出（类）其他社会保障和就业支出（款）其他社会保障和就业支出</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。年初预算1.35万元，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等于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（十三）卫生健康支出（类）行政事业单位医疗（款）行政单位医疗</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。年初预算16.99万元，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16.80</w:t>
      </w:r>
      <w:r>
        <w:rPr>
          <w:rFonts w:hint="eastAsia" w:ascii="仿宋_GB2312" w:hAnsi="黑体" w:eastAsia="仿宋_GB2312" w:cs="仿宋_GB2312"/>
          <w:kern w:val="0"/>
          <w:sz w:val="32"/>
          <w:szCs w:val="32"/>
        </w:rPr>
        <w:t>元，完成年初预算的</w:t>
      </w:r>
      <w:r>
        <w:rPr>
          <w:rFonts w:hint="eastAsia" w:ascii="仿宋_GB2312" w:hAnsi="黑体" w:eastAsia="仿宋_GB2312" w:cs="仿宋_GB2312"/>
          <w:kern w:val="0"/>
          <w:sz w:val="32"/>
          <w:szCs w:val="32"/>
          <w:lang w:val="en-US" w:eastAsia="zh-CN"/>
        </w:rPr>
        <w:t>98.88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本年度新增人员，经费不足以支付全年医疗保险费用，12月医疗保险未缴纳，故有剩余经费。</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（十四）卫生健康支出（类）行政事业单位医疗（款）事业单位医疗</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。年初预算126.46万元，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108.96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86.16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在职人员减少。</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（十五）卫生健康支出（类）行政事业单位医疗（款）公务员医疗补助</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。年初预算14.84万元，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16.82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113.34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社保基数上调，经费支出增加。</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（十六）卫生健康支出（类）行政事业单位医疗（款）其他行政事业单位医疗支出</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。年初预算0万元，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0.72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追加退休人员一次性医疗保险经费。</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（十七</w:t>
      </w:r>
      <w:bookmarkStart w:id="0" w:name="_GoBack"/>
      <w:bookmarkEnd w:id="0"/>
      <w:r>
        <w:rPr>
          <w:rFonts w:hint="eastAsia" w:ascii="仿宋_GB2312" w:eastAsia="仿宋_GB2312" w:cs="仿宋_GB2312"/>
          <w:bCs/>
          <w:kern w:val="0"/>
          <w:sz w:val="32"/>
          <w:szCs w:val="32"/>
          <w:highlight w:val="none"/>
          <w:lang w:val="en-US" w:eastAsia="zh-CN"/>
        </w:rPr>
        <w:t>）住房保障支出（类）住房改革支出（款）住房公积金</w:t>
      </w:r>
      <w:r>
        <w:rPr>
          <w:rFonts w:hint="eastAsia" w:ascii="仿宋_GB2312" w:eastAsia="仿宋_GB2312" w:cs="仿宋_GB2312"/>
          <w:kern w:val="0"/>
          <w:sz w:val="32"/>
          <w:szCs w:val="32"/>
          <w:lang w:val="en-US" w:eastAsia="zh-CN"/>
        </w:rPr>
        <w:t>（项）</w:t>
      </w:r>
      <w:r>
        <w:rPr>
          <w:rFonts w:hint="eastAsia" w:ascii="仿宋_GB2312" w:eastAsia="仿宋_GB2312" w:cs="仿宋_GB2312"/>
          <w:bCs/>
          <w:kern w:val="0"/>
          <w:sz w:val="32"/>
          <w:szCs w:val="32"/>
          <w:highlight w:val="none"/>
          <w:lang w:val="en-US" w:eastAsia="zh-CN"/>
        </w:rPr>
        <w:t>。年初预算219.13万元，</w:t>
      </w:r>
      <w:r>
        <w:rPr>
          <w:rFonts w:hint="eastAsia" w:ascii="仿宋_GB2312" w:hAnsi="黑体" w:eastAsia="仿宋_GB2312" w:cs="仿宋_GB2312"/>
          <w:kern w:val="0"/>
          <w:sz w:val="32"/>
          <w:szCs w:val="32"/>
        </w:rPr>
        <w:t>支出决算为</w:t>
      </w:r>
      <w:r>
        <w:rPr>
          <w:rFonts w:hint="eastAsia" w:ascii="仿宋_GB2312" w:eastAsia="仿宋_GB2312" w:cs="仿宋_GB2312"/>
          <w:bCs/>
          <w:kern w:val="0"/>
          <w:sz w:val="32"/>
          <w:szCs w:val="32"/>
          <w:highlight w:val="none"/>
          <w:lang w:val="en-US" w:eastAsia="zh-CN"/>
        </w:rPr>
        <w:t>257.56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117.54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人员工资、绩效增加，经费支出增加。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26" w:firstLineChars="200"/>
        <w:jc w:val="left"/>
        <w:rPr>
          <w:rFonts w:hint="eastAsia" w:ascii="仿宋_GB2312" w:eastAsia="仿宋_GB2312" w:cs="仿宋_GB2312"/>
          <w:w w:val="98"/>
          <w:kern w:val="0"/>
          <w:sz w:val="32"/>
          <w:szCs w:val="32"/>
        </w:rPr>
      </w:pPr>
      <w:r>
        <w:rPr>
          <w:rFonts w:hint="eastAsia" w:ascii="仿宋_GB2312" w:eastAsia="仿宋_GB2312" w:cs="仿宋_GB2312"/>
          <w:w w:val="98"/>
          <w:kern w:val="0"/>
          <w:sz w:val="32"/>
          <w:szCs w:val="32"/>
        </w:rPr>
        <w:t>本部门</w:t>
      </w:r>
      <w:r>
        <w:rPr>
          <w:rFonts w:hint="eastAsia" w:ascii="仿宋_GB2312" w:eastAsia="仿宋_GB2312" w:cs="仿宋_GB2312"/>
          <w:w w:val="98"/>
          <w:kern w:val="0"/>
          <w:sz w:val="32"/>
          <w:szCs w:val="32"/>
          <w:lang w:eastAsia="zh-CN"/>
        </w:rPr>
        <w:t>2021</w:t>
      </w:r>
      <w:r>
        <w:rPr>
          <w:rFonts w:hint="eastAsia" w:ascii="仿宋_GB2312" w:eastAsia="仿宋_GB2312" w:cs="仿宋_GB2312"/>
          <w:w w:val="98"/>
          <w:kern w:val="0"/>
          <w:sz w:val="32"/>
          <w:szCs w:val="32"/>
        </w:rPr>
        <w:t>年度</w:t>
      </w:r>
      <w:r>
        <w:rPr>
          <w:rFonts w:hint="eastAsia" w:ascii="仿宋_GB2312" w:eastAsia="仿宋_GB2312"/>
          <w:w w:val="98"/>
          <w:sz w:val="32"/>
          <w:szCs w:val="32"/>
        </w:rPr>
        <w:t>一般</w:t>
      </w:r>
      <w:r>
        <w:rPr>
          <w:rFonts w:hint="eastAsia" w:ascii="仿宋_GB2312" w:eastAsia="仿宋_GB2312" w:cs="仿宋_GB2312"/>
          <w:w w:val="98"/>
          <w:kern w:val="0"/>
          <w:sz w:val="32"/>
          <w:szCs w:val="32"/>
        </w:rPr>
        <w:t>公共预算财政拨款基本支</w:t>
      </w:r>
      <w:r>
        <w:rPr>
          <w:rFonts w:hint="eastAsia" w:ascii="仿宋_GB2312" w:eastAsia="仿宋_GB2312" w:cs="仿宋_GB2312"/>
          <w:w w:val="98"/>
          <w:kern w:val="0"/>
          <w:sz w:val="32"/>
          <w:szCs w:val="32"/>
          <w:lang w:val="en-US" w:eastAsia="zh-CN"/>
        </w:rPr>
        <w:t>出3668.20</w:t>
      </w:r>
      <w:r>
        <w:rPr>
          <w:rFonts w:hint="eastAsia" w:ascii="仿宋_GB2312" w:eastAsia="仿宋_GB2312" w:cs="仿宋_GB2312"/>
          <w:w w:val="98"/>
          <w:kern w:val="0"/>
          <w:sz w:val="32"/>
          <w:szCs w:val="32"/>
        </w:rPr>
        <w:t>万元，支出具体情况如下：</w:t>
      </w:r>
    </w:p>
    <w:p>
      <w:pPr>
        <w:numPr>
          <w:ilvl w:val="0"/>
          <w:numId w:val="0"/>
        </w:numPr>
        <w:autoSpaceDE w:val="0"/>
        <w:autoSpaceDN w:val="0"/>
        <w:adjustRightInd w:val="0"/>
        <w:spacing w:line="560" w:lineRule="exact"/>
        <w:ind w:firstLine="640" w:firstLineChars="200"/>
        <w:jc w:val="left"/>
        <w:rPr>
          <w:rFonts w:hint="eastAsia" w:ascii="仿宋_GB2312" w:eastAsia="仿宋_GB2312"/>
          <w:bCs/>
          <w:kern w:val="0"/>
          <w:sz w:val="32"/>
          <w:szCs w:val="32"/>
          <w:lang w:val="en-US" w:eastAsia="zh-CN"/>
        </w:rPr>
      </w:pP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一</w:t>
      </w:r>
      <w:r>
        <w:rPr>
          <w:rFonts w:hint="eastAsia" w:ascii="仿宋_GB2312" w:eastAsia="仿宋_GB2312"/>
          <w:bCs/>
          <w:kern w:val="0"/>
          <w:sz w:val="32"/>
          <w:szCs w:val="32"/>
          <w:lang w:eastAsia="zh-CN"/>
        </w:rPr>
        <w:t>）</w:t>
      </w: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3106.50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116.34</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决算数大于预算数的主要原因在于下拨2020年度人员绩效以及本年度人员工资、绩效上调。</w:t>
      </w:r>
    </w:p>
    <w:p>
      <w:pPr>
        <w:numPr>
          <w:ilvl w:val="0"/>
          <w:numId w:val="0"/>
        </w:numPr>
        <w:autoSpaceDE w:val="0"/>
        <w:autoSpaceDN w:val="0"/>
        <w:adjustRightInd w:val="0"/>
        <w:spacing w:line="56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325.42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106.68</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决算数大于预算数的主要原因在于新增人员福利费</w:t>
      </w:r>
      <w:r>
        <w:rPr>
          <w:rFonts w:hint="eastAsia" w:ascii="仿宋_GB2312" w:eastAsia="仿宋_GB2312" w:cs="仿宋_GB2312"/>
          <w:bCs/>
          <w:kern w:val="0"/>
          <w:sz w:val="32"/>
          <w:szCs w:val="32"/>
          <w:highlight w:val="none"/>
          <w:lang w:val="en-US" w:eastAsia="zh-CN"/>
        </w:rPr>
        <w:t>。</w:t>
      </w:r>
    </w:p>
    <w:p>
      <w:pPr>
        <w:numPr>
          <w:ilvl w:val="0"/>
          <w:numId w:val="0"/>
        </w:num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lang w:eastAsia="zh-CN"/>
        </w:rPr>
        <w:t>）</w:t>
      </w:r>
      <w:r>
        <w:rPr>
          <w:rFonts w:hint="eastAsia" w:ascii="仿宋_GB2312" w:eastAsia="仿宋_GB2312"/>
          <w:bCs/>
          <w:kern w:val="0"/>
          <w:sz w:val="32"/>
          <w:szCs w:val="32"/>
          <w:lang w:val="en-US" w:eastAsia="zh-CN"/>
        </w:rPr>
        <w:t>对个人和家庭的补助236.28万元。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149.41</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决算数大于预算数的主要原因在于退休人员春节慰问标准提高。</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215.40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602.66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73.67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215.40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215.40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0"/>
        </w:numPr>
        <w:autoSpaceDE w:val="0"/>
        <w:autoSpaceDN w:val="0"/>
        <w:adjustRightInd w:val="0"/>
        <w:spacing w:line="58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lang w:val="en-US" w:eastAsia="zh-CN"/>
        </w:rPr>
        <w:t>类</w:t>
      </w:r>
      <w:r>
        <w:rPr>
          <w:rFonts w:hint="eastAsia" w:ascii="仿宋_GB2312" w:eastAsia="仿宋_GB2312" w:cs="仿宋_GB2312"/>
          <w:bCs/>
          <w:kern w:val="0"/>
          <w:sz w:val="32"/>
          <w:szCs w:val="32"/>
          <w:lang w:eastAsia="zh-CN"/>
        </w:rPr>
        <w:t>）彩票公益金安排的支出（</w:t>
      </w:r>
      <w:r>
        <w:rPr>
          <w:rFonts w:hint="eastAsia" w:ascii="仿宋_GB2312" w:eastAsia="仿宋_GB2312" w:cs="仿宋_GB2312"/>
          <w:bCs/>
          <w:kern w:val="0"/>
          <w:sz w:val="32"/>
          <w:szCs w:val="32"/>
          <w:lang w:val="en-US" w:eastAsia="zh-CN"/>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用于体育事业的彩票公益金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215.40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bCs/>
          <w:kern w:val="0"/>
          <w:sz w:val="32"/>
          <w:szCs w:val="32"/>
          <w:lang w:val="en-US" w:eastAsia="zh-CN"/>
        </w:rPr>
        <w:t>决算数大于预算数的主要原因是年中</w:t>
      </w:r>
      <w:r>
        <w:rPr>
          <w:rFonts w:hint="eastAsia" w:ascii="仿宋_GB2312" w:hAnsi="黑体" w:eastAsia="仿宋_GB2312" w:cs="仿宋_GB2312"/>
          <w:kern w:val="0"/>
          <w:sz w:val="32"/>
          <w:szCs w:val="32"/>
          <w:lang w:val="en-US" w:eastAsia="zh-CN"/>
        </w:rPr>
        <w:t>追加经费。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柳州市体育局</w:t>
      </w: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1.77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31.72</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加0.65</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疫情好转，部分赛事、活动正常开展，公务接待费用增加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1.77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bCs/>
          <w:kern w:val="0"/>
          <w:sz w:val="32"/>
          <w:szCs w:val="32"/>
          <w:lang w:val="en-US" w:eastAsia="zh-CN"/>
        </w:rPr>
        <w:t>2021年度</w:t>
      </w:r>
      <w:r>
        <w:rPr>
          <w:rFonts w:hint="eastAsia" w:ascii="仿宋_GB2312" w:eastAsia="仿宋_GB2312" w:cs="仿宋_GB2312"/>
          <w:bCs/>
          <w:kern w:val="0"/>
          <w:sz w:val="32"/>
          <w:szCs w:val="32"/>
        </w:rPr>
        <w:t xml:space="preserve">没有安排机关和所属单位因公出国 （境）。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2021年，</w:t>
      </w:r>
      <w:r>
        <w:rPr>
          <w:rFonts w:hint="eastAsia" w:ascii="仿宋_GB2312" w:eastAsia="仿宋_GB2312" w:cs="仿宋_GB2312"/>
          <w:bCs/>
          <w:kern w:val="0"/>
          <w:sz w:val="32"/>
          <w:szCs w:val="32"/>
          <w:lang w:val="en-US" w:eastAsia="zh-CN"/>
        </w:rPr>
        <w:t>柳州市体育局</w:t>
      </w:r>
      <w:r>
        <w:rPr>
          <w:rFonts w:hint="eastAsia" w:ascii="仿宋_GB2312" w:eastAsia="仿宋_GB2312" w:cs="仿宋_GB2312"/>
          <w:bCs/>
          <w:kern w:val="0"/>
          <w:sz w:val="32"/>
          <w:szCs w:val="32"/>
        </w:rPr>
        <w:t>所属单位开支财政拨款的公务用车保有量为8辆，车辆均已封存待划转。</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1.77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31.72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加0.65</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疫情好转，部分赛事、活动正常开展，公务接待费用增加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18</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165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bCs/>
          <w:kern w:val="0"/>
          <w:sz w:val="32"/>
          <w:szCs w:val="32"/>
        </w:rPr>
        <w:t>主要用于大型体育赛事活动邀请贵宾以及区内区外人员访柳交流等接待支出。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61.31</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6.59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12.04</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新增职工福利费</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4.29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7.52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新增职工福利费</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32" w:firstLineChars="200"/>
        <w:jc w:val="left"/>
        <w:rPr>
          <w:rFonts w:hint="eastAsia" w:ascii="仿宋_GB2312" w:eastAsia="仿宋_GB2312" w:cs="仿宋_GB2312"/>
          <w:w w:val="99"/>
          <w:kern w:val="0"/>
          <w:sz w:val="32"/>
          <w:szCs w:val="32"/>
        </w:rPr>
      </w:pPr>
      <w:r>
        <w:rPr>
          <w:rFonts w:hint="eastAsia" w:ascii="仿宋_GB2312" w:eastAsia="仿宋_GB2312" w:cs="仿宋_GB2312"/>
          <w:w w:val="99"/>
          <w:kern w:val="0"/>
          <w:sz w:val="32"/>
          <w:szCs w:val="32"/>
        </w:rPr>
        <w:t>本部门</w:t>
      </w:r>
      <w:r>
        <w:rPr>
          <w:rFonts w:hint="eastAsia" w:ascii="仿宋_GB2312" w:eastAsia="仿宋_GB2312" w:cs="仿宋_GB2312"/>
          <w:w w:val="99"/>
          <w:kern w:val="0"/>
          <w:sz w:val="32"/>
          <w:szCs w:val="32"/>
          <w:lang w:eastAsia="zh-CN"/>
        </w:rPr>
        <w:t>2021</w:t>
      </w:r>
      <w:r>
        <w:rPr>
          <w:rFonts w:hint="eastAsia" w:ascii="仿宋_GB2312" w:eastAsia="仿宋_GB2312" w:cs="仿宋_GB2312"/>
          <w:w w:val="99"/>
          <w:kern w:val="0"/>
          <w:sz w:val="32"/>
          <w:szCs w:val="32"/>
        </w:rPr>
        <w:t>年度政府采购支出总额</w:t>
      </w:r>
      <w:r>
        <w:rPr>
          <w:rFonts w:hint="eastAsia" w:ascii="仿宋_GB2312" w:eastAsia="仿宋_GB2312" w:cs="仿宋_GB2312"/>
          <w:w w:val="99"/>
          <w:kern w:val="0"/>
          <w:sz w:val="32"/>
          <w:szCs w:val="32"/>
          <w:lang w:val="en-US" w:eastAsia="zh-CN"/>
        </w:rPr>
        <w:t>837.28</w:t>
      </w:r>
      <w:r>
        <w:rPr>
          <w:rFonts w:hint="eastAsia" w:ascii="仿宋_GB2312" w:eastAsia="仿宋_GB2312" w:cs="仿宋_GB2312"/>
          <w:w w:val="99"/>
          <w:kern w:val="0"/>
          <w:sz w:val="32"/>
          <w:szCs w:val="32"/>
        </w:rPr>
        <w:t>万元，其中：政府采购货物支出</w:t>
      </w:r>
      <w:r>
        <w:rPr>
          <w:rFonts w:hint="eastAsia" w:ascii="仿宋_GB2312" w:eastAsia="仿宋_GB2312" w:cs="仿宋_GB2312"/>
          <w:w w:val="99"/>
          <w:kern w:val="0"/>
          <w:sz w:val="32"/>
          <w:szCs w:val="32"/>
          <w:lang w:val="en-US" w:eastAsia="zh-CN"/>
        </w:rPr>
        <w:t>111.07</w:t>
      </w:r>
      <w:r>
        <w:rPr>
          <w:rFonts w:hint="eastAsia" w:ascii="仿宋_GB2312" w:eastAsia="仿宋_GB2312" w:cs="仿宋_GB2312"/>
          <w:w w:val="99"/>
          <w:kern w:val="0"/>
          <w:sz w:val="32"/>
          <w:szCs w:val="32"/>
        </w:rPr>
        <w:t>万元、政府采购工程支出</w:t>
      </w:r>
      <w:r>
        <w:rPr>
          <w:rFonts w:hint="eastAsia" w:ascii="仿宋_GB2312" w:eastAsia="仿宋_GB2312" w:cs="仿宋_GB2312"/>
          <w:w w:val="99"/>
          <w:kern w:val="0"/>
          <w:sz w:val="32"/>
          <w:szCs w:val="32"/>
          <w:lang w:val="en-US" w:eastAsia="zh-CN"/>
        </w:rPr>
        <w:t>0</w:t>
      </w:r>
      <w:r>
        <w:rPr>
          <w:rFonts w:hint="eastAsia" w:ascii="仿宋_GB2312" w:eastAsia="仿宋_GB2312" w:cs="仿宋_GB2312"/>
          <w:w w:val="99"/>
          <w:kern w:val="0"/>
          <w:sz w:val="32"/>
          <w:szCs w:val="32"/>
        </w:rPr>
        <w:t>万元、政府采购服务支出</w:t>
      </w:r>
      <w:r>
        <w:rPr>
          <w:rFonts w:hint="eastAsia" w:ascii="仿宋_GB2312" w:eastAsia="仿宋_GB2312" w:cs="仿宋_GB2312"/>
          <w:w w:val="99"/>
          <w:kern w:val="0"/>
          <w:sz w:val="32"/>
          <w:szCs w:val="32"/>
          <w:lang w:val="en-US" w:eastAsia="zh-CN"/>
        </w:rPr>
        <w:t>726.21</w:t>
      </w:r>
      <w:r>
        <w:rPr>
          <w:rFonts w:hint="eastAsia" w:ascii="仿宋_GB2312" w:eastAsia="仿宋_GB2312" w:cs="仿宋_GB2312"/>
          <w:w w:val="99"/>
          <w:kern w:val="0"/>
          <w:sz w:val="32"/>
          <w:szCs w:val="32"/>
        </w:rPr>
        <w:t>万元。授予中小企业合同金额</w:t>
      </w:r>
      <w:r>
        <w:rPr>
          <w:rFonts w:hint="eastAsia" w:ascii="仿宋_GB2312" w:eastAsia="仿宋_GB2312" w:cs="仿宋_GB2312"/>
          <w:w w:val="99"/>
          <w:kern w:val="0"/>
          <w:sz w:val="32"/>
          <w:szCs w:val="32"/>
          <w:lang w:val="en-US" w:eastAsia="zh-CN"/>
        </w:rPr>
        <w:t>837.03</w:t>
      </w:r>
      <w:r>
        <w:rPr>
          <w:rFonts w:hint="eastAsia" w:ascii="仿宋_GB2312" w:eastAsia="仿宋_GB2312" w:cs="仿宋_GB2312"/>
          <w:w w:val="99"/>
          <w:kern w:val="0"/>
          <w:sz w:val="32"/>
          <w:szCs w:val="32"/>
        </w:rPr>
        <w:t>万元，占政府采购支出总额的</w:t>
      </w:r>
      <w:r>
        <w:rPr>
          <w:rFonts w:hint="eastAsia" w:ascii="仿宋_GB2312" w:eastAsia="仿宋_GB2312" w:cs="仿宋_GB2312"/>
          <w:w w:val="99"/>
          <w:kern w:val="0"/>
          <w:sz w:val="32"/>
          <w:szCs w:val="32"/>
          <w:lang w:val="en-US" w:eastAsia="zh-CN"/>
        </w:rPr>
        <w:t>99.97</w:t>
      </w:r>
      <w:r>
        <w:rPr>
          <w:rFonts w:hint="eastAsia" w:ascii="仿宋_GB2312" w:eastAsia="仿宋_GB2312" w:cs="仿宋_GB2312"/>
          <w:w w:val="99"/>
          <w:kern w:val="0"/>
          <w:sz w:val="32"/>
          <w:szCs w:val="32"/>
        </w:rPr>
        <w:t>%，其中：授予小微企业合同金额</w:t>
      </w:r>
      <w:r>
        <w:rPr>
          <w:rFonts w:hint="eastAsia" w:ascii="仿宋_GB2312" w:eastAsia="仿宋_GB2312" w:cs="仿宋_GB2312"/>
          <w:w w:val="99"/>
          <w:kern w:val="0"/>
          <w:sz w:val="32"/>
          <w:szCs w:val="32"/>
          <w:lang w:val="en-US" w:eastAsia="zh-CN"/>
        </w:rPr>
        <w:t>636.28</w:t>
      </w:r>
      <w:r>
        <w:rPr>
          <w:rFonts w:hint="eastAsia" w:ascii="仿宋_GB2312" w:eastAsia="仿宋_GB2312" w:cs="仿宋_GB2312"/>
          <w:w w:val="99"/>
          <w:kern w:val="0"/>
          <w:sz w:val="32"/>
          <w:szCs w:val="32"/>
        </w:rPr>
        <w:t>万元，占政府采购支出总额</w:t>
      </w:r>
      <w:r>
        <w:rPr>
          <w:rFonts w:hint="eastAsia" w:ascii="仿宋_GB2312" w:eastAsia="仿宋_GB2312" w:cs="仿宋_GB2312"/>
          <w:w w:val="99"/>
          <w:kern w:val="0"/>
          <w:sz w:val="32"/>
          <w:szCs w:val="32"/>
          <w:lang w:val="en-US" w:eastAsia="zh-CN"/>
        </w:rPr>
        <w:t>的75.99</w:t>
      </w:r>
      <w:r>
        <w:rPr>
          <w:rFonts w:hint="eastAsia" w:ascii="仿宋_GB2312" w:eastAsia="仿宋_GB2312" w:cs="仿宋_GB2312"/>
          <w:w w:val="99"/>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根据财政预算管理要求，我部门组织对</w:t>
      </w:r>
      <w:r>
        <w:rPr>
          <w:rFonts w:hint="eastAsia" w:ascii="仿宋_GB2312" w:eastAsia="仿宋_GB2312" w:cs="仿宋_GB2312"/>
          <w:bCs/>
          <w:kern w:val="0"/>
          <w:sz w:val="32"/>
          <w:szCs w:val="32"/>
          <w:lang w:eastAsia="zh-CN"/>
        </w:rPr>
        <w:t>2021</w:t>
      </w:r>
      <w:r>
        <w:rPr>
          <w:rFonts w:hint="eastAsia" w:ascii="仿宋_GB2312" w:eastAsia="仿宋_GB2312" w:cs="仿宋_GB2312"/>
          <w:bCs/>
          <w:kern w:val="0"/>
          <w:sz w:val="32"/>
          <w:szCs w:val="32"/>
        </w:rPr>
        <w:t>年度一般公共预算项目支出全面开展绩效自评。共涉及资金2214.6万元，占一般公共预算项目支出总额的82.6%。</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共组织对“体育产业发展专项资金”等4个项目进行了绩效评价，涉及一般公共预算支出2214.6 万元，政府性基金预算支出0万元。从评价情况来看，我单位通过落实主体责任，将各项目资金落实到科室，对项目的预算执行拟定详细的工作计划和实施方案，对预算管理的各个环节和每个项目进行实时实地动态监测。每个实施项目，紧紧围绕绩效目标来进行，事前设定目标、事中跟踪目标、事后评价项目目标的完成情况，合理将预算指标进行细化、量化，从而达到财政资源优化，以避免财政资源浪费，提高财政资金配置的经济性、效率性和效益性，同时提高行政事业单位整体能力水平与服务质量。</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2.部门决算中项目绩效自评结果</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我部门根据年初设定的绩效目标，体育产业发展专项资金项目自评得分为91.88 分。发现的主要问题及原因：受新冠肺炎疫情影响，部分国际国内赛事暂停举办，导致资金执行进度不达标。下一步改进措施：遇到不可抗力导致赛事无法正常举办时积极与财政局等各部门协调解决，并跟进后续事宜。柳州市第十五届运动会赛事经费项目自评得分为99.93分。发现的主要问题及原因：年初比赛项目预设与实际设置出入较大，未能充分考虑到各比赛项目。下一步改进措施：在下一届市运会赛事筹办前充分收集全市各体育项目设置建议，召开赛事筹备会进行讨论，并参考下一届区运会各项目设置情况进行设置。运动员伙食费项目自评得分为100 分。体校项目服务经费项目自评得分为98.92分。发现的主要问题及原因：因疫情影响，资金支付进度较慢。下一步改进措施：年初根据实际情况做好全年资金支付计划，避免出现年底集中支付的情况。</w:t>
      </w:r>
    </w:p>
    <w:p>
      <w:pPr>
        <w:spacing w:line="580" w:lineRule="exact"/>
        <w:ind w:firstLine="645"/>
        <w:rPr>
          <w:rFonts w:hint="eastAsia" w:ascii="仿宋_GB2312" w:eastAsia="仿宋_GB2312"/>
          <w:b/>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- 18 -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NiMWFhM2FjNDM0NGE5NTNkMDgwZTU4ZDJmNWE2MmYifQ=="/>
  </w:docVars>
  <w:rsids>
    <w:rsidRoot w:val="4C256E3D"/>
    <w:rsid w:val="00013247"/>
    <w:rsid w:val="00025C51"/>
    <w:rsid w:val="00035FD4"/>
    <w:rsid w:val="000533C6"/>
    <w:rsid w:val="00056AAB"/>
    <w:rsid w:val="00066CA3"/>
    <w:rsid w:val="0008303E"/>
    <w:rsid w:val="000A0674"/>
    <w:rsid w:val="000C63EF"/>
    <w:rsid w:val="000D022E"/>
    <w:rsid w:val="000F2361"/>
    <w:rsid w:val="001006A1"/>
    <w:rsid w:val="00116D52"/>
    <w:rsid w:val="001208D5"/>
    <w:rsid w:val="00134C58"/>
    <w:rsid w:val="00154BF0"/>
    <w:rsid w:val="00165717"/>
    <w:rsid w:val="001661F7"/>
    <w:rsid w:val="00193202"/>
    <w:rsid w:val="00196B7B"/>
    <w:rsid w:val="001B2129"/>
    <w:rsid w:val="001B3163"/>
    <w:rsid w:val="001C338A"/>
    <w:rsid w:val="001C69B6"/>
    <w:rsid w:val="001E42CE"/>
    <w:rsid w:val="002203E0"/>
    <w:rsid w:val="00246869"/>
    <w:rsid w:val="00246C7B"/>
    <w:rsid w:val="00292234"/>
    <w:rsid w:val="002B644D"/>
    <w:rsid w:val="002B6CAA"/>
    <w:rsid w:val="002E62ED"/>
    <w:rsid w:val="00307078"/>
    <w:rsid w:val="00341FBE"/>
    <w:rsid w:val="003439C4"/>
    <w:rsid w:val="00383F75"/>
    <w:rsid w:val="003B64D0"/>
    <w:rsid w:val="003B7AA6"/>
    <w:rsid w:val="003C2939"/>
    <w:rsid w:val="00424811"/>
    <w:rsid w:val="00441741"/>
    <w:rsid w:val="004940EF"/>
    <w:rsid w:val="004A3B9E"/>
    <w:rsid w:val="004B0035"/>
    <w:rsid w:val="00507C6B"/>
    <w:rsid w:val="005204F9"/>
    <w:rsid w:val="005446B1"/>
    <w:rsid w:val="005571AE"/>
    <w:rsid w:val="00566068"/>
    <w:rsid w:val="005744A8"/>
    <w:rsid w:val="00595585"/>
    <w:rsid w:val="005A300B"/>
    <w:rsid w:val="005B353E"/>
    <w:rsid w:val="005D340C"/>
    <w:rsid w:val="005E68C0"/>
    <w:rsid w:val="00600F94"/>
    <w:rsid w:val="006262ED"/>
    <w:rsid w:val="006569D2"/>
    <w:rsid w:val="00670EE1"/>
    <w:rsid w:val="006718F1"/>
    <w:rsid w:val="00687171"/>
    <w:rsid w:val="006A62AF"/>
    <w:rsid w:val="006B317C"/>
    <w:rsid w:val="006C1367"/>
    <w:rsid w:val="007026BA"/>
    <w:rsid w:val="0070795C"/>
    <w:rsid w:val="00715385"/>
    <w:rsid w:val="00720022"/>
    <w:rsid w:val="00737211"/>
    <w:rsid w:val="00743E3F"/>
    <w:rsid w:val="00747120"/>
    <w:rsid w:val="00754B78"/>
    <w:rsid w:val="007633D1"/>
    <w:rsid w:val="00777B28"/>
    <w:rsid w:val="00786272"/>
    <w:rsid w:val="00790FED"/>
    <w:rsid w:val="007A5CB8"/>
    <w:rsid w:val="007B5C59"/>
    <w:rsid w:val="007C6020"/>
    <w:rsid w:val="00802CB0"/>
    <w:rsid w:val="008033B8"/>
    <w:rsid w:val="008042F5"/>
    <w:rsid w:val="00896526"/>
    <w:rsid w:val="008A59A8"/>
    <w:rsid w:val="009227DA"/>
    <w:rsid w:val="00923124"/>
    <w:rsid w:val="00926C8D"/>
    <w:rsid w:val="009534D5"/>
    <w:rsid w:val="009807B7"/>
    <w:rsid w:val="009A0B2E"/>
    <w:rsid w:val="009B25D1"/>
    <w:rsid w:val="009C13B2"/>
    <w:rsid w:val="009E01B4"/>
    <w:rsid w:val="00A00F6C"/>
    <w:rsid w:val="00A107B2"/>
    <w:rsid w:val="00A32161"/>
    <w:rsid w:val="00A4077D"/>
    <w:rsid w:val="00A64F87"/>
    <w:rsid w:val="00A949C6"/>
    <w:rsid w:val="00AE6F32"/>
    <w:rsid w:val="00AF08AA"/>
    <w:rsid w:val="00AF5034"/>
    <w:rsid w:val="00B15748"/>
    <w:rsid w:val="00B17C7F"/>
    <w:rsid w:val="00B41853"/>
    <w:rsid w:val="00B53E5C"/>
    <w:rsid w:val="00B54D8B"/>
    <w:rsid w:val="00B5692C"/>
    <w:rsid w:val="00B703F7"/>
    <w:rsid w:val="00BC5ED1"/>
    <w:rsid w:val="00BF74AA"/>
    <w:rsid w:val="00C143B9"/>
    <w:rsid w:val="00C17BD1"/>
    <w:rsid w:val="00C3594B"/>
    <w:rsid w:val="00C73664"/>
    <w:rsid w:val="00C778AF"/>
    <w:rsid w:val="00C90325"/>
    <w:rsid w:val="00C96521"/>
    <w:rsid w:val="00CA1F90"/>
    <w:rsid w:val="00CA7E41"/>
    <w:rsid w:val="00CB4D56"/>
    <w:rsid w:val="00CC7FB7"/>
    <w:rsid w:val="00CD7C00"/>
    <w:rsid w:val="00CE72AE"/>
    <w:rsid w:val="00D01860"/>
    <w:rsid w:val="00D10341"/>
    <w:rsid w:val="00D232B2"/>
    <w:rsid w:val="00D343EC"/>
    <w:rsid w:val="00D50CCF"/>
    <w:rsid w:val="00D831F7"/>
    <w:rsid w:val="00D85E65"/>
    <w:rsid w:val="00D862C9"/>
    <w:rsid w:val="00D905F5"/>
    <w:rsid w:val="00DA1E75"/>
    <w:rsid w:val="00DB4628"/>
    <w:rsid w:val="00DE42C1"/>
    <w:rsid w:val="00E00D38"/>
    <w:rsid w:val="00E930A1"/>
    <w:rsid w:val="00EC4830"/>
    <w:rsid w:val="00EF2E39"/>
    <w:rsid w:val="00EF4151"/>
    <w:rsid w:val="00F50201"/>
    <w:rsid w:val="00F55068"/>
    <w:rsid w:val="00F663EB"/>
    <w:rsid w:val="00F66C5B"/>
    <w:rsid w:val="00F720ED"/>
    <w:rsid w:val="00F76E1D"/>
    <w:rsid w:val="00F96251"/>
    <w:rsid w:val="00FC4FB5"/>
    <w:rsid w:val="00FD7CAB"/>
    <w:rsid w:val="01FE096F"/>
    <w:rsid w:val="024B505A"/>
    <w:rsid w:val="02C1517B"/>
    <w:rsid w:val="046B1C35"/>
    <w:rsid w:val="05340A06"/>
    <w:rsid w:val="068E7AED"/>
    <w:rsid w:val="072D5645"/>
    <w:rsid w:val="09503BA1"/>
    <w:rsid w:val="09820663"/>
    <w:rsid w:val="0A4443D5"/>
    <w:rsid w:val="0B3555A2"/>
    <w:rsid w:val="0C9A1CD4"/>
    <w:rsid w:val="0D4167EF"/>
    <w:rsid w:val="0D5E5FAC"/>
    <w:rsid w:val="0E074DDF"/>
    <w:rsid w:val="0E6C6E87"/>
    <w:rsid w:val="100F5919"/>
    <w:rsid w:val="12021EE7"/>
    <w:rsid w:val="124204B5"/>
    <w:rsid w:val="131D25FC"/>
    <w:rsid w:val="13BF7656"/>
    <w:rsid w:val="17872F66"/>
    <w:rsid w:val="17AC583E"/>
    <w:rsid w:val="182962AB"/>
    <w:rsid w:val="19C71013"/>
    <w:rsid w:val="19D073EB"/>
    <w:rsid w:val="1A21485E"/>
    <w:rsid w:val="1B2E64B3"/>
    <w:rsid w:val="1C36018E"/>
    <w:rsid w:val="1CC31F67"/>
    <w:rsid w:val="1E5C315E"/>
    <w:rsid w:val="20FD356C"/>
    <w:rsid w:val="23A93537"/>
    <w:rsid w:val="244242DC"/>
    <w:rsid w:val="24956EC1"/>
    <w:rsid w:val="24D337DC"/>
    <w:rsid w:val="26460DBA"/>
    <w:rsid w:val="26A62084"/>
    <w:rsid w:val="27832DCF"/>
    <w:rsid w:val="281C27FF"/>
    <w:rsid w:val="287D51BE"/>
    <w:rsid w:val="28846321"/>
    <w:rsid w:val="29D00279"/>
    <w:rsid w:val="2A6A6B8F"/>
    <w:rsid w:val="2B6F74EB"/>
    <w:rsid w:val="2B9A0723"/>
    <w:rsid w:val="2BD55EB9"/>
    <w:rsid w:val="2C4219FE"/>
    <w:rsid w:val="2F7323AF"/>
    <w:rsid w:val="2FDB4C0E"/>
    <w:rsid w:val="30466CDD"/>
    <w:rsid w:val="30C35DBF"/>
    <w:rsid w:val="313F52E1"/>
    <w:rsid w:val="329E2428"/>
    <w:rsid w:val="34020F86"/>
    <w:rsid w:val="34797601"/>
    <w:rsid w:val="349A718C"/>
    <w:rsid w:val="366E6EFA"/>
    <w:rsid w:val="385A17C9"/>
    <w:rsid w:val="39A63F06"/>
    <w:rsid w:val="39F969CD"/>
    <w:rsid w:val="3C922A41"/>
    <w:rsid w:val="3D2B3FF1"/>
    <w:rsid w:val="3DE14CCD"/>
    <w:rsid w:val="3ED1439F"/>
    <w:rsid w:val="40E11194"/>
    <w:rsid w:val="41A3665C"/>
    <w:rsid w:val="42EF6D61"/>
    <w:rsid w:val="462F66AF"/>
    <w:rsid w:val="46A065A0"/>
    <w:rsid w:val="46B54C5E"/>
    <w:rsid w:val="48374EDC"/>
    <w:rsid w:val="4856143F"/>
    <w:rsid w:val="485B09F4"/>
    <w:rsid w:val="48F1299F"/>
    <w:rsid w:val="498018FC"/>
    <w:rsid w:val="4C256E3D"/>
    <w:rsid w:val="4CB52F0F"/>
    <w:rsid w:val="4DC56E9A"/>
    <w:rsid w:val="4FCB1C5C"/>
    <w:rsid w:val="530A2076"/>
    <w:rsid w:val="532F1F9A"/>
    <w:rsid w:val="534E546D"/>
    <w:rsid w:val="53505621"/>
    <w:rsid w:val="545C1F32"/>
    <w:rsid w:val="564C1197"/>
    <w:rsid w:val="565215E2"/>
    <w:rsid w:val="569A2D89"/>
    <w:rsid w:val="57FC6209"/>
    <w:rsid w:val="582C3DC1"/>
    <w:rsid w:val="588C0756"/>
    <w:rsid w:val="596C0F04"/>
    <w:rsid w:val="5C1978DB"/>
    <w:rsid w:val="5CBA715E"/>
    <w:rsid w:val="5D367750"/>
    <w:rsid w:val="5D6953CF"/>
    <w:rsid w:val="5E995A3E"/>
    <w:rsid w:val="5EB44459"/>
    <w:rsid w:val="5F8F0322"/>
    <w:rsid w:val="5FF84EAD"/>
    <w:rsid w:val="605C00F4"/>
    <w:rsid w:val="62163194"/>
    <w:rsid w:val="624D024D"/>
    <w:rsid w:val="6304269E"/>
    <w:rsid w:val="63E165FB"/>
    <w:rsid w:val="63E64472"/>
    <w:rsid w:val="641D74E0"/>
    <w:rsid w:val="646C600B"/>
    <w:rsid w:val="650E086A"/>
    <w:rsid w:val="67400727"/>
    <w:rsid w:val="674271E0"/>
    <w:rsid w:val="68BC6EFE"/>
    <w:rsid w:val="6BAA0708"/>
    <w:rsid w:val="6BF71F1D"/>
    <w:rsid w:val="6D1122EE"/>
    <w:rsid w:val="6E325249"/>
    <w:rsid w:val="711E1E29"/>
    <w:rsid w:val="723B7FBC"/>
    <w:rsid w:val="7255756E"/>
    <w:rsid w:val="742136FB"/>
    <w:rsid w:val="77446974"/>
    <w:rsid w:val="7A040289"/>
    <w:rsid w:val="7A8A6D94"/>
    <w:rsid w:val="7B6C384A"/>
    <w:rsid w:val="7BAD4946"/>
    <w:rsid w:val="7DEE7639"/>
    <w:rsid w:val="7DF14A85"/>
    <w:rsid w:val="7E2C3CBE"/>
    <w:rsid w:val="7E48596C"/>
    <w:rsid w:val="7EC60B68"/>
    <w:rsid w:val="7EE50A3C"/>
    <w:rsid w:val="7FE66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1"/>
    <w:basedOn w:val="1"/>
    <w:qFormat/>
    <w:uiPriority w:val="99"/>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AA1A-008E-4125-8ECB-76F429F5F71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6672</Words>
  <Characters>7543</Characters>
  <Lines>91</Lines>
  <Paragraphs>25</Paragraphs>
  <TotalTime>14</TotalTime>
  <ScaleCrop>false</ScaleCrop>
  <LinksUpToDate>false</LinksUpToDate>
  <CharactersWithSpaces>7565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2021-07-20T01:26:00Z</dcterms:created>
  <dc:creator>陈冬雪</dc:creator>
  <cp:lastModifiedBy>Silvia</cp:lastModifiedBy>
  <cp:lastPrinted>2021-07-07T01:10:00Z</cp:lastPrinted>
  <dcterms:modified xsi:type="dcterms:W3CDTF">2022-10-13T09:58:28Z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DEEA94D98A5F472E98684B548165DD2B</vt:lpwstr>
  </property>
</Properties>
</file>