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乡村振兴局</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bookmarkStart w:id="0" w:name="_GoBack"/>
      <w:bookmarkEnd w:id="0"/>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pStyle w:val="9"/>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b w:val="0"/>
          <w:bCs/>
          <w:color w:val="auto"/>
          <w:sz w:val="32"/>
          <w:lang w:val="en-US" w:eastAsia="zh-CN"/>
        </w:rPr>
        <w:t>扎实做好防止返贫监测帮扶,指导县区开展排查监测和落实精准帮扶。</w:t>
      </w:r>
    </w:p>
    <w:p>
      <w:pPr>
        <w:pStyle w:val="9"/>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eastAsia="仿宋_GB2312"/>
          <w:sz w:val="32"/>
          <w:szCs w:val="32"/>
        </w:rPr>
        <w:t>（二）</w:t>
      </w:r>
      <w:r>
        <w:rPr>
          <w:rFonts w:hint="eastAsia" w:ascii="仿宋_GB2312" w:hAnsi="仿宋_GB2312" w:eastAsia="仿宋_GB2312" w:cs="仿宋_GB2312"/>
          <w:b w:val="0"/>
          <w:bCs/>
          <w:color w:val="auto"/>
          <w:sz w:val="32"/>
          <w:lang w:val="en-US" w:eastAsia="zh-CN"/>
        </w:rPr>
        <w:t>加强衔接资金项目监督管理，规范资金使用和加快项目实施。</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b w:val="0"/>
          <w:bCs/>
          <w:color w:val="auto"/>
          <w:sz w:val="32"/>
          <w:lang w:val="en-US" w:eastAsia="zh-CN"/>
        </w:rPr>
        <w:t>认真做好粤桂协作工作，强化就业和消费帮扶，助力巩固拓展脱贫攻坚成果。</w:t>
      </w:r>
    </w:p>
    <w:p>
      <w:pPr>
        <w:pStyle w:val="9"/>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hint="eastAsia" w:ascii="仿宋_GB2312" w:hAnsi="仿宋" w:eastAsia="仿宋_GB2312"/>
          <w:sz w:val="32"/>
          <w:szCs w:val="32"/>
        </w:rPr>
      </w:pPr>
      <w:r>
        <w:rPr>
          <w:rFonts w:hint="eastAsia" w:ascii="仿宋_GB2312" w:eastAsia="仿宋_GB2312"/>
          <w:sz w:val="32"/>
          <w:szCs w:val="32"/>
        </w:rPr>
        <w:t>（四）</w:t>
      </w:r>
      <w:r>
        <w:rPr>
          <w:rFonts w:hint="eastAsia" w:ascii="仿宋_GB2312" w:hAnsi="仿宋_GB2312" w:eastAsia="仿宋_GB2312" w:cs="仿宋_GB2312"/>
          <w:b w:val="0"/>
          <w:bCs/>
          <w:color w:val="auto"/>
          <w:sz w:val="32"/>
          <w:lang w:val="en-US" w:eastAsia="zh-CN"/>
        </w:rPr>
        <w:t>大力推进乡村建设，组织实施农村人居环境整治，巩固环境整治成果，统筹县域城镇和村庄规划建设，推进农村基础设施提档升级，推进数字乡村建设工程，开展乡村振兴示范乡镇、乡村振兴示范村屯创建。</w:t>
      </w:r>
    </w:p>
    <w:p>
      <w:pPr>
        <w:spacing w:line="360" w:lineRule="auto"/>
        <w:ind w:firstLine="640" w:firstLineChars="200"/>
        <w:jc w:val="left"/>
        <w:rPr>
          <w:rFonts w:hint="eastAsia" w:ascii="仿宋_GB2312" w:hAnsi="仿宋" w:eastAsia="仿宋_GB2312"/>
          <w:sz w:val="32"/>
          <w:szCs w:val="32"/>
        </w:rPr>
      </w:pPr>
      <w:r>
        <w:rPr>
          <w:rFonts w:hint="eastAsia" w:ascii="仿宋_GB2312" w:eastAsia="仿宋_GB2312"/>
          <w:sz w:val="32"/>
          <w:szCs w:val="32"/>
        </w:rPr>
        <w:t>（五）</w:t>
      </w:r>
      <w:r>
        <w:rPr>
          <w:rFonts w:hint="eastAsia" w:ascii="仿宋_GB2312" w:hAnsi="仿宋_GB2312" w:eastAsia="仿宋_GB2312" w:cs="仿宋_GB2312"/>
          <w:b w:val="0"/>
          <w:bCs/>
          <w:color w:val="auto"/>
          <w:sz w:val="32"/>
          <w:lang w:val="en-US" w:eastAsia="zh-CN"/>
        </w:rPr>
        <w:t>加大统筹协调力度，持续巩固“两不愁三保障”成果，推进深入落实教育、医疗、住房、水利、稳岗就业、产业奖补、兜底保障、小额信贷等政策。</w:t>
      </w:r>
    </w:p>
    <w:p>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（六）</w:t>
      </w:r>
      <w:r>
        <w:rPr>
          <w:rFonts w:hint="eastAsia" w:ascii="仿宋_GB2312" w:hAnsi="仿宋_GB2312" w:eastAsia="仿宋_GB2312" w:cs="仿宋_GB2312"/>
          <w:b w:val="0"/>
          <w:bCs/>
          <w:color w:val="auto"/>
          <w:sz w:val="32"/>
          <w:lang w:val="en-US" w:eastAsia="zh-CN"/>
        </w:rPr>
        <w:t>强化巩固拓展脱贫攻坚成果同乡村振兴有效衔接政策宣传。</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（七）</w:t>
      </w:r>
      <w:r>
        <w:rPr>
          <w:rFonts w:hint="eastAsia" w:ascii="仿宋_GB2312" w:hAnsi="仿宋_GB2312" w:eastAsia="仿宋_GB2312" w:cs="仿宋_GB2312"/>
          <w:b w:val="0"/>
          <w:bCs/>
          <w:color w:val="auto"/>
          <w:sz w:val="32"/>
          <w:lang w:val="en-US" w:eastAsia="zh-CN"/>
        </w:rPr>
        <w:t>指导全市乡村振兴干部培训，会同有关部门落实全市雨露计划培训、农村创业致富带头人培育政策。会同有关部门指导、协调相对贫困地区劳务经济发展、人力资源开发、劳务输出。</w:t>
      </w:r>
    </w:p>
    <w:p>
      <w:pPr>
        <w:pStyle w:val="9"/>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eastAsia="仿宋_GB2312"/>
          <w:sz w:val="32"/>
          <w:szCs w:val="32"/>
        </w:rPr>
        <w:t>（八）</w:t>
      </w:r>
      <w:r>
        <w:rPr>
          <w:rFonts w:hint="eastAsia" w:ascii="仿宋_GB2312" w:hAnsi="仿宋_GB2312" w:eastAsia="仿宋_GB2312" w:cs="仿宋_GB2312"/>
          <w:b w:val="0"/>
          <w:bCs/>
          <w:color w:val="auto"/>
          <w:sz w:val="32"/>
          <w:lang w:val="en-US" w:eastAsia="zh-CN"/>
        </w:rPr>
        <w:t>继续落实定点帮扶工作责任。深入推进“万企兴万村”帮扶行动，引导民营企业积极开展产业帮扶、就业帮扶、消费帮扶，加强对社会组织帮扶的引导和管理，优化环境、整合力量、创新方式，提高乡村振兴效能。</w:t>
      </w:r>
    </w:p>
    <w:p>
      <w:pPr>
        <w:spacing w:line="360" w:lineRule="auto"/>
        <w:ind w:firstLine="640" w:firstLineChars="200"/>
        <w:jc w:val="left"/>
        <w:rPr>
          <w:rFonts w:hint="eastAsia" w:ascii="仿宋_GB2312" w:hAnsi="仿宋" w:eastAsia="仿宋_GB2312"/>
          <w:sz w:val="32"/>
          <w:szCs w:val="32"/>
        </w:rPr>
      </w:pP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（九）</w:t>
      </w:r>
      <w:r>
        <w:rPr>
          <w:rFonts w:hint="eastAsia" w:ascii="仿宋_GB2312" w:hAnsi="仿宋_GB2312" w:eastAsia="仿宋_GB2312" w:cs="仿宋_GB2312"/>
          <w:b w:val="0"/>
          <w:bCs/>
          <w:color w:val="auto"/>
          <w:sz w:val="32"/>
          <w:lang w:val="en-US" w:eastAsia="zh-CN"/>
        </w:rPr>
        <w:t>完成市委、市政府交办的其他任务。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年度，纳入本部门决算汇编范围的独立核算单位共2个。</w:t>
      </w:r>
    </w:p>
    <w:p>
      <w:pPr>
        <w:spacing w:line="360" w:lineRule="auto"/>
        <w:ind w:firstLine="640" w:firstLineChars="200"/>
      </w:pPr>
      <w:r>
        <w:rPr>
          <w:rFonts w:hint="eastAsia" w:ascii="仿宋_GB2312" w:eastAsia="仿宋_GB2312"/>
          <w:sz w:val="32"/>
          <w:szCs w:val="32"/>
        </w:rPr>
        <w:t>（一）行政机关单位：柳州市</w:t>
      </w:r>
      <w:r>
        <w:rPr>
          <w:rFonts w:hint="eastAsia" w:ascii="仿宋_GB2312" w:eastAsia="仿宋_GB2312"/>
          <w:sz w:val="32"/>
          <w:szCs w:val="32"/>
          <w:lang w:eastAsia="zh-CN"/>
        </w:rPr>
        <w:t>乡村振兴局</w:t>
      </w:r>
      <w:r>
        <w:rPr>
          <w:rFonts w:hint="eastAsia" w:ascii="仿宋_GB2312" w:eastAsia="仿宋_GB2312"/>
          <w:sz w:val="32"/>
          <w:szCs w:val="32"/>
        </w:rPr>
        <w:t>。内部机构设置为</w:t>
      </w:r>
      <w:r>
        <w:rPr>
          <w:rFonts w:hint="eastAsia" w:ascii="仿宋_GB2312" w:eastAsia="仿宋_GB2312"/>
          <w:sz w:val="32"/>
          <w:szCs w:val="32"/>
          <w:lang w:val="en-US" w:eastAsia="zh-CN"/>
        </w:rPr>
        <w:t>5</w:t>
      </w:r>
      <w:r>
        <w:rPr>
          <w:rFonts w:hint="eastAsia" w:ascii="仿宋_GB2312" w:eastAsia="仿宋_GB2312"/>
          <w:sz w:val="32"/>
          <w:szCs w:val="32"/>
        </w:rPr>
        <w:t>个：综合科、资金项目科、社会扶贫科、</w:t>
      </w:r>
      <w:r>
        <w:rPr>
          <w:rFonts w:hint="eastAsia" w:ascii="仿宋_GB2312" w:hAnsi="华文仿宋" w:eastAsia="仿宋_GB2312"/>
          <w:color w:val="000000"/>
          <w:sz w:val="32"/>
          <w:szCs w:val="32"/>
          <w:lang w:eastAsia="zh-CN"/>
        </w:rPr>
        <w:t>政研培训科、</w:t>
      </w:r>
      <w:r>
        <w:rPr>
          <w:rFonts w:hint="eastAsia" w:ascii="仿宋_GB2312" w:eastAsia="仿宋_GB2312"/>
          <w:sz w:val="32"/>
          <w:szCs w:val="32"/>
        </w:rPr>
        <w:t>考核督查科；</w:t>
      </w:r>
      <w:r>
        <w:rPr>
          <w:rFonts w:hint="eastAsia" w:ascii="仿宋_GB2312" w:hAnsi="华文仿宋" w:eastAsia="仿宋_GB2312"/>
          <w:color w:val="000000"/>
          <w:sz w:val="32"/>
          <w:szCs w:val="32"/>
        </w:rPr>
        <w:t>编制1</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人，其中：行政编制1</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人，工勤编制2人</w:t>
      </w:r>
      <w:r>
        <w:rPr>
          <w:rFonts w:hint="eastAsia" w:ascii="仿宋_GB2312" w:eastAsia="仿宋_GB2312"/>
          <w:sz w:val="32"/>
          <w:szCs w:val="32"/>
          <w:lang w:eastAsia="zh-CN"/>
        </w:rPr>
        <w:t>；</w:t>
      </w:r>
      <w:r>
        <w:rPr>
          <w:rFonts w:hint="eastAsia" w:ascii="仿宋_GB2312" w:eastAsia="仿宋_GB2312"/>
          <w:sz w:val="32"/>
          <w:szCs w:val="32"/>
        </w:rPr>
        <w:t>实有在编人数1</w:t>
      </w:r>
      <w:r>
        <w:rPr>
          <w:rFonts w:hint="eastAsia" w:ascii="仿宋_GB2312" w:eastAsia="仿宋_GB2312"/>
          <w:sz w:val="32"/>
          <w:szCs w:val="32"/>
          <w:lang w:val="en-US" w:eastAsia="zh-CN"/>
        </w:rPr>
        <w:t>7</w:t>
      </w:r>
      <w:r>
        <w:rPr>
          <w:rFonts w:hint="eastAsia" w:ascii="仿宋_GB2312" w:eastAsia="仿宋_GB2312"/>
          <w:sz w:val="32"/>
          <w:szCs w:val="32"/>
        </w:rPr>
        <w:t>人；聘用人员控制数6人，实有聘用人数6人。</w:t>
      </w:r>
    </w:p>
    <w:p>
      <w:pPr>
        <w:ind w:firstLine="645"/>
        <w:rPr>
          <w:rFonts w:ascii="仿宋_GB2312" w:eastAsia="仿宋_GB2312"/>
          <w:sz w:val="32"/>
          <w:szCs w:val="32"/>
        </w:rPr>
      </w:pPr>
      <w:r>
        <w:rPr>
          <w:rFonts w:hint="eastAsia" w:ascii="仿宋_GB2312" w:eastAsia="仿宋_GB2312"/>
          <w:sz w:val="32"/>
          <w:szCs w:val="32"/>
        </w:rPr>
        <w:t>（二）全额拨款事业单位：柳州市扶贫开发综合服务中心。事业单位编制12人，实有在编人数12人；聘用人员控制数</w:t>
      </w:r>
      <w:r>
        <w:rPr>
          <w:rFonts w:hint="eastAsia" w:ascii="仿宋_GB2312" w:eastAsia="仿宋_GB2312"/>
          <w:sz w:val="32"/>
          <w:szCs w:val="32"/>
          <w:lang w:val="en-US" w:eastAsia="zh-CN"/>
        </w:rPr>
        <w:t>6</w:t>
      </w:r>
      <w:r>
        <w:rPr>
          <w:rFonts w:hint="eastAsia" w:ascii="仿宋_GB2312" w:eastAsia="仿宋_GB2312"/>
          <w:sz w:val="32"/>
          <w:szCs w:val="32"/>
        </w:rPr>
        <w:t>人，实有聘用人数</w:t>
      </w:r>
      <w:r>
        <w:rPr>
          <w:rFonts w:hint="eastAsia" w:ascii="仿宋_GB2312" w:eastAsia="仿宋_GB2312"/>
          <w:sz w:val="32"/>
          <w:szCs w:val="32"/>
          <w:lang w:val="en-US" w:eastAsia="zh-CN"/>
        </w:rPr>
        <w:t>6</w:t>
      </w:r>
      <w:r>
        <w:rPr>
          <w:rFonts w:hint="eastAsia" w:ascii="仿宋_GB2312" w:eastAsia="仿宋_GB2312"/>
          <w:sz w:val="32"/>
          <w:szCs w:val="32"/>
        </w:rPr>
        <w:t>人。</w:t>
      </w:r>
    </w:p>
    <w:p>
      <w:pPr>
        <w:jc w:val="both"/>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详见附件：柳州市</w:t>
      </w:r>
      <w:r>
        <w:rPr>
          <w:rFonts w:hint="eastAsia" w:ascii="仿宋_GB2312" w:hAnsi="黑体" w:eastAsia="仿宋_GB2312"/>
          <w:b w:val="0"/>
          <w:bCs w:val="0"/>
          <w:color w:val="000000"/>
          <w:sz w:val="32"/>
          <w:szCs w:val="32"/>
          <w:u w:val="none"/>
          <w:lang w:eastAsia="zh-CN"/>
        </w:rPr>
        <w:t>乡村振兴局</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年部门决算公开表。</w:t>
      </w:r>
    </w:p>
    <w:p>
      <w:pPr>
        <w:ind w:firstLine="643" w:firstLineChars="200"/>
        <w:rPr>
          <w:rFonts w:hint="eastAsia" w:ascii="仿宋_GB2312" w:hAnsi="黑体" w:eastAsia="仿宋_GB2312"/>
          <w:b/>
          <w:sz w:val="32"/>
          <w:szCs w:val="32"/>
        </w:rPr>
      </w:pPr>
    </w:p>
    <w:p>
      <w:pPr>
        <w:ind w:firstLine="643" w:firstLineChars="200"/>
        <w:jc w:val="both"/>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柳州市乡村振兴局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w:t>
      </w:r>
      <w:r>
        <w:rPr>
          <w:rFonts w:hint="eastAsia" w:eastAsia="仿宋_GB2312"/>
          <w:b/>
          <w:kern w:val="0"/>
          <w:sz w:val="32"/>
          <w:szCs w:val="32"/>
          <w:lang w:val="en-US" w:eastAsia="zh-CN"/>
        </w:rPr>
        <w:t>1</w:t>
      </w:r>
      <w:r>
        <w:rPr>
          <w:rFonts w:hint="eastAsia" w:ascii="仿宋_GB2312" w:eastAsia="仿宋_GB2312" w:cs="仿宋_GB2312"/>
          <w:b/>
          <w:kern w:val="0"/>
          <w:sz w:val="32"/>
          <w:szCs w:val="32"/>
        </w:rPr>
        <w:t>年度收入支出决算总体情况</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146</w:t>
      </w:r>
      <w:r>
        <w:rPr>
          <w:rFonts w:hint="eastAsia" w:ascii="仿宋_GB2312" w:eastAsia="仿宋_GB2312" w:cs="仿宋_GB2312"/>
          <w:bCs/>
          <w:kern w:val="0"/>
          <w:sz w:val="32"/>
          <w:szCs w:val="32"/>
        </w:rPr>
        <w:t>.83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1079.83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eastAsia="仿宋_GB2312" w:cs="仿宋_GB2312"/>
          <w:bCs/>
          <w:kern w:val="0"/>
          <w:sz w:val="32"/>
          <w:szCs w:val="32"/>
          <w:lang w:val="en-US" w:eastAsia="zh-CN"/>
        </w:rPr>
        <w:t>517.1</w:t>
      </w:r>
      <w:r>
        <w:rPr>
          <w:rFonts w:hint="eastAsia" w:ascii="仿宋_GB2312" w:hAnsi="黑体" w:eastAsia="仿宋_GB2312" w:cs="仿宋_GB2312"/>
          <w:kern w:val="0"/>
          <w:sz w:val="32"/>
          <w:szCs w:val="32"/>
        </w:rPr>
        <w:t>万元，下降</w:t>
      </w:r>
      <w:r>
        <w:rPr>
          <w:rFonts w:hint="eastAsia" w:ascii="仿宋_GB2312" w:eastAsia="仿宋_GB2312" w:cs="仿宋_GB2312"/>
          <w:bCs/>
          <w:kern w:val="0"/>
          <w:sz w:val="32"/>
          <w:szCs w:val="32"/>
          <w:lang w:val="en-US" w:eastAsia="zh-CN"/>
        </w:rPr>
        <w:t>31.08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val="en-US" w:eastAsia="zh-CN"/>
        </w:rPr>
        <w:t>:</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1079.83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515.54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32.31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：脱贫攻坚期间，部门决算包含结对帮扶（河池市罗城县、都安县）资金</w:t>
      </w:r>
      <w:r>
        <w:rPr>
          <w:rFonts w:hint="eastAsia" w:ascii="仿宋_GB2312" w:hAnsi="黑体" w:eastAsia="仿宋_GB2312" w:cs="仿宋_GB2312"/>
          <w:kern w:val="0"/>
          <w:sz w:val="32"/>
          <w:szCs w:val="32"/>
          <w:lang w:val="en-US" w:eastAsia="zh-CN"/>
        </w:rPr>
        <w:t>600万元；取得脱贫攻坚全面胜利后，2021年部门决算无</w:t>
      </w:r>
      <w:r>
        <w:rPr>
          <w:rFonts w:hint="eastAsia" w:ascii="仿宋_GB2312" w:hAnsi="黑体" w:eastAsia="仿宋_GB2312" w:cs="仿宋_GB2312"/>
          <w:kern w:val="0"/>
          <w:sz w:val="32"/>
          <w:szCs w:val="32"/>
          <w:lang w:eastAsia="zh-CN"/>
        </w:rPr>
        <w:t>结对帮扶资金支出。</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无变化。</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67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：与财政部门对账后调整财政应返还额度。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1</w:t>
      </w:r>
      <w:r>
        <w:rPr>
          <w:rFonts w:hint="eastAsia" w:ascii="仿宋_GB2312" w:eastAsia="仿宋_GB2312"/>
          <w:kern w:val="0"/>
          <w:sz w:val="32"/>
          <w:szCs w:val="32"/>
          <w:lang w:val="en-US" w:eastAsia="zh-CN"/>
        </w:rPr>
        <w:t>146</w:t>
      </w:r>
      <w:r>
        <w:rPr>
          <w:rFonts w:hint="eastAsia" w:ascii="仿宋_GB2312" w:eastAsia="仿宋_GB2312"/>
          <w:kern w:val="0"/>
          <w:sz w:val="32"/>
          <w:szCs w:val="32"/>
        </w:rPr>
        <w:t>.83</w:t>
      </w:r>
      <w:r>
        <w:rPr>
          <w:rFonts w:hint="eastAsia" w:ascii="仿宋_GB2312" w:eastAsia="仿宋_GB2312" w:cs="仿宋_GB2312"/>
          <w:kern w:val="0"/>
          <w:sz w:val="32"/>
          <w:szCs w:val="32"/>
        </w:rPr>
        <w:t xml:space="preserve">万元，其中本年支出1079.83万元,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eastAsia="仿宋_GB2312" w:cs="仿宋_GB2312"/>
          <w:bCs/>
          <w:kern w:val="0"/>
          <w:sz w:val="32"/>
          <w:szCs w:val="32"/>
          <w:lang w:val="en-US" w:eastAsia="zh-CN"/>
        </w:rPr>
        <w:t>517.1</w:t>
      </w:r>
      <w:r>
        <w:rPr>
          <w:rFonts w:hint="eastAsia" w:ascii="仿宋_GB2312" w:hAnsi="黑体" w:eastAsia="仿宋_GB2312" w:cs="仿宋_GB2312"/>
          <w:kern w:val="0"/>
          <w:sz w:val="32"/>
          <w:szCs w:val="32"/>
        </w:rPr>
        <w:t>万元，下降</w:t>
      </w:r>
      <w:r>
        <w:rPr>
          <w:rFonts w:hint="eastAsia" w:ascii="仿宋_GB2312" w:eastAsia="仿宋_GB2312" w:cs="仿宋_GB2312"/>
          <w:bCs/>
          <w:kern w:val="0"/>
          <w:sz w:val="32"/>
          <w:szCs w:val="32"/>
          <w:lang w:val="en-US" w:eastAsia="zh-CN"/>
        </w:rPr>
        <w:t>31.08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rPr>
        <w:t>109.34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机关单位退休人员经费、机关事业单位在职人员养老保险和职业年金缴费支出。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5.84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5.64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：退休公用经费标准调整以及增人增资，社保缴费相应增加。</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2.卫生健康支出</w:t>
      </w:r>
      <w:r>
        <w:rPr>
          <w:rFonts w:hint="eastAsia" w:ascii="仿宋_GB2312" w:eastAsia="仿宋_GB2312" w:cs="仿宋_GB2312"/>
          <w:kern w:val="0"/>
          <w:sz w:val="32"/>
          <w:szCs w:val="32"/>
        </w:rPr>
        <w:t>（类）42.95</w:t>
      </w:r>
      <w:r>
        <w:rPr>
          <w:rFonts w:hint="eastAsia" w:ascii="仿宋_GB2312" w:eastAsia="仿宋_GB2312" w:cs="仿宋_GB2312"/>
          <w:kern w:val="0"/>
          <w:sz w:val="32"/>
          <w:szCs w:val="32"/>
          <w:lang w:eastAsia="zh-CN"/>
        </w:rPr>
        <w:t>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在职人员的职工医疗保险缴费和公务员医疗补助缴费。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7.23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14.41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：公务员医疗补助缴费的费款区间不一致。</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3.农林水支出</w:t>
      </w:r>
      <w:r>
        <w:rPr>
          <w:rFonts w:hint="eastAsia" w:ascii="仿宋_GB2312" w:eastAsia="仿宋_GB2312" w:cs="仿宋_GB2312"/>
          <w:kern w:val="0"/>
          <w:sz w:val="32"/>
          <w:szCs w:val="32"/>
        </w:rPr>
        <w:t>（类）</w:t>
      </w:r>
      <w:r>
        <w:rPr>
          <w:rFonts w:hint="eastAsia" w:ascii="仿宋_GB2312" w:eastAsia="仿宋_GB2312"/>
          <w:kern w:val="0"/>
          <w:sz w:val="32"/>
          <w:szCs w:val="32"/>
        </w:rPr>
        <w:t>880.02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人员经费、公用经费以及项目支出。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513.52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36.85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取得脱贫攻坚全面胜利后，2021年部门决算无</w:t>
      </w:r>
      <w:r>
        <w:rPr>
          <w:rFonts w:hint="eastAsia" w:ascii="仿宋_GB2312" w:hAnsi="黑体" w:eastAsia="仿宋_GB2312" w:cs="仿宋_GB2312"/>
          <w:kern w:val="0"/>
          <w:sz w:val="32"/>
          <w:szCs w:val="32"/>
          <w:lang w:eastAsia="zh-CN"/>
        </w:rPr>
        <w:t>结对帮扶资金支出。</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4.住房保障支出</w:t>
      </w:r>
      <w:r>
        <w:rPr>
          <w:rFonts w:hint="eastAsia" w:ascii="仿宋_GB2312" w:eastAsia="仿宋_GB2312" w:cs="仿宋_GB2312"/>
          <w:kern w:val="0"/>
          <w:sz w:val="32"/>
          <w:szCs w:val="32"/>
        </w:rPr>
        <w:t>（类）</w:t>
      </w:r>
      <w:r>
        <w:rPr>
          <w:rFonts w:hint="eastAsia" w:ascii="仿宋_GB2312" w:eastAsia="仿宋_GB2312"/>
          <w:kern w:val="0"/>
          <w:sz w:val="32"/>
          <w:szCs w:val="32"/>
        </w:rPr>
        <w:t>47.52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在职人员的住房公积金缴纳。</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0.63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1.31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w:t>
      </w:r>
      <w:r>
        <w:rPr>
          <w:rFonts w:hint="eastAsia" w:ascii="仿宋_GB2312" w:hAnsi="黑体" w:eastAsia="仿宋_GB2312" w:cs="仿宋_GB2312"/>
          <w:kern w:val="0"/>
          <w:sz w:val="32"/>
          <w:szCs w:val="32"/>
          <w:lang w:eastAsia="zh-CN"/>
        </w:rPr>
        <w:t>无变化。</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67</w:t>
      </w:r>
      <w:r>
        <w:rPr>
          <w:rFonts w:hint="eastAsia" w:ascii="仿宋_GB2312" w:eastAsia="仿宋_GB2312" w:cs="仿宋_GB2312"/>
          <w:kern w:val="0"/>
          <w:sz w:val="32"/>
          <w:szCs w:val="32"/>
        </w:rPr>
        <w:t>万元，为以前年度</w:t>
      </w:r>
      <w:r>
        <w:rPr>
          <w:rFonts w:hint="eastAsia" w:ascii="仿宋_GB2312" w:eastAsia="仿宋_GB2312" w:cs="仿宋_GB2312"/>
          <w:kern w:val="0"/>
          <w:sz w:val="32"/>
          <w:szCs w:val="32"/>
          <w:lang w:eastAsia="zh-CN"/>
        </w:rPr>
        <w:t>结转结余</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：与财政部门对账后调整财政应返还额度。</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1079.83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eastAsia="仿宋_GB2312" w:cs="仿宋_GB2312"/>
          <w:bCs/>
          <w:kern w:val="0"/>
          <w:sz w:val="32"/>
          <w:szCs w:val="32"/>
          <w:lang w:val="en-US" w:eastAsia="zh-CN"/>
        </w:rPr>
        <w:t>517.1</w:t>
      </w:r>
      <w:r>
        <w:rPr>
          <w:rFonts w:hint="eastAsia" w:ascii="仿宋_GB2312" w:hAnsi="黑体" w:eastAsia="仿宋_GB2312" w:cs="仿宋_GB2312"/>
          <w:kern w:val="0"/>
          <w:sz w:val="32"/>
          <w:szCs w:val="32"/>
        </w:rPr>
        <w:t>万元，下降</w:t>
      </w:r>
      <w:r>
        <w:rPr>
          <w:rFonts w:hint="eastAsia" w:ascii="仿宋_GB2312" w:eastAsia="仿宋_GB2312" w:cs="仿宋_GB2312"/>
          <w:bCs/>
          <w:kern w:val="0"/>
          <w:sz w:val="32"/>
          <w:szCs w:val="32"/>
          <w:lang w:val="en-US" w:eastAsia="zh-CN"/>
        </w:rPr>
        <w:t>31.08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702.53</w:t>
      </w:r>
      <w:r>
        <w:rPr>
          <w:rFonts w:hint="eastAsia" w:ascii="仿宋_GB2312" w:eastAsia="仿宋_GB2312" w:cs="仿宋_GB2312"/>
          <w:kern w:val="0"/>
          <w:sz w:val="32"/>
          <w:szCs w:val="32"/>
        </w:rPr>
        <w:t>万元，项目支出</w:t>
      </w:r>
      <w:r>
        <w:rPr>
          <w:rFonts w:hint="eastAsia" w:ascii="仿宋_GB2312" w:eastAsia="仿宋_GB2312"/>
          <w:kern w:val="0"/>
          <w:sz w:val="32"/>
          <w:szCs w:val="32"/>
        </w:rPr>
        <w:t>377.3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公共预算财政拨款支出年初预算为1012</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6</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1079.83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106.64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2"/>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bCs/>
          <w:kern w:val="0"/>
          <w:sz w:val="32"/>
          <w:szCs w:val="32"/>
        </w:rPr>
        <w:t>社会保障和就业支出（类）行政事业单位养老支出（款） 行政单位离退休（项）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年初预算为12.24万元，支出决算为14.31万元，完成年初预算的</w:t>
      </w:r>
      <w:r>
        <w:rPr>
          <w:rFonts w:hint="eastAsia" w:ascii="仿宋_GB2312" w:hAnsi="黑体" w:eastAsia="仿宋_GB2312" w:cs="仿宋_GB2312"/>
          <w:kern w:val="0"/>
          <w:sz w:val="32"/>
          <w:szCs w:val="32"/>
          <w:lang w:val="en-US" w:eastAsia="zh-CN"/>
        </w:rPr>
        <w:t>116.91</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是增人增资以及事业单位绩效总量补差。</w:t>
      </w:r>
    </w:p>
    <w:p>
      <w:pPr>
        <w:numPr>
          <w:ilvl w:val="0"/>
          <w:numId w:val="2"/>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机关事业单位基本养老保险缴费支出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60.08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63.36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105.46</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是增人增资以及事业单位绩效总量补差。</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机关事业单位职业年金缴费支出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30.04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31.68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105.46</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是增人增资以及事业单位绩效总量补差。</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卫生健康支出（类）行政事业单位医疗（款）</w:t>
      </w:r>
      <w:r>
        <w:rPr>
          <w:rFonts w:hint="eastAsia" w:ascii="仿宋_GB2312" w:eastAsia="仿宋_GB2312" w:cs="仿宋_GB2312"/>
          <w:bCs/>
          <w:kern w:val="0"/>
          <w:sz w:val="32"/>
          <w:szCs w:val="32"/>
        </w:rPr>
        <w:t>行政单位医疗</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19.74万元，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20万元，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101.32%。</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是补机关</w:t>
      </w:r>
      <w:r>
        <w:rPr>
          <w:rFonts w:hint="eastAsia" w:ascii="仿宋_GB2312" w:eastAsia="仿宋_GB2312" w:cs="仿宋_GB2312"/>
          <w:bCs/>
          <w:kern w:val="0"/>
          <w:sz w:val="32"/>
          <w:szCs w:val="32"/>
          <w:lang w:val="en-US" w:eastAsia="zh-CN"/>
        </w:rPr>
        <w:t>2020年</w:t>
      </w:r>
      <w:r>
        <w:rPr>
          <w:rFonts w:hint="eastAsia" w:ascii="仿宋_GB2312" w:eastAsia="仿宋_GB2312" w:cs="仿宋_GB2312"/>
          <w:bCs/>
          <w:kern w:val="0"/>
          <w:sz w:val="32"/>
          <w:szCs w:val="32"/>
          <w:lang w:eastAsia="zh-CN"/>
        </w:rPr>
        <w:t>增人增资人员经费变动。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（五）卫生健康支出（类）行政事业单位医疗（款）事业单位医疗（项）。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9.64万元，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10.97万元，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113.8%。决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是2020年绩效总量补差人员经费变动</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（六）卫生健康支出（类）行政事业单位医疗（款）公务员医疗补助（项）。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10.15万元，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11.84万元，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116.65%。决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是财政局下达下半年公务员医疗补助差额。</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（七）卫生健康支出（类）行政事业单位医疗（款）其他行政事业单位医疗支出（项）。</w:t>
      </w:r>
      <w:r>
        <w:rPr>
          <w:rFonts w:hint="eastAsia" w:ascii="仿宋_GB2312" w:eastAsia="仿宋_GB2312" w:cs="仿宋_GB2312"/>
          <w:bCs/>
          <w:kern w:val="0"/>
          <w:sz w:val="32"/>
          <w:szCs w:val="32"/>
        </w:rPr>
        <w:t>年初</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预算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0.14万元。决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是结转2020年退休人员一次性缴纳医疗保险预算。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（八）农林水支出（类）扶贫（款）行政运行（项）。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276.37万元，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342.82万元，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124.04%。决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是补机关</w:t>
      </w:r>
      <w:r>
        <w:rPr>
          <w:rFonts w:hint="eastAsia" w:ascii="仿宋_GB2312" w:eastAsia="仿宋_GB2312" w:cs="仿宋_GB2312"/>
          <w:bCs/>
          <w:kern w:val="0"/>
          <w:sz w:val="32"/>
          <w:szCs w:val="32"/>
          <w:lang w:val="en-US" w:eastAsia="zh-CN"/>
        </w:rPr>
        <w:t>2020年绩效考评奖励。</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（九）农林水支出（类）扶贫（款）一般行政管理事务（项）。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162.95万元，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160.04万元，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98.21%。决</w:t>
      </w:r>
      <w:r>
        <w:rPr>
          <w:rFonts w:hint="eastAsia" w:ascii="仿宋_GB2312" w:eastAsia="仿宋_GB2312" w:cs="仿宋_GB2312"/>
          <w:bCs/>
          <w:kern w:val="0"/>
          <w:sz w:val="32"/>
          <w:szCs w:val="32"/>
        </w:rPr>
        <w:t>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是年末结余项目支出办公楼租赁费用和会议费。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（十）农林水支出（类）扶贫（款）扶贫事业机构（项）。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176.36万元，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189.89万元，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107.67%。决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是2020年绩效总量补差。</w:t>
      </w:r>
    </w:p>
    <w:p>
      <w:pPr>
        <w:autoSpaceDE w:val="0"/>
        <w:autoSpaceDN w:val="0"/>
        <w:adjustRightInd w:val="0"/>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cs="仿宋_GB2312"/>
          <w:bCs/>
          <w:kern w:val="0"/>
          <w:sz w:val="32"/>
          <w:szCs w:val="32"/>
          <w:lang w:val="en-US" w:eastAsia="zh-CN"/>
        </w:rPr>
        <w:t>（十一）农林水支出（类）扶贫（款）其他扶贫支出（项）。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210万元，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187.27万元，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89.18%。决</w:t>
      </w:r>
      <w:r>
        <w:rPr>
          <w:rFonts w:hint="eastAsia" w:ascii="仿宋_GB2312" w:eastAsia="仿宋_GB2312" w:cs="仿宋_GB2312"/>
          <w:bCs/>
          <w:kern w:val="0"/>
          <w:sz w:val="32"/>
          <w:szCs w:val="32"/>
        </w:rPr>
        <w:t>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一是调剂</w:t>
      </w:r>
      <w:r>
        <w:rPr>
          <w:rFonts w:hint="eastAsia" w:ascii="仿宋_GB2312" w:eastAsia="仿宋_GB2312" w:cs="仿宋_GB2312"/>
          <w:bCs/>
          <w:kern w:val="0"/>
          <w:sz w:val="32"/>
          <w:szCs w:val="32"/>
          <w:lang w:val="en-US" w:eastAsia="zh-CN"/>
        </w:rPr>
        <w:t>10万元至市水利局使用；二是调剂4万元至市机关事务管理局作为公务用车运行维护费；三是年末由财政收回未支用的工作经费。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sz w:val="32"/>
          <w:szCs w:val="32"/>
          <w:lang w:val="en-US" w:eastAsia="zh-CN"/>
        </w:rPr>
        <w:t>（十二）</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45.06万元，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47.52万元，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105.46%。决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是机关增人增资和二层绩效总量补差。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公共预算财政拨款基本支出702.53万元，支出具体情况如下：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（一）工资福利支出628.72万元，完成年初预算的</w:t>
      </w:r>
      <w:r>
        <w:rPr>
          <w:rFonts w:hint="eastAsia" w:ascii="仿宋_GB2312" w:eastAsia="仿宋_GB2312"/>
          <w:bCs/>
          <w:kern w:val="0"/>
          <w:sz w:val="32"/>
          <w:szCs w:val="32"/>
          <w:lang w:val="en-US" w:eastAsia="zh-CN"/>
        </w:rPr>
        <w:t>120.59</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决算数大于预算数的</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w:t>
      </w:r>
      <w:r>
        <w:rPr>
          <w:rFonts w:hint="eastAsia" w:ascii="仿宋_GB2312" w:eastAsia="仿宋_GB2312"/>
          <w:bCs/>
          <w:kern w:val="0"/>
          <w:sz w:val="32"/>
          <w:szCs w:val="32"/>
          <w:lang w:eastAsia="zh-CN"/>
        </w:rPr>
        <w:t>增人增资、补发</w:t>
      </w:r>
      <w:r>
        <w:rPr>
          <w:rFonts w:hint="eastAsia" w:ascii="仿宋_GB2312" w:eastAsia="仿宋_GB2312"/>
          <w:bCs/>
          <w:kern w:val="0"/>
          <w:sz w:val="32"/>
          <w:szCs w:val="32"/>
          <w:lang w:val="en-US" w:eastAsia="zh-CN"/>
        </w:rPr>
        <w:t>2020年绩效考评奖和</w:t>
      </w:r>
      <w:r>
        <w:rPr>
          <w:rFonts w:hint="eastAsia" w:ascii="仿宋_GB2312" w:eastAsia="仿宋_GB2312"/>
          <w:bCs/>
          <w:kern w:val="0"/>
          <w:sz w:val="32"/>
          <w:szCs w:val="32"/>
          <w:lang w:eastAsia="zh-CN"/>
        </w:rPr>
        <w:t>绩效总量补差。</w:t>
      </w:r>
    </w:p>
    <w:p>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（二）商品和服务支出62.23万元，完成年初预算的</w:t>
      </w:r>
      <w:r>
        <w:rPr>
          <w:rFonts w:hint="eastAsia" w:ascii="仿宋_GB2312" w:eastAsia="仿宋_GB2312"/>
          <w:bCs/>
          <w:kern w:val="0"/>
          <w:sz w:val="32"/>
          <w:szCs w:val="32"/>
          <w:lang w:val="en-US" w:eastAsia="zh-CN"/>
        </w:rPr>
        <w:t>81.82</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决算数小于预算数的</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w:t>
      </w:r>
      <w:r>
        <w:rPr>
          <w:rFonts w:hint="eastAsia" w:ascii="仿宋_GB2312" w:eastAsia="仿宋_GB2312"/>
          <w:bCs/>
          <w:kern w:val="0"/>
          <w:sz w:val="32"/>
          <w:szCs w:val="32"/>
          <w:lang w:eastAsia="zh-CN"/>
        </w:rPr>
        <w:t>结余公用经费、项目支出工作经费，年末由财政部门收回。</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（三）对个人和家庭的补助11.58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107.12</w:t>
      </w:r>
      <w:r>
        <w:rPr>
          <w:rFonts w:hint="eastAsia" w:ascii="仿宋_GB2312" w:eastAsia="仿宋_GB2312"/>
          <w:bCs/>
          <w:kern w:val="0"/>
          <w:sz w:val="32"/>
          <w:szCs w:val="32"/>
        </w:rPr>
        <w:t>%。</w:t>
      </w:r>
      <w:r>
        <w:rPr>
          <w:rFonts w:hint="eastAsia" w:ascii="仿宋_GB2312" w:eastAsia="仿宋_GB2312"/>
          <w:bCs/>
          <w:kern w:val="0"/>
          <w:sz w:val="32"/>
          <w:szCs w:val="32"/>
          <w:lang w:eastAsia="zh-CN"/>
        </w:rPr>
        <w:t>决算数大于预算数的</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是2021年</w:t>
      </w:r>
      <w:r>
        <w:rPr>
          <w:rFonts w:hint="eastAsia" w:ascii="仿宋_GB2312" w:eastAsia="仿宋_GB2312" w:cs="仿宋_GB2312"/>
          <w:bCs/>
          <w:kern w:val="0"/>
          <w:sz w:val="32"/>
          <w:szCs w:val="32"/>
          <w:lang w:val="en-US" w:eastAsia="zh-CN"/>
        </w:rPr>
        <w:t>3月</w:t>
      </w:r>
      <w:r>
        <w:rPr>
          <w:rFonts w:hint="eastAsia" w:ascii="仿宋_GB2312" w:eastAsia="仿宋_GB2312" w:cs="仿宋_GB2312"/>
          <w:bCs/>
          <w:kern w:val="0"/>
          <w:sz w:val="32"/>
          <w:szCs w:val="32"/>
          <w:lang w:eastAsia="zh-CN"/>
        </w:rPr>
        <w:t>新增一名退休人员，年末补发退休人员补助。</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 xml:space="preserve"> </w:t>
      </w: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numPr>
          <w:ilvl w:val="0"/>
          <w:numId w:val="0"/>
        </w:numPr>
        <w:autoSpaceDE w:val="0"/>
        <w:autoSpaceDN w:val="0"/>
        <w:adjustRightInd w:val="0"/>
        <w:spacing w:line="58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公共预算财政拨款安排的“三公”经费支出0.57万元，完成年初预算的</w:t>
      </w:r>
      <w:r>
        <w:rPr>
          <w:rFonts w:hint="eastAsia" w:ascii="仿宋_GB2312" w:eastAsia="仿宋_GB2312" w:cs="仿宋_GB2312"/>
          <w:b w:val="0"/>
          <w:bCs w:val="0"/>
          <w:kern w:val="0"/>
          <w:sz w:val="32"/>
          <w:szCs w:val="32"/>
          <w:lang w:val="en-US" w:eastAsia="zh-CN"/>
        </w:rPr>
        <w:t>83.8</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0.43</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2020年因疫情影响，接待业务较少；2021年在年初预算内根据实际工作需要开展接待业务</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0.57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相比无变化。</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相比无变化。</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相比无变化。</w:t>
      </w:r>
    </w:p>
    <w:p>
      <w:pPr>
        <w:numPr>
          <w:ilvl w:val="0"/>
          <w:numId w:val="1"/>
        </w:num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公务接待费支出0.57万元，完成年初预算的</w:t>
      </w:r>
      <w:r>
        <w:rPr>
          <w:rFonts w:hint="eastAsia" w:ascii="仿宋_GB2312" w:eastAsia="仿宋_GB2312" w:cs="仿宋_GB2312"/>
          <w:b w:val="0"/>
          <w:bCs w:val="0"/>
          <w:kern w:val="0"/>
          <w:sz w:val="32"/>
          <w:szCs w:val="32"/>
          <w:lang w:val="en-US" w:eastAsia="zh-CN"/>
        </w:rPr>
        <w:t>83.8</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0.43</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2020年因疫情影响，接待业务较少；2021年在年初预算内根据实际工作需要开展接待业务</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46</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48.44</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万元（与部门决算中行政单位和参照公务员法管理事业单位一般公共预算财政拨款基本支出中公用经费之和保持一致），比年初预算数减少</w:t>
      </w:r>
      <w:r>
        <w:rPr>
          <w:rFonts w:hint="eastAsia" w:ascii="仿宋_GB2312" w:eastAsia="仿宋_GB2312" w:cs="仿宋_GB2312"/>
          <w:kern w:val="0"/>
          <w:sz w:val="32"/>
          <w:szCs w:val="32"/>
          <w:lang w:val="en-US" w:eastAsia="zh-CN"/>
        </w:rPr>
        <w:t>2.76</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5.39</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公用经费略有结余，年末由财政部门收回</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2.09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4.51</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根据</w:t>
      </w:r>
      <w:r>
        <w:rPr>
          <w:rFonts w:hint="eastAsia" w:ascii="仿宋_GB2312" w:eastAsia="仿宋_GB2312" w:cs="仿宋_GB2312"/>
          <w:kern w:val="0"/>
          <w:sz w:val="32"/>
          <w:szCs w:val="32"/>
        </w:rPr>
        <w:t>人员编制数量</w:t>
      </w:r>
      <w:r>
        <w:rPr>
          <w:rFonts w:hint="eastAsia" w:ascii="仿宋_GB2312" w:eastAsia="仿宋_GB2312" w:cs="仿宋_GB2312"/>
          <w:kern w:val="0"/>
          <w:sz w:val="32"/>
          <w:szCs w:val="32"/>
          <w:lang w:eastAsia="zh-CN"/>
        </w:rPr>
        <w:t>和结构的变化，年初预算公用经费增加。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color w:val="FF0000"/>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26.18</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3.72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政府采购服务支出</w:t>
      </w:r>
      <w:r>
        <w:rPr>
          <w:rFonts w:hint="eastAsia" w:ascii="仿宋_GB2312" w:eastAsia="仿宋_GB2312" w:cs="仿宋_GB2312"/>
          <w:kern w:val="0"/>
          <w:sz w:val="32"/>
          <w:szCs w:val="32"/>
          <w:lang w:val="en-US" w:eastAsia="zh-CN"/>
        </w:rPr>
        <w:t>22.46</w:t>
      </w:r>
      <w:r>
        <w:rPr>
          <w:rFonts w:hint="eastAsia" w:ascii="仿宋_GB2312" w:eastAsia="仿宋_GB2312" w:cs="仿宋_GB2312"/>
          <w:kern w:val="0"/>
          <w:sz w:val="32"/>
          <w:szCs w:val="32"/>
        </w:rPr>
        <w:t>万元。</w:t>
      </w:r>
      <w:r>
        <w:rPr>
          <w:rFonts w:hint="eastAsia" w:ascii="仿宋_GB2312" w:eastAsia="仿宋_GB2312" w:cs="仿宋_GB2312"/>
          <w:color w:val="auto"/>
          <w:kern w:val="0"/>
          <w:sz w:val="32"/>
          <w:szCs w:val="32"/>
        </w:rPr>
        <w:t>授予中小企业合同金额</w:t>
      </w:r>
      <w:r>
        <w:rPr>
          <w:rFonts w:hint="eastAsia" w:ascii="仿宋_GB2312" w:eastAsia="仿宋_GB2312" w:cs="仿宋_GB2312"/>
          <w:color w:val="auto"/>
          <w:kern w:val="0"/>
          <w:sz w:val="32"/>
          <w:szCs w:val="32"/>
          <w:lang w:val="en-US" w:eastAsia="zh-CN"/>
        </w:rPr>
        <w:t>21.63</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82.63</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21.63</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82.63</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w:t>
      </w:r>
      <w:r>
        <w:rPr>
          <w:rFonts w:hint="eastAsia" w:ascii="仿宋_GB2312" w:eastAsia="仿宋_GB2312" w:cs="仿宋_GB2312"/>
          <w:kern w:val="0"/>
          <w:sz w:val="32"/>
          <w:szCs w:val="32"/>
          <w:lang w:eastAsia="zh-CN"/>
        </w:rPr>
        <w:t>元以</w:t>
      </w:r>
      <w:r>
        <w:rPr>
          <w:rFonts w:hint="eastAsia" w:ascii="仿宋_GB2312" w:eastAsia="仿宋_GB2312" w:cs="仿宋_GB2312"/>
          <w:kern w:val="0"/>
          <w:sz w:val="32"/>
          <w:szCs w:val="32"/>
        </w:rPr>
        <w:t>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两个</w:t>
      </w:r>
      <w:r>
        <w:rPr>
          <w:rFonts w:hint="eastAsia" w:ascii="仿宋_GB2312" w:eastAsia="仿宋_GB2312" w:cs="仿宋_GB2312"/>
          <w:kern w:val="0"/>
          <w:sz w:val="32"/>
          <w:szCs w:val="32"/>
        </w:rPr>
        <w:t>一般公共预算项目支出开展绩效自评</w:t>
      </w:r>
      <w:r>
        <w:rPr>
          <w:rFonts w:hint="eastAsia" w:ascii="仿宋_GB2312" w:eastAsia="仿宋_GB2312" w:cs="仿宋_GB2312"/>
          <w:kern w:val="0"/>
          <w:sz w:val="32"/>
          <w:szCs w:val="32"/>
          <w:lang w:eastAsia="zh-CN"/>
        </w:rPr>
        <w:t>，分别为精准扶贫工作经费和办公楼租赁费用，</w:t>
      </w:r>
      <w:r>
        <w:rPr>
          <w:rFonts w:hint="eastAsia" w:ascii="仿宋_GB2312" w:eastAsia="仿宋_GB2312" w:cs="仿宋_GB2312"/>
          <w:kern w:val="0"/>
          <w:sz w:val="32"/>
          <w:szCs w:val="32"/>
        </w:rPr>
        <w:t>共涉及资金</w:t>
      </w:r>
      <w:r>
        <w:rPr>
          <w:rFonts w:hint="eastAsia" w:ascii="仿宋_GB2312" w:eastAsia="仿宋_GB2312" w:cs="仿宋_GB2312"/>
          <w:kern w:val="0"/>
          <w:sz w:val="32"/>
          <w:szCs w:val="32"/>
          <w:lang w:val="en-US" w:eastAsia="zh-CN"/>
        </w:rPr>
        <w:t>173.17</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16.04</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柳州市乡村振兴局、柳州市扶贫开发综合服务中心两个单位</w:t>
      </w:r>
      <w:r>
        <w:rPr>
          <w:rFonts w:hint="eastAsia" w:ascii="仿宋_GB2312" w:eastAsia="仿宋_GB2312" w:cs="仿宋_GB2312"/>
          <w:kern w:val="0"/>
          <w:sz w:val="32"/>
          <w:szCs w:val="32"/>
        </w:rPr>
        <w:t xml:space="preserve">开展整体支出绩效评价，涉及一般公共预算支出   </w:t>
      </w:r>
      <w:r>
        <w:rPr>
          <w:rFonts w:hint="eastAsia" w:ascii="仿宋_GB2312" w:eastAsia="仿宋_GB2312" w:cs="仿宋_GB2312"/>
          <w:kern w:val="0"/>
          <w:sz w:val="32"/>
          <w:szCs w:val="32"/>
          <w:lang w:val="en-US" w:eastAsia="zh-CN"/>
        </w:rPr>
        <w:t>1079.83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精准扶贫工作经费和办公楼租赁费用两个项目</w:t>
      </w:r>
      <w:r>
        <w:rPr>
          <w:rFonts w:hint="eastAsia" w:ascii="仿宋_GB2312" w:eastAsia="仿宋_GB2312" w:cs="仿宋_GB2312"/>
          <w:kern w:val="0"/>
          <w:sz w:val="32"/>
          <w:szCs w:val="32"/>
        </w:rPr>
        <w:t>自评得分</w:t>
      </w:r>
      <w:r>
        <w:rPr>
          <w:rFonts w:hint="eastAsia" w:ascii="仿宋_GB2312" w:eastAsia="仿宋_GB2312" w:cs="仿宋_GB2312"/>
          <w:kern w:val="0"/>
          <w:sz w:val="32"/>
          <w:szCs w:val="32"/>
          <w:lang w:eastAsia="zh-CN"/>
        </w:rPr>
        <w:t>均</w:t>
      </w:r>
      <w:r>
        <w:rPr>
          <w:rFonts w:hint="eastAsia" w:ascii="仿宋_GB2312" w:eastAsia="仿宋_GB2312" w:cs="仿宋_GB2312"/>
          <w:kern w:val="0"/>
          <w:sz w:val="32"/>
          <w:szCs w:val="32"/>
        </w:rPr>
        <w:t>为</w:t>
      </w:r>
      <w:r>
        <w:rPr>
          <w:rFonts w:hint="eastAsia" w:ascii="仿宋_GB2312" w:eastAsia="仿宋_GB2312" w:cs="仿宋_GB2312"/>
          <w:kern w:val="0"/>
          <w:sz w:val="32"/>
          <w:szCs w:val="32"/>
          <w:lang w:val="en-US" w:eastAsia="zh-CN"/>
        </w:rPr>
        <w:t>90</w:t>
      </w:r>
      <w:r>
        <w:rPr>
          <w:rFonts w:hint="eastAsia" w:ascii="仿宋_GB2312" w:eastAsia="仿宋_GB2312" w:cs="仿宋_GB2312"/>
          <w:kern w:val="0"/>
          <w:sz w:val="32"/>
          <w:szCs w:val="32"/>
        </w:rPr>
        <w:t>分。发现的主要问题是</w:t>
      </w:r>
      <w:r>
        <w:rPr>
          <w:rFonts w:hint="eastAsia" w:ascii="仿宋_GB2312" w:eastAsia="仿宋_GB2312" w:cs="仿宋_GB2312"/>
          <w:kern w:val="0"/>
          <w:sz w:val="32"/>
          <w:szCs w:val="32"/>
          <w:lang w:eastAsia="zh-CN"/>
        </w:rPr>
        <w:t>指标设置不够完整</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更加严格地按照</w:t>
      </w:r>
      <w:r>
        <w:rPr>
          <w:rFonts w:hint="eastAsia" w:ascii="仿宋_GB2312" w:hAnsi="仿宋_GB2312" w:eastAsia="仿宋_GB2312" w:cs="仿宋_GB2312"/>
          <w:kern w:val="0"/>
          <w:sz w:val="32"/>
          <w:szCs w:val="32"/>
        </w:rPr>
        <w:t>预算绩效管理工作</w:t>
      </w:r>
      <w:r>
        <w:rPr>
          <w:rFonts w:hint="eastAsia" w:ascii="仿宋_GB2312" w:hAnsi="仿宋_GB2312" w:eastAsia="仿宋_GB2312" w:cs="仿宋_GB2312"/>
          <w:kern w:val="0"/>
          <w:sz w:val="32"/>
          <w:szCs w:val="32"/>
          <w:lang w:eastAsia="zh-CN"/>
        </w:rPr>
        <w:t>要求，准确制定预算绩效各项、各级指标</w:t>
      </w:r>
      <w:r>
        <w:rPr>
          <w:rFonts w:hint="eastAsia" w:ascii="仿宋_GB2312" w:eastAsia="仿宋_GB2312" w:cs="仿宋_GB2312"/>
          <w:kern w:val="0"/>
          <w:sz w:val="32"/>
          <w:szCs w:val="32"/>
        </w:rPr>
        <w:t>。</w:t>
      </w:r>
    </w:p>
    <w:p>
      <w:pPr>
        <w:autoSpaceDE w:val="0"/>
        <w:autoSpaceDN w:val="0"/>
        <w:adjustRightInd w:val="0"/>
        <w:spacing w:line="580" w:lineRule="exact"/>
        <w:jc w:val="left"/>
        <w:rPr>
          <w:rFonts w:hint="eastAsia" w:ascii="仿宋_GB2312" w:eastAsia="仿宋_GB2312"/>
          <w:b/>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07C55"/>
    <w:multiLevelType w:val="singleLevel"/>
    <w:tmpl w:val="F1907C55"/>
    <w:lvl w:ilvl="0" w:tentative="0">
      <w:start w:val="1"/>
      <w:numFmt w:val="chineseCounting"/>
      <w:suff w:val="nothing"/>
      <w:lvlText w:val="（%1）"/>
      <w:lvlJc w:val="left"/>
      <w:rPr>
        <w:rFonts w:hint="eastAsia"/>
      </w:rPr>
    </w:lvl>
  </w:abstractNum>
  <w:abstractNum w:abstractNumId="1">
    <w:nsid w:val="30581069"/>
    <w:multiLevelType w:val="singleLevel"/>
    <w:tmpl w:val="30581069"/>
    <w:lvl w:ilvl="0" w:tentative="0">
      <w:start w:val="1"/>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251ED1"/>
    <w:rsid w:val="00384AC9"/>
    <w:rsid w:val="006C1367"/>
    <w:rsid w:val="00711398"/>
    <w:rsid w:val="00715385"/>
    <w:rsid w:val="00F66C5B"/>
    <w:rsid w:val="01132075"/>
    <w:rsid w:val="01B004EB"/>
    <w:rsid w:val="02CB6603"/>
    <w:rsid w:val="03216C5C"/>
    <w:rsid w:val="03736D1E"/>
    <w:rsid w:val="04116C22"/>
    <w:rsid w:val="04574DCB"/>
    <w:rsid w:val="04694C79"/>
    <w:rsid w:val="047053CD"/>
    <w:rsid w:val="04901723"/>
    <w:rsid w:val="04C741A0"/>
    <w:rsid w:val="04F95453"/>
    <w:rsid w:val="06497D4D"/>
    <w:rsid w:val="06533C6D"/>
    <w:rsid w:val="073C5A0C"/>
    <w:rsid w:val="07AB4549"/>
    <w:rsid w:val="08526378"/>
    <w:rsid w:val="08600D1B"/>
    <w:rsid w:val="087E356D"/>
    <w:rsid w:val="098C7EC8"/>
    <w:rsid w:val="098E5576"/>
    <w:rsid w:val="0AB51057"/>
    <w:rsid w:val="0AEC0A40"/>
    <w:rsid w:val="0B317B90"/>
    <w:rsid w:val="0B326CC3"/>
    <w:rsid w:val="0B647E59"/>
    <w:rsid w:val="0B8774CE"/>
    <w:rsid w:val="0BAA6208"/>
    <w:rsid w:val="0C646C00"/>
    <w:rsid w:val="0C84387B"/>
    <w:rsid w:val="0C8A03A2"/>
    <w:rsid w:val="0D1D1A89"/>
    <w:rsid w:val="0DB951EE"/>
    <w:rsid w:val="0E07580B"/>
    <w:rsid w:val="0E667D6F"/>
    <w:rsid w:val="0F4D1A4B"/>
    <w:rsid w:val="0F4E6530"/>
    <w:rsid w:val="0F682E78"/>
    <w:rsid w:val="0FA679C4"/>
    <w:rsid w:val="0FD3692F"/>
    <w:rsid w:val="0FE058E3"/>
    <w:rsid w:val="11330AE2"/>
    <w:rsid w:val="11717935"/>
    <w:rsid w:val="11A27838"/>
    <w:rsid w:val="11DF6024"/>
    <w:rsid w:val="1220039A"/>
    <w:rsid w:val="124204B5"/>
    <w:rsid w:val="127B6060"/>
    <w:rsid w:val="12DD144F"/>
    <w:rsid w:val="12DE11F5"/>
    <w:rsid w:val="133601D1"/>
    <w:rsid w:val="1339173D"/>
    <w:rsid w:val="13633942"/>
    <w:rsid w:val="14DC46A2"/>
    <w:rsid w:val="15143459"/>
    <w:rsid w:val="155A4F9F"/>
    <w:rsid w:val="15D3167E"/>
    <w:rsid w:val="15EC74EF"/>
    <w:rsid w:val="16294578"/>
    <w:rsid w:val="16CF0723"/>
    <w:rsid w:val="17343AFE"/>
    <w:rsid w:val="17391696"/>
    <w:rsid w:val="175A2558"/>
    <w:rsid w:val="18561D29"/>
    <w:rsid w:val="187F5FB2"/>
    <w:rsid w:val="18BD026F"/>
    <w:rsid w:val="191E06FF"/>
    <w:rsid w:val="192704B0"/>
    <w:rsid w:val="19381CB9"/>
    <w:rsid w:val="19C275DD"/>
    <w:rsid w:val="19CD74AA"/>
    <w:rsid w:val="19DD0025"/>
    <w:rsid w:val="1A4A57F6"/>
    <w:rsid w:val="1ABF037A"/>
    <w:rsid w:val="1B575E16"/>
    <w:rsid w:val="1B5E18C9"/>
    <w:rsid w:val="1B636F5A"/>
    <w:rsid w:val="1C516588"/>
    <w:rsid w:val="1CC86240"/>
    <w:rsid w:val="1E235808"/>
    <w:rsid w:val="1E3D1BB1"/>
    <w:rsid w:val="1ED34BC8"/>
    <w:rsid w:val="1F295AE5"/>
    <w:rsid w:val="1F5D4FA5"/>
    <w:rsid w:val="1F8644E9"/>
    <w:rsid w:val="1FAF4070"/>
    <w:rsid w:val="200101F6"/>
    <w:rsid w:val="21DD3225"/>
    <w:rsid w:val="21DD6F58"/>
    <w:rsid w:val="230B1B3B"/>
    <w:rsid w:val="25306E34"/>
    <w:rsid w:val="25816146"/>
    <w:rsid w:val="25CD441C"/>
    <w:rsid w:val="26460DBA"/>
    <w:rsid w:val="26E954CE"/>
    <w:rsid w:val="27174C5C"/>
    <w:rsid w:val="27D752F3"/>
    <w:rsid w:val="27FF6B09"/>
    <w:rsid w:val="2864395D"/>
    <w:rsid w:val="289B62AC"/>
    <w:rsid w:val="291914F3"/>
    <w:rsid w:val="29B603A1"/>
    <w:rsid w:val="29E35A39"/>
    <w:rsid w:val="2A0E09DD"/>
    <w:rsid w:val="2B1D13D2"/>
    <w:rsid w:val="2B6F74EB"/>
    <w:rsid w:val="2B960D3A"/>
    <w:rsid w:val="2C4219FE"/>
    <w:rsid w:val="2C577FEB"/>
    <w:rsid w:val="2D351F4C"/>
    <w:rsid w:val="2E6C0887"/>
    <w:rsid w:val="2F337937"/>
    <w:rsid w:val="30E17C6C"/>
    <w:rsid w:val="3113054A"/>
    <w:rsid w:val="3130066B"/>
    <w:rsid w:val="318E4936"/>
    <w:rsid w:val="31A61299"/>
    <w:rsid w:val="31C56F90"/>
    <w:rsid w:val="31CB3397"/>
    <w:rsid w:val="32097BE8"/>
    <w:rsid w:val="33030C5A"/>
    <w:rsid w:val="34020F86"/>
    <w:rsid w:val="349C5735"/>
    <w:rsid w:val="34EE6FC0"/>
    <w:rsid w:val="36F603FC"/>
    <w:rsid w:val="37A47ACE"/>
    <w:rsid w:val="38313D1F"/>
    <w:rsid w:val="38F07759"/>
    <w:rsid w:val="3981199F"/>
    <w:rsid w:val="39A63F06"/>
    <w:rsid w:val="39BD4254"/>
    <w:rsid w:val="39C26F17"/>
    <w:rsid w:val="3A3F7DC4"/>
    <w:rsid w:val="3A51399A"/>
    <w:rsid w:val="3ABA2996"/>
    <w:rsid w:val="3AD61D64"/>
    <w:rsid w:val="3BF21AC7"/>
    <w:rsid w:val="3C6151AC"/>
    <w:rsid w:val="3C7241D1"/>
    <w:rsid w:val="3C971A42"/>
    <w:rsid w:val="3CEB3144"/>
    <w:rsid w:val="3E2941A1"/>
    <w:rsid w:val="3ED1439F"/>
    <w:rsid w:val="3F344432"/>
    <w:rsid w:val="405947FD"/>
    <w:rsid w:val="40F22FF0"/>
    <w:rsid w:val="41527A06"/>
    <w:rsid w:val="41A84B7D"/>
    <w:rsid w:val="425776CB"/>
    <w:rsid w:val="42E5706F"/>
    <w:rsid w:val="442A09BD"/>
    <w:rsid w:val="443B5366"/>
    <w:rsid w:val="4470276F"/>
    <w:rsid w:val="448A3E7E"/>
    <w:rsid w:val="4518751A"/>
    <w:rsid w:val="452B7D75"/>
    <w:rsid w:val="45414FDB"/>
    <w:rsid w:val="45575710"/>
    <w:rsid w:val="45A6765A"/>
    <w:rsid w:val="45BE2D69"/>
    <w:rsid w:val="46260F05"/>
    <w:rsid w:val="465C3E48"/>
    <w:rsid w:val="46617224"/>
    <w:rsid w:val="46C50B94"/>
    <w:rsid w:val="47954C75"/>
    <w:rsid w:val="47A86294"/>
    <w:rsid w:val="480E36B2"/>
    <w:rsid w:val="48D23ACB"/>
    <w:rsid w:val="49860E63"/>
    <w:rsid w:val="49A001C5"/>
    <w:rsid w:val="49A20F02"/>
    <w:rsid w:val="4A741430"/>
    <w:rsid w:val="4AC1442A"/>
    <w:rsid w:val="4B1B4D3D"/>
    <w:rsid w:val="4C256E3D"/>
    <w:rsid w:val="4CB52F0F"/>
    <w:rsid w:val="4CC651C1"/>
    <w:rsid w:val="4CE53ACE"/>
    <w:rsid w:val="4D5C3463"/>
    <w:rsid w:val="4E0340FF"/>
    <w:rsid w:val="4FEC24D1"/>
    <w:rsid w:val="4FF86034"/>
    <w:rsid w:val="4FFB5F71"/>
    <w:rsid w:val="50543D71"/>
    <w:rsid w:val="50FE147C"/>
    <w:rsid w:val="51861EAA"/>
    <w:rsid w:val="531420AA"/>
    <w:rsid w:val="531F0BDB"/>
    <w:rsid w:val="532F1F9A"/>
    <w:rsid w:val="53DD1713"/>
    <w:rsid w:val="54EA36E9"/>
    <w:rsid w:val="54F30AFF"/>
    <w:rsid w:val="55082C0E"/>
    <w:rsid w:val="553070FF"/>
    <w:rsid w:val="56FA10A0"/>
    <w:rsid w:val="57AD449A"/>
    <w:rsid w:val="57E10133"/>
    <w:rsid w:val="59254877"/>
    <w:rsid w:val="592A4D18"/>
    <w:rsid w:val="594228BC"/>
    <w:rsid w:val="596E587D"/>
    <w:rsid w:val="59C74F9D"/>
    <w:rsid w:val="5A1621F4"/>
    <w:rsid w:val="5A1E6D4B"/>
    <w:rsid w:val="5B75163D"/>
    <w:rsid w:val="5C4010A6"/>
    <w:rsid w:val="5CCA7DB7"/>
    <w:rsid w:val="5CE243A0"/>
    <w:rsid w:val="5D4733EB"/>
    <w:rsid w:val="5DE03014"/>
    <w:rsid w:val="5E8C66BB"/>
    <w:rsid w:val="5E995A3E"/>
    <w:rsid w:val="5F50006C"/>
    <w:rsid w:val="60096531"/>
    <w:rsid w:val="603C5245"/>
    <w:rsid w:val="607D3B1D"/>
    <w:rsid w:val="61270823"/>
    <w:rsid w:val="6180658A"/>
    <w:rsid w:val="61AA60CB"/>
    <w:rsid w:val="61ED02A5"/>
    <w:rsid w:val="62163194"/>
    <w:rsid w:val="624D024D"/>
    <w:rsid w:val="62C0770D"/>
    <w:rsid w:val="64745ED6"/>
    <w:rsid w:val="64927B3F"/>
    <w:rsid w:val="650E086A"/>
    <w:rsid w:val="667347C9"/>
    <w:rsid w:val="6741579D"/>
    <w:rsid w:val="67BA5D7C"/>
    <w:rsid w:val="687920C5"/>
    <w:rsid w:val="69225E4F"/>
    <w:rsid w:val="6935779F"/>
    <w:rsid w:val="696C3BF6"/>
    <w:rsid w:val="69AA0AC3"/>
    <w:rsid w:val="6A1B1EA3"/>
    <w:rsid w:val="6B147153"/>
    <w:rsid w:val="6BAA0708"/>
    <w:rsid w:val="6C576AB5"/>
    <w:rsid w:val="6C644543"/>
    <w:rsid w:val="6CED564A"/>
    <w:rsid w:val="6D79748D"/>
    <w:rsid w:val="6D9E7190"/>
    <w:rsid w:val="6E930ADD"/>
    <w:rsid w:val="6EBC5CB7"/>
    <w:rsid w:val="6EE801B6"/>
    <w:rsid w:val="6F417F16"/>
    <w:rsid w:val="6FEC2444"/>
    <w:rsid w:val="709263A6"/>
    <w:rsid w:val="70B06A78"/>
    <w:rsid w:val="70BE646A"/>
    <w:rsid w:val="71232CA4"/>
    <w:rsid w:val="72191D6B"/>
    <w:rsid w:val="73A9485B"/>
    <w:rsid w:val="73B63314"/>
    <w:rsid w:val="747D416B"/>
    <w:rsid w:val="76265A47"/>
    <w:rsid w:val="76372A98"/>
    <w:rsid w:val="77262D18"/>
    <w:rsid w:val="77A16D55"/>
    <w:rsid w:val="786D277C"/>
    <w:rsid w:val="79396048"/>
    <w:rsid w:val="79905DF4"/>
    <w:rsid w:val="7A4465DD"/>
    <w:rsid w:val="7A7A4D5A"/>
    <w:rsid w:val="7AEF291E"/>
    <w:rsid w:val="7C2C6BE6"/>
    <w:rsid w:val="7C7655FE"/>
    <w:rsid w:val="7CF4794D"/>
    <w:rsid w:val="7D2637FC"/>
    <w:rsid w:val="7D734EFE"/>
    <w:rsid w:val="7DC23CF9"/>
    <w:rsid w:val="7E431D64"/>
    <w:rsid w:val="7EF0403C"/>
    <w:rsid w:val="7F2476F7"/>
    <w:rsid w:val="7FB3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paragraph" w:customStyle="1" w:styleId="9">
    <w:name w:val="正文1"/>
    <w:basedOn w:val="10"/>
    <w:qFormat/>
    <w:uiPriority w:val="3"/>
    <w:pPr>
      <w:widowControl/>
      <w:jc w:val="both"/>
    </w:pPr>
    <w:rPr>
      <w:rFonts w:ascii="Times New Roman" w:hAnsi="Times New Roman" w:eastAsia="Times New Roman"/>
      <w:sz w:val="21"/>
    </w:rPr>
  </w:style>
  <w:style w:type="paragraph" w:customStyle="1" w:styleId="10">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AAA</cp:lastModifiedBy>
  <cp:lastPrinted>2021-07-07T01:10:00Z</cp:lastPrinted>
  <dcterms:modified xsi:type="dcterms:W3CDTF">2022-07-29T08:44:51Z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