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ind w:firstLine="4160" w:firstLineChars="800"/>
        <w:jc w:val="both"/>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发展和改革委员会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184" w:firstLineChars="1400"/>
        <w:jc w:val="both"/>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w:t>
      </w:r>
      <w:r>
        <w:rPr>
          <w:rFonts w:hint="eastAsia" w:ascii="仿宋_GB2312" w:eastAsia="仿宋_GB2312"/>
          <w:b/>
          <w:sz w:val="32"/>
          <w:szCs w:val="32"/>
          <w:lang w:eastAsia="zh-CN"/>
        </w:rPr>
        <w:t>发展和改革委员会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第二部分：柳州市</w:t>
      </w:r>
      <w:r>
        <w:rPr>
          <w:rFonts w:hint="eastAsia" w:ascii="仿宋_GB2312" w:eastAsia="仿宋_GB2312"/>
          <w:b/>
          <w:sz w:val="32"/>
          <w:szCs w:val="32"/>
          <w:lang w:eastAsia="zh-CN"/>
        </w:rPr>
        <w:t>发展和改革委员会2021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第三部分：柳州市</w:t>
      </w:r>
      <w:r>
        <w:rPr>
          <w:rFonts w:hint="eastAsia" w:ascii="仿宋_GB2312" w:eastAsia="仿宋_GB2312"/>
          <w:b/>
          <w:sz w:val="32"/>
          <w:szCs w:val="32"/>
          <w:lang w:eastAsia="zh-CN"/>
        </w:rPr>
        <w:t>发展和改革委员会2021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w:t>
      </w:r>
      <w:r>
        <w:rPr>
          <w:rFonts w:hint="eastAsia" w:ascii="仿宋_GB2312" w:eastAsia="仿宋_GB2312"/>
          <w:b/>
          <w:sz w:val="32"/>
          <w:szCs w:val="32"/>
          <w:lang w:eastAsia="zh-CN"/>
        </w:rPr>
        <w:t>发展和改革委员会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贯彻执行国家、自治区国民经济和社会发展战略，拟订并组织实施全市国民经济和社会发展中长期规划。牵头组织全市统一规划体系建设。起草全市国民经济和社会发展等有关规范性文件。</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提出加快建设全市现代化经济体系、推动高质量发展的总体目标、重大任务以及相关政策建议。组织开展重大规划、重大政策、重大项目实施等的评估督导，提出相关调整建议。</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统筹提出全市国民经济和社会发展主要目标，监测预测预警全市宏观经济和社会发展趋势，提出宏观调控政策建议。协调解决经济运行中的重大问题。</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指导推进和综合协调全市经济体制改革有关工作，提出相关改革建议。组织推进供给侧结构性改革。协调推进产权制度和要素市场化配置改革。推动完善基本经济制度和现代市场体系建设。</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研究提出利用外资和境外投资的规划、总量平衡和结构优化政策建议。组织拟订柳州市参与“一带一路”建设的重大政策，统筹协调、研究解决相关重大事项和重大问题。</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全市投资综合管理，拟订固定资产投资总规模结构调控目标和政策措施。按分工安排全市财政性基本建设资金，按规定权限审批、核准、审核、备案重要项目。规划全市生产力布局。拟订并推动落实鼓励和引导民间投资的政策措施。</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规划全市重大项目建设布局，组织提出加强重大项目管理政策建议并监督实施。协调重大项目相关问题。衔接平衡涉及重大项目专项规划，按相关程序初审转报重大项目。</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推进落实区域协调发展战略、新型城镇化战略和重大政策，组织拟订相关规划和政策。统筹推进实施国家和自治区重大区域发展战略，促进高水平开放、高质量发展。组织编制并推动实施新型城镇化规划。推进实施国家西部开发战略、规划及重大政策。</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组织拟订全市综合性产业政策。协调一二三产业发展重大问题并统筹衔接相关发展规划和重大政策。协调推进能源和交通运输等重大基础设施建设发展，组织拟订并推动实施服务业及现代物流业规划和政策。</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推动实施创新驱动发展战略。会同相关部门拟订推进创新创业的规划和政策，提出创新发展和培育经济发展新动能的政策。组织拟订并推动实施高技术产业和战略性新兴产业发展规划政策，协调产业升级等方面的重大问题。</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跟踪研判涉及全市经济安全、生态安全、资源安全、科技安全、社会安全等各类风险隐患，提出相关工作建议。落实全市重要商品总量平衡和宏观调控相关工作。会同有关部门拟订全市储备物资品种目录、总体发展规划。</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负责全市社会发展与国民经济发展的政策衔接，协调有关重大问题。牵头开展社会信用体系建设。</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推进实施可持续发展战略，推动生态文明建设和改革，协调生态环境保护与修复、能源资源节约和综合利用等工作。</w:t>
      </w:r>
      <w:r>
        <w:rPr>
          <w:rFonts w:hint="eastAsia" w:ascii="仿宋_GB2312" w:hAnsi="仿宋_GB2312" w:eastAsia="仿宋_GB2312" w:cs="仿宋_GB2312"/>
          <w:color w:val="333333"/>
          <w:sz w:val="32"/>
          <w:szCs w:val="32"/>
          <w:shd w:val="clear" w:color="auto" w:fill="FFFFFF"/>
          <w:lang w:val="en-US" w:eastAsia="zh-CN"/>
        </w:rPr>
        <w:t xml:space="preserve">  </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牵头推进全市优化营商环境工作，研究提出优化营商环境重大政策建议，统筹协调优化营商环境重大事项。综合研判社会消费变动趋势，拟订实施促进消费的综合性政策措施。</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拟订并实施全市革命老区、少数民族地区、石漠化片区、贫困地区发展规划和政策。起草全市易地扶贫搬迁工作规范性文件。组织拟订并实施全市易地扶贫搬迁移民工作中长期规划计划、安置规划及投资计划。</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拟订并组织实施有关价格政策，提出全市年度价格总水平调控目标及价格调控措施并组织实施。监测、预测全市价格总水平，以及重要商品、服务价格水平和变动趋势。承担行政事业性收费管理工作。</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研究能源开发和利用，提出全市综合能源发展规划和重大政策并组织实施，完善对能源产业的管理，推进能源结构性调整，拟订能源行业发展规划。规划能源重大项目布局，提出能源消费控制目标、任务并组织实施。</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负责起草全市粮食流通和物资储备管理的规范性文件。拟订柳州市储备总体发展规划和品种目录，组织实施储备物资的收储、轮换、日常管理等工作。负责全市粮食流通、加工行业安全生产工作的监督管理。</w:t>
      </w:r>
    </w:p>
    <w:p>
      <w:pPr>
        <w:numPr>
          <w:ilvl w:val="0"/>
          <w:numId w:val="1"/>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完成市委、市政府交办的其他任务。</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hAnsi="黑体" w:eastAsia="仿宋_GB2312" w:cs="黑体"/>
          <w:b/>
          <w:bCs/>
          <w:kern w:val="0"/>
          <w:sz w:val="32"/>
          <w:szCs w:val="32"/>
        </w:rPr>
      </w:pPr>
      <w:r>
        <w:rPr>
          <w:rFonts w:hint="eastAsia" w:ascii="仿宋_GB2312" w:eastAsia="仿宋_GB2312"/>
          <w:sz w:val="32"/>
          <w:szCs w:val="32"/>
        </w:rPr>
        <w:t>二、部门决算单位构成</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56" w:after="156" w:line="620" w:lineRule="exact"/>
        <w:jc w:val="center"/>
        <w:rPr>
          <w:rFonts w:hint="eastAsia" w:ascii="仿宋_GB2312" w:hAnsi="黑体" w:eastAsia="仿宋_GB2312" w:cs="黑体"/>
          <w:b/>
          <w:bCs/>
          <w:kern w:val="0"/>
          <w:sz w:val="32"/>
          <w:szCs w:val="32"/>
          <w:lang w:val="en-US" w:eastAsia="zh-CN"/>
        </w:rPr>
      </w:pPr>
      <w:r>
        <w:rPr>
          <w:rFonts w:hint="eastAsia" w:ascii="仿宋_GB2312" w:hAnsi="黑体" w:eastAsia="仿宋_GB2312" w:cs="黑体"/>
          <w:b/>
          <w:bCs/>
          <w:kern w:val="0"/>
          <w:sz w:val="32"/>
          <w:szCs w:val="32"/>
        </w:rPr>
        <w:t>机构和人员情况表</w:t>
      </w:r>
      <w:r>
        <w:rPr>
          <w:rFonts w:hint="eastAsia" w:ascii="仿宋_GB2312" w:hAnsi="黑体" w:eastAsia="仿宋_GB2312" w:cs="黑体"/>
          <w:b/>
          <w:bCs/>
          <w:kern w:val="0"/>
          <w:sz w:val="32"/>
          <w:szCs w:val="32"/>
          <w:lang w:val="en-US" w:eastAsia="zh-CN"/>
        </w:rPr>
        <w:t xml:space="preserve">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right="315"/>
        <w:jc w:val="right"/>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单位：人</w:t>
      </w:r>
    </w:p>
    <w:tbl>
      <w:tblPr>
        <w:tblStyle w:val="4"/>
        <w:tblW w:w="14008" w:type="dxa"/>
        <w:tblInd w:w="0" w:type="dxa"/>
        <w:tblLayout w:type="fixed"/>
        <w:tblCellMar>
          <w:top w:w="20" w:type="dxa"/>
          <w:left w:w="30" w:type="dxa"/>
          <w:bottom w:w="0" w:type="dxa"/>
          <w:right w:w="20" w:type="dxa"/>
        </w:tblCellMar>
      </w:tblPr>
      <w:tblGrid>
        <w:gridCol w:w="5141"/>
        <w:gridCol w:w="1477"/>
        <w:gridCol w:w="1477"/>
        <w:gridCol w:w="1477"/>
        <w:gridCol w:w="1477"/>
        <w:gridCol w:w="1477"/>
        <w:gridCol w:w="1482"/>
      </w:tblGrid>
      <w:tr>
        <w:tblPrEx>
          <w:tblCellMar>
            <w:top w:w="20" w:type="dxa"/>
            <w:left w:w="30" w:type="dxa"/>
            <w:bottom w:w="0" w:type="dxa"/>
            <w:right w:w="20" w:type="dxa"/>
          </w:tblCellMar>
        </w:tblPrEx>
        <w:trPr>
          <w:trHeight w:val="227" w:hRule="atLeast"/>
        </w:trPr>
        <w:tc>
          <w:tcPr>
            <w:tcW w:w="5141" w:type="dxa"/>
            <w:tcBorders>
              <w:top w:val="single" w:color="auto" w:sz="12" w:space="0"/>
              <w:left w:val="single" w:color="auto" w:sz="12"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单位名称</w:t>
            </w:r>
          </w:p>
        </w:tc>
        <w:tc>
          <w:tcPr>
            <w:tcW w:w="1477"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编制性质</w:t>
            </w:r>
          </w:p>
        </w:tc>
        <w:tc>
          <w:tcPr>
            <w:tcW w:w="1477"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编制人数</w:t>
            </w:r>
          </w:p>
        </w:tc>
        <w:tc>
          <w:tcPr>
            <w:tcW w:w="1477"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实有在职人数</w:t>
            </w:r>
          </w:p>
        </w:tc>
        <w:tc>
          <w:tcPr>
            <w:tcW w:w="1477"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离休</w:t>
            </w:r>
            <w:r>
              <w:rPr>
                <w:rFonts w:hint="eastAsia" w:ascii="宋体" w:hAnsi="宋体" w:eastAsia="宋体" w:cs="Times New Roman"/>
                <w:color w:val="auto"/>
                <w:kern w:val="0"/>
                <w:position w:val="0"/>
                <w:sz w:val="24"/>
                <w:szCs w:val="20"/>
                <w:u w:val="none"/>
                <w:shd w:val="clear" w:color="auto" w:fill="auto"/>
                <w:lang w:val="zh-CN" w:eastAsia="zh-CN" w:bidi="ar-SA"/>
              </w:rPr>
              <w:br w:type="textWrapping"/>
            </w:r>
            <w:r>
              <w:rPr>
                <w:rFonts w:hint="eastAsia" w:ascii="宋体" w:hAnsi="宋体" w:eastAsia="宋体" w:cs="Times New Roman"/>
                <w:color w:val="auto"/>
                <w:kern w:val="0"/>
                <w:position w:val="0"/>
                <w:sz w:val="24"/>
                <w:szCs w:val="20"/>
                <w:u w:val="none"/>
                <w:shd w:val="clear" w:color="auto" w:fill="auto"/>
                <w:lang w:val="zh-CN" w:eastAsia="zh-CN" w:bidi="ar-SA"/>
              </w:rPr>
              <w:t>人数</w:t>
            </w:r>
          </w:p>
        </w:tc>
        <w:tc>
          <w:tcPr>
            <w:tcW w:w="1477" w:type="dxa"/>
            <w:tcBorders>
              <w:top w:val="single" w:color="auto" w:sz="12" w:space="0"/>
              <w:left w:val="nil"/>
              <w:bottom w:val="single" w:color="auto" w:sz="4" w:space="0"/>
              <w:right w:val="single" w:color="auto" w:sz="4" w:space="0"/>
            </w:tcBorders>
            <w:tcMar>
              <w:top w:w="0" w:type="dxa"/>
              <w:left w:w="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退休</w:t>
            </w:r>
            <w:r>
              <w:rPr>
                <w:rFonts w:hint="eastAsia" w:ascii="宋体" w:hAnsi="宋体" w:eastAsia="宋体" w:cs="Times New Roman"/>
                <w:color w:val="auto"/>
                <w:kern w:val="0"/>
                <w:position w:val="0"/>
                <w:sz w:val="24"/>
                <w:szCs w:val="20"/>
                <w:u w:val="none"/>
                <w:shd w:val="clear" w:color="auto" w:fill="auto"/>
                <w:lang w:val="zh-CN" w:eastAsia="zh-CN" w:bidi="ar-SA"/>
              </w:rPr>
              <w:br w:type="textWrapping"/>
            </w:r>
            <w:r>
              <w:rPr>
                <w:rFonts w:hint="eastAsia" w:ascii="宋体" w:hAnsi="宋体" w:eastAsia="宋体" w:cs="Times New Roman"/>
                <w:color w:val="auto"/>
                <w:kern w:val="0"/>
                <w:position w:val="0"/>
                <w:sz w:val="24"/>
                <w:szCs w:val="20"/>
                <w:u w:val="none"/>
                <w:shd w:val="clear" w:color="auto" w:fill="auto"/>
                <w:lang w:val="zh-CN" w:eastAsia="zh-CN" w:bidi="ar-SA"/>
              </w:rPr>
              <w:t>人数</w:t>
            </w:r>
          </w:p>
        </w:tc>
        <w:tc>
          <w:tcPr>
            <w:tcW w:w="1482" w:type="dxa"/>
            <w:tcBorders>
              <w:top w:val="single" w:color="auto" w:sz="12" w:space="0"/>
              <w:left w:val="single" w:color="auto" w:sz="4" w:space="0"/>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聘用人数</w:t>
            </w: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ascii="宋体" w:hAnsi="宋体" w:eastAsia="宋体"/>
              </w:rPr>
            </w:pPr>
            <w:r>
              <w:rPr>
                <w:rFonts w:ascii="宋体" w:hAnsi="宋体" w:eastAsia="宋体"/>
              </w:rPr>
              <w:t>合计</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77" w:type="dxa"/>
            <w:tcBorders>
              <w:top w:val="single" w:color="auto" w:sz="4" w:space="0"/>
              <w:left w:val="nil"/>
              <w:bottom w:val="single" w:color="auto" w:sz="4" w:space="0"/>
              <w:right w:val="single" w:color="auto" w:sz="4" w:space="0"/>
            </w:tcBorders>
            <w:tcMar>
              <w:left w:w="20" w:type="dxa"/>
            </w:tcMar>
            <w:vAlign w:val="center"/>
          </w:tcPr>
          <w:p>
            <w:pPr>
              <w:keepNext w:val="0"/>
              <w:keepLines w:val="0"/>
              <w:widowControl/>
              <w:suppressLineNumbers w:val="0"/>
              <w:jc w:val="center"/>
              <w:textAlignment w:val="center"/>
            </w:pPr>
          </w:p>
        </w:tc>
        <w:tc>
          <w:tcPr>
            <w:tcW w:w="1477" w:type="dxa"/>
            <w:tcBorders>
              <w:top w:val="single" w:color="auto" w:sz="4" w:space="0"/>
              <w:left w:val="nil"/>
              <w:bottom w:val="single" w:color="auto" w:sz="4" w:space="0"/>
              <w:right w:val="single" w:color="auto" w:sz="4" w:space="0"/>
            </w:tcBorders>
            <w:tcMar>
              <w:left w:w="20" w:type="dxa"/>
            </w:tcMar>
            <w:vAlign w:val="center"/>
          </w:tcPr>
          <w:p>
            <w:pPr>
              <w:keepNext w:val="0"/>
              <w:keepLines w:val="0"/>
              <w:widowControl/>
              <w:suppressLineNumbers w:val="0"/>
              <w:jc w:val="center"/>
              <w:textAlignment w:val="center"/>
              <w:rPr>
                <w:rFonts w:hint="default"/>
                <w:lang w:val="en-US"/>
              </w:rPr>
            </w:pP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w:t>
            </w: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108</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60</w:t>
            </w: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pPr>
            <w:r>
              <w:rPr>
                <w:rFonts w:hint="eastAsia" w:ascii="宋体" w:hAnsi="宋体" w:eastAsia="宋体"/>
              </w:rPr>
              <w:t>柳州市发展和改革委员会</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eastAsia="宋体"/>
              </w:rPr>
              <w:t>行政</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88</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86</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w:t>
            </w: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97</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120" w:firstLineChars="50"/>
              <w:jc w:val="center"/>
              <w:rPr>
                <w:rFonts w:eastAsia="宋体"/>
              </w:rPr>
            </w:pP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ascii="宋体" w:hAnsi="宋体" w:eastAsia="宋体"/>
              </w:rPr>
              <w:t>柳州市发展和改革委员会</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工勤</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eastAsia="宋体"/>
              </w:rPr>
              <w:t>柳州市项目促进中心</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rPr>
            </w:pPr>
            <w:r>
              <w:rPr>
                <w:rFonts w:hint="eastAsia" w:eastAsia="宋体"/>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17</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14</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pP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6</w:t>
            </w: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ascii="宋体" w:hAnsi="宋体" w:eastAsia="宋体" w:cs="Times New Roman"/>
                <w:color w:val="auto"/>
                <w:kern w:val="0"/>
                <w:position w:val="0"/>
                <w:sz w:val="24"/>
                <w:szCs w:val="20"/>
                <w:u w:val="none"/>
                <w:shd w:val="clear" w:color="auto" w:fill="auto"/>
                <w:lang w:val="en-US" w:eastAsia="zh-CN" w:bidi="ar-SA"/>
              </w:rPr>
              <w:t>柳州市</w:t>
            </w:r>
            <w:r>
              <w:rPr>
                <w:rFonts w:hint="eastAsia" w:ascii="宋体" w:hAnsi="宋体" w:cs="Times New Roman"/>
                <w:color w:val="auto"/>
                <w:kern w:val="0"/>
                <w:position w:val="0"/>
                <w:sz w:val="24"/>
                <w:szCs w:val="20"/>
                <w:u w:val="none"/>
                <w:shd w:val="clear" w:color="auto" w:fill="auto"/>
                <w:lang w:val="en-US" w:eastAsia="zh-CN" w:bidi="ar-SA"/>
              </w:rPr>
              <w:t>价格认证</w:t>
            </w:r>
            <w:r>
              <w:rPr>
                <w:rFonts w:hint="eastAsia" w:ascii="宋体" w:hAnsi="宋体" w:eastAsia="宋体" w:cs="Times New Roman"/>
                <w:color w:val="auto"/>
                <w:kern w:val="0"/>
                <w:position w:val="0"/>
                <w:sz w:val="24"/>
                <w:szCs w:val="20"/>
                <w:u w:val="none"/>
                <w:shd w:val="clear" w:color="auto" w:fill="auto"/>
                <w:lang w:val="en-US" w:eastAsia="zh-CN" w:bidi="ar-SA"/>
              </w:rPr>
              <w:t>中心</w:t>
            </w:r>
          </w:p>
        </w:tc>
        <w:tc>
          <w:tcPr>
            <w:tcW w:w="1477"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1260"/>
                <w:tab w:val="left" w:pos="2100"/>
                <w:tab w:val="left" w:pos="2940"/>
                <w:tab w:val="left" w:pos="3780"/>
                <w:tab w:val="left" w:pos="4620"/>
                <w:tab w:val="left" w:pos="546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ascii="宋体" w:hAnsi="宋体" w:cs="Times New Roman"/>
                <w:color w:val="auto"/>
                <w:kern w:val="0"/>
                <w:position w:val="0"/>
                <w:sz w:val="24"/>
                <w:szCs w:val="20"/>
                <w:u w:val="none"/>
                <w:shd w:val="clear" w:color="auto" w:fill="auto"/>
                <w:lang w:val="en-US" w:eastAsia="zh-CN" w:bidi="ar-SA"/>
              </w:rPr>
              <w:t>10</w:t>
            </w:r>
          </w:p>
        </w:tc>
        <w:tc>
          <w:tcPr>
            <w:tcW w:w="1477"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ascii="宋体" w:hAnsi="宋体" w:cs="Times New Roman"/>
                <w:color w:val="auto"/>
                <w:kern w:val="0"/>
                <w:position w:val="0"/>
                <w:sz w:val="24"/>
                <w:szCs w:val="20"/>
                <w:u w:val="none"/>
                <w:shd w:val="clear" w:color="auto" w:fill="auto"/>
                <w:lang w:val="en-US" w:eastAsia="zh-CN" w:bidi="ar-SA"/>
              </w:rPr>
              <w:t>10</w:t>
            </w:r>
          </w:p>
        </w:tc>
        <w:tc>
          <w:tcPr>
            <w:tcW w:w="1477"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jc w:val="center"/>
              <w:rPr>
                <w:rFonts w:hint="eastAsia" w:ascii="宋体" w:hAnsi="宋体" w:eastAsia="宋体" w:cs="Times New Roman"/>
                <w:color w:val="auto"/>
                <w:kern w:val="0"/>
                <w:position w:val="0"/>
                <w:sz w:val="24"/>
                <w:szCs w:val="20"/>
                <w:u w:val="none"/>
                <w:shd w:val="clear" w:color="auto" w:fill="auto"/>
                <w:lang w:val="zh-CN" w:eastAsia="zh-CN" w:bidi="ar-SA"/>
              </w:rP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240" w:firstLineChars="100"/>
              <w:jc w:val="center"/>
              <w:rPr>
                <w:rFonts w:hint="eastAsia" w:ascii="宋体" w:hAnsi="宋体" w:eastAsia="宋体" w:cs="Times New Roman"/>
                <w:color w:val="auto"/>
                <w:kern w:val="0"/>
                <w:position w:val="0"/>
                <w:sz w:val="24"/>
                <w:szCs w:val="20"/>
                <w:u w:val="none"/>
                <w:shd w:val="clear" w:color="auto" w:fill="auto"/>
                <w:lang w:val="en-US" w:eastAsia="zh-CN" w:bidi="ar-SA"/>
              </w:rPr>
            </w:pP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eastAsia="宋体"/>
                <w:kern w:val="0"/>
                <w:szCs w:val="21"/>
                <w:lang w:val="en-US" w:eastAsia="zh-CN"/>
              </w:rPr>
            </w:pPr>
            <w:r>
              <w:rPr>
                <w:rFonts w:hint="eastAsia" w:ascii="宋体" w:hAnsi="宋体" w:eastAsia="宋体" w:cs="Times New Roman"/>
                <w:color w:val="auto"/>
                <w:kern w:val="0"/>
                <w:position w:val="0"/>
                <w:sz w:val="24"/>
                <w:szCs w:val="20"/>
                <w:u w:val="none"/>
                <w:shd w:val="clear" w:color="auto" w:fill="auto"/>
                <w:lang w:val="en-US" w:eastAsia="zh-CN" w:bidi="ar-SA"/>
              </w:rPr>
              <w:t>47</w:t>
            </w: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ascii="宋体" w:hAnsi="宋体" w:eastAsia="宋体" w:cs="Times New Roman"/>
                <w:color w:val="auto"/>
                <w:kern w:val="0"/>
                <w:position w:val="0"/>
                <w:sz w:val="24"/>
                <w:szCs w:val="20"/>
                <w:u w:val="none"/>
                <w:shd w:val="clear" w:color="auto" w:fill="auto"/>
                <w:lang w:val="zh-CN" w:eastAsia="zh-CN" w:bidi="ar-SA"/>
              </w:rPr>
              <w:t>柳州市</w:t>
            </w:r>
            <w:r>
              <w:rPr>
                <w:rFonts w:hint="eastAsia" w:eastAsia="宋体" w:cs="Times New Roman"/>
                <w:color w:val="auto"/>
                <w:kern w:val="0"/>
                <w:position w:val="0"/>
                <w:sz w:val="24"/>
                <w:szCs w:val="20"/>
                <w:u w:val="none"/>
                <w:shd w:val="clear" w:color="auto" w:fill="auto"/>
                <w:lang w:val="zh-CN" w:eastAsia="zh-CN" w:bidi="ar-SA"/>
              </w:rPr>
              <w:t>军粮供应管理中心（市储备粮管理中心）</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r>
              <w:rPr>
                <w:rFonts w:hint="eastAsia" w:eastAsia="宋体"/>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16</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14</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9</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jc w:val="center"/>
              <w:rPr>
                <w:kern w:val="0"/>
                <w:szCs w:val="21"/>
              </w:rPr>
            </w:pPr>
          </w:p>
        </w:tc>
      </w:tr>
      <w:tr>
        <w:tblPrEx>
          <w:tblCellMar>
            <w:top w:w="20" w:type="dxa"/>
            <w:left w:w="30" w:type="dxa"/>
            <w:bottom w:w="0" w:type="dxa"/>
            <w:right w:w="20" w:type="dxa"/>
          </w:tblCellMar>
        </w:tblPrEx>
        <w:trPr>
          <w:trHeight w:val="579" w:hRule="atLeast"/>
        </w:trPr>
        <w:tc>
          <w:tcPr>
            <w:tcW w:w="5141" w:type="dxa"/>
            <w:tcBorders>
              <w:top w:val="single" w:color="auto" w:sz="4" w:space="0"/>
              <w:left w:val="single" w:color="auto" w:sz="12" w:space="0"/>
              <w:bottom w:val="single" w:color="auto" w:sz="4" w:space="0"/>
              <w:right w:val="single" w:color="auto" w:sz="4" w:space="0"/>
            </w:tcBorders>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柳州市备灾中心</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lang w:val="en-US" w:eastAsia="zh-CN"/>
              </w:rPr>
            </w:pPr>
            <w:r>
              <w:rPr>
                <w:rFonts w:hint="eastAsia" w:eastAsia="宋体"/>
                <w:lang w:val="en-US" w:eastAsia="zh-CN"/>
              </w:rPr>
              <w:t>参公</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5</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5</w:t>
            </w:r>
          </w:p>
        </w:tc>
        <w:tc>
          <w:tcPr>
            <w:tcW w:w="1477" w:type="dxa"/>
            <w:tcBorders>
              <w:top w:val="single" w:color="auto" w:sz="4" w:space="0"/>
              <w:left w:val="nil"/>
              <w:bottom w:val="single" w:color="auto" w:sz="4" w:space="0"/>
              <w:right w:val="single" w:color="auto" w:sz="4" w:space="0"/>
            </w:tcBorders>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0"/>
                <w:u w:val="none"/>
                <w:shd w:val="clear" w:color="auto" w:fill="auto"/>
                <w:lang w:val="zh-CN" w:eastAsia="zh-CN" w:bidi="ar-SA"/>
              </w:rPr>
            </w:pPr>
          </w:p>
        </w:tc>
        <w:tc>
          <w:tcPr>
            <w:tcW w:w="1477"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cs="Times New Roman"/>
                <w:color w:val="auto"/>
                <w:kern w:val="0"/>
                <w:position w:val="0"/>
                <w:sz w:val="24"/>
                <w:szCs w:val="20"/>
                <w:u w:val="none"/>
                <w:shd w:val="clear" w:color="auto" w:fill="auto"/>
                <w:lang w:val="en-US" w:eastAsia="zh-CN" w:bidi="ar-SA"/>
              </w:rPr>
            </w:pPr>
            <w:r>
              <w:rPr>
                <w:rFonts w:hint="eastAsia" w:eastAsia="宋体" w:cs="Times New Roman"/>
                <w:color w:val="auto"/>
                <w:kern w:val="0"/>
                <w:position w:val="0"/>
                <w:sz w:val="24"/>
                <w:szCs w:val="20"/>
                <w:u w:val="none"/>
                <w:shd w:val="clear" w:color="auto" w:fill="auto"/>
                <w:lang w:val="en-US" w:eastAsia="zh-CN" w:bidi="ar-SA"/>
              </w:rPr>
              <w:t>2</w:t>
            </w:r>
          </w:p>
        </w:tc>
        <w:tc>
          <w:tcPr>
            <w:tcW w:w="1482" w:type="dxa"/>
            <w:tcBorders>
              <w:top w:val="single" w:color="auto" w:sz="4" w:space="0"/>
              <w:left w:val="single" w:color="auto" w:sz="4" w:space="0"/>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eastAsia="宋体"/>
                <w:kern w:val="0"/>
                <w:szCs w:val="21"/>
                <w:lang w:val="en-US" w:eastAsia="zh-CN"/>
              </w:rPr>
            </w:pPr>
            <w:r>
              <w:rPr>
                <w:rFonts w:hint="eastAsia" w:ascii="宋体" w:hAnsi="宋体" w:eastAsia="宋体" w:cs="Times New Roman"/>
                <w:color w:val="auto"/>
                <w:kern w:val="0"/>
                <w:position w:val="0"/>
                <w:sz w:val="24"/>
                <w:szCs w:val="20"/>
                <w:u w:val="none"/>
                <w:shd w:val="clear" w:color="auto" w:fill="auto"/>
                <w:lang w:val="en-US" w:eastAsia="zh-CN" w:bidi="ar-SA"/>
              </w:rPr>
              <w:t>7</w:t>
            </w:r>
          </w:p>
        </w:tc>
      </w:tr>
    </w:tbl>
    <w:p>
      <w:pPr>
        <w:ind w:firstLine="646"/>
        <w:rPr>
          <w:rFonts w:ascii="仿宋_GB2312" w:eastAsia="仿宋_GB2312"/>
          <w:sz w:val="32"/>
          <w:szCs w:val="32"/>
        </w:rPr>
      </w:pPr>
    </w:p>
    <w:p>
      <w:pPr>
        <w:ind w:firstLine="645"/>
        <w:rPr>
          <w:rFonts w:ascii="仿宋_GB2312" w:eastAsia="仿宋_GB2312"/>
          <w:sz w:val="32"/>
          <w:szCs w:val="32"/>
        </w:rPr>
      </w:pPr>
    </w:p>
    <w:p>
      <w:pPr>
        <w:jc w:val="both"/>
      </w:pPr>
    </w:p>
    <w:p>
      <w:pPr>
        <w:jc w:val="both"/>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柳州市发展和改革委员会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94"/>
        <w:gridCol w:w="3647"/>
        <w:gridCol w:w="3201"/>
        <w:gridCol w:w="3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4"/>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表一：</w:t>
            </w: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494" w:type="dxa"/>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3647" w:type="dxa"/>
            <w:shd w:val="clear" w:color="auto" w:fill="FFFFFF"/>
            <w:vAlign w:val="bottom"/>
          </w:tcPr>
          <w:p>
            <w:pPr>
              <w:rPr>
                <w:rFonts w:hint="eastAsia" w:ascii="Arial" w:hAnsi="Arial" w:cs="Arial"/>
                <w:i w:val="0"/>
                <w:color w:val="000000"/>
                <w:sz w:val="20"/>
                <w:szCs w:val="20"/>
                <w:u w:val="none"/>
              </w:rPr>
            </w:pPr>
          </w:p>
        </w:tc>
        <w:tc>
          <w:tcPr>
            <w:tcW w:w="3201" w:type="dxa"/>
            <w:shd w:val="clear" w:color="auto" w:fill="FFFFFF"/>
            <w:vAlign w:val="bottom"/>
          </w:tcPr>
          <w:p>
            <w:pPr>
              <w:rPr>
                <w:rFonts w:hint="default" w:ascii="Arial" w:hAnsi="Arial" w:cs="Arial"/>
                <w:i w:val="0"/>
                <w:color w:val="000000"/>
                <w:sz w:val="20"/>
                <w:szCs w:val="20"/>
                <w:u w:val="none"/>
              </w:rPr>
            </w:pPr>
          </w:p>
        </w:tc>
        <w:tc>
          <w:tcPr>
            <w:tcW w:w="3646" w:type="dxa"/>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1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847" w:type="dxa"/>
            <w:gridSpan w:val="2"/>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64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64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7"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364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7,118.80</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4117.18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二、其他收入</w:t>
            </w:r>
          </w:p>
        </w:tc>
        <w:tc>
          <w:tcPr>
            <w:tcW w:w="364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607.42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386.14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1840.16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64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二十三、其他支出</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64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7120.34</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7403.65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364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364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323.81</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49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64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7444.15</w:t>
            </w:r>
          </w:p>
        </w:tc>
        <w:tc>
          <w:tcPr>
            <w:tcW w:w="320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6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7444.15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30"/>
        <w:gridCol w:w="4194"/>
        <w:gridCol w:w="1922"/>
        <w:gridCol w:w="1024"/>
        <w:gridCol w:w="1022"/>
        <w:gridCol w:w="1024"/>
        <w:gridCol w:w="1024"/>
        <w:gridCol w:w="1024"/>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9"/>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表二：</w:t>
            </w: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846" w:type="dxa"/>
            <w:gridSpan w:val="3"/>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1024" w:type="dxa"/>
            <w:shd w:val="clear" w:color="auto" w:fill="FFFFFF"/>
            <w:vAlign w:val="bottom"/>
          </w:tcPr>
          <w:p>
            <w:pPr>
              <w:rPr>
                <w:rFonts w:hint="eastAsia" w:ascii="Arial" w:hAnsi="Arial" w:cs="Arial"/>
                <w:i w:val="0"/>
                <w:color w:val="000000"/>
                <w:sz w:val="20"/>
                <w:szCs w:val="20"/>
                <w:u w:val="none"/>
              </w:rPr>
            </w:pPr>
          </w:p>
        </w:tc>
        <w:tc>
          <w:tcPr>
            <w:tcW w:w="1022" w:type="dxa"/>
            <w:shd w:val="clear" w:color="auto" w:fill="FFFFFF"/>
            <w:vAlign w:val="bottom"/>
          </w:tcPr>
          <w:p>
            <w:pPr>
              <w:rPr>
                <w:rFonts w:hint="default" w:ascii="Arial" w:hAnsi="Arial" w:cs="Arial"/>
                <w:i w:val="0"/>
                <w:color w:val="000000"/>
                <w:sz w:val="20"/>
                <w:szCs w:val="20"/>
                <w:u w:val="none"/>
              </w:rPr>
            </w:pPr>
          </w:p>
        </w:tc>
        <w:tc>
          <w:tcPr>
            <w:tcW w:w="1024" w:type="dxa"/>
            <w:shd w:val="clear" w:color="auto" w:fill="FFFFFF"/>
            <w:vAlign w:val="bottom"/>
          </w:tcPr>
          <w:p>
            <w:pPr>
              <w:rPr>
                <w:rFonts w:hint="default" w:ascii="Arial" w:hAnsi="Arial" w:cs="Arial"/>
                <w:i w:val="0"/>
                <w:color w:val="000000"/>
                <w:sz w:val="20"/>
                <w:szCs w:val="20"/>
                <w:u w:val="none"/>
              </w:rPr>
            </w:pPr>
          </w:p>
        </w:tc>
        <w:tc>
          <w:tcPr>
            <w:tcW w:w="1024" w:type="dxa"/>
            <w:shd w:val="clear" w:color="auto" w:fill="FFFFFF"/>
            <w:vAlign w:val="bottom"/>
          </w:tcPr>
          <w:p>
            <w:pPr>
              <w:rPr>
                <w:rFonts w:hint="default" w:ascii="Arial" w:hAnsi="Arial" w:cs="Arial"/>
                <w:i w:val="0"/>
                <w:color w:val="000000"/>
                <w:sz w:val="20"/>
                <w:szCs w:val="20"/>
                <w:u w:val="none"/>
              </w:rPr>
            </w:pPr>
          </w:p>
        </w:tc>
        <w:tc>
          <w:tcPr>
            <w:tcW w:w="2048" w:type="dxa"/>
            <w:gridSpan w:val="2"/>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9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2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2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730"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19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730"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19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730"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19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92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2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92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7,120.34</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7,118.80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4,090.97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4,089.89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4,090.97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4,089.89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1,993.95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1,992.88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651.45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651.45</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2010408</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物价管理</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341.87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341.86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其他发展与改革事务支出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1,103.71</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1,103.71</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274.07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274.07</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138.57</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138.57</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142.35</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城乡社区规划与管理</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92.35</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92.35</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1,840.58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1,840.12</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994.58</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994.12</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2220101</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2220102</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29.06</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2220106</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专项业务活动</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710.05</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709.59</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粮油储备</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2220403</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储备粮（油）库建设</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73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4194"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9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9"/>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6"/>
        <w:gridCol w:w="4525"/>
        <w:gridCol w:w="2072"/>
        <w:gridCol w:w="1105"/>
        <w:gridCol w:w="1105"/>
        <w:gridCol w:w="1105"/>
        <w:gridCol w:w="1104"/>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8"/>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表三：</w:t>
            </w: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68" w:type="dxa"/>
            <w:gridSpan w:val="4"/>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4420" w:type="dxa"/>
            <w:gridSpan w:val="4"/>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072"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0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0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06"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6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2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6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6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072"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0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91"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07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0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391"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7,403.65</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3,223.51</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4,180.14</w:t>
            </w:r>
          </w:p>
        </w:tc>
        <w:tc>
          <w:tcPr>
            <w:tcW w:w="110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110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c>
          <w:tcPr>
            <w:tcW w:w="110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4,117.18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2,000.25</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2,116.92</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4,117.18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2,000.25</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2,116.92</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2,000.24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2,000.24</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671.03</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671.03</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2010408</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物价管理</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342.19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其他发展与改革事务支出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1,103.71</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1,103.71</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607.42</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595.03</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274.07</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274.07</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138.57</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138.57</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386.14</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386.14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城乡社区规划与管理</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1,840.16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1,635.71</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粮油物资事务</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994.16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789.71</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2220101</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2220102</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29.06</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2220106</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专项业务活动</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709.64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709.59</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粮油储备</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2220403</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储备粮（油）库建设</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6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452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07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46"/>
        <w:gridCol w:w="2574"/>
        <w:gridCol w:w="2721"/>
        <w:gridCol w:w="1453"/>
        <w:gridCol w:w="944"/>
        <w:gridCol w:w="2442"/>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7"/>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表四：</w:t>
            </w: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741"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6247"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68" w:type="dxa"/>
            <w:gridSpan w:val="5"/>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446"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57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72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5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4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44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40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24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57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72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5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4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44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0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57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5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57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7118.8</w:t>
            </w: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4108.77</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4108.77</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607.42</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607.42</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215.89</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215.89</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386.14</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386.14</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27.99</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27.99</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207.88</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207.88</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1840.12</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1840.12</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7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二十三、其他支出</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1.00</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1.00</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57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7118.8</w:t>
            </w: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7395.19</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7395.19</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57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303.76</w:t>
            </w: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27.37</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27.37</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57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303.76</w:t>
            </w:r>
          </w:p>
        </w:tc>
        <w:tc>
          <w:tcPr>
            <w:tcW w:w="2721"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45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4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44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0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46"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57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7422.56</w:t>
            </w:r>
          </w:p>
        </w:tc>
        <w:tc>
          <w:tcPr>
            <w:tcW w:w="272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45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7422.56</w:t>
            </w:r>
          </w:p>
        </w:tc>
        <w:tc>
          <w:tcPr>
            <w:tcW w:w="94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7422.56</w:t>
            </w:r>
          </w:p>
        </w:tc>
        <w:tc>
          <w:tcPr>
            <w:tcW w:w="24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58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08" w:type="dxa"/>
            <w:shd w:val="clear" w:color="auto" w:fill="auto"/>
            <w:vAlign w:val="center"/>
          </w:tcPr>
          <w:p>
            <w:pPr>
              <w:jc w:val="left"/>
              <w:rPr>
                <w:rFonts w:hint="eastAsia" w:ascii="宋体" w:hAnsi="宋体" w:eastAsia="宋体" w:cs="宋体"/>
                <w:i w:val="0"/>
                <w:color w:val="000000"/>
                <w:sz w:val="20"/>
                <w:szCs w:val="20"/>
                <w:u w:val="none"/>
              </w:rPr>
            </w:pPr>
          </w:p>
        </w:tc>
      </w:tr>
    </w:tbl>
    <w:p>
      <w:pPr>
        <w:ind w:firstLine="640" w:firstLineChars="200"/>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82"/>
        <w:gridCol w:w="4885"/>
        <w:gridCol w:w="2866"/>
        <w:gridCol w:w="2246"/>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5"/>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表五：</w:t>
            </w: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833"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4155"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9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021"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082"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8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86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24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909"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208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8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6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4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0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08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8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86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4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0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967"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8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7,395.19</w:t>
            </w:r>
          </w:p>
        </w:tc>
        <w:tc>
          <w:tcPr>
            <w:tcW w:w="22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3,221.29</w:t>
            </w:r>
          </w:p>
        </w:tc>
        <w:tc>
          <w:tcPr>
            <w:tcW w:w="1909"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4,173.90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8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8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4,108.77</w:t>
            </w:r>
          </w:p>
        </w:tc>
        <w:tc>
          <w:tcPr>
            <w:tcW w:w="22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1,998.08</w:t>
            </w:r>
          </w:p>
        </w:tc>
        <w:tc>
          <w:tcPr>
            <w:tcW w:w="1909"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4885"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8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4,108.77</w:t>
            </w:r>
          </w:p>
        </w:tc>
        <w:tc>
          <w:tcPr>
            <w:tcW w:w="224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1,998.08</w:t>
            </w:r>
          </w:p>
        </w:tc>
        <w:tc>
          <w:tcPr>
            <w:tcW w:w="1909"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1,998.08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1,998.08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665.03</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2010408</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物价管理</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341.95</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其他发展与改革事务支出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1,103.71</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607.42</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595.03</w:t>
            </w: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593.68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274.07</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274.07</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215.89</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138.57</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138.57</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386.14</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城乡社区规划与管理</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2120201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其他商业流通事务支出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粮油物资储备支出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1,840.12</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粮油物资事务</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994.12</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2220101</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22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204.41</w:t>
            </w:r>
          </w:p>
        </w:tc>
        <w:tc>
          <w:tcPr>
            <w:tcW w:w="1909"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2220102</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29.06</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2220106</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专项业务活动</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2220199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其他粮油物资事务支出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709.59</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粮油储备</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2220403</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储备粮（油）库建设</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0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488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86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24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90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3"/>
        <w:gridCol w:w="4337"/>
        <w:gridCol w:w="2216"/>
        <w:gridCol w:w="904"/>
        <w:gridCol w:w="3414"/>
        <w:gridCol w:w="2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6"/>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表六：</w:t>
            </w: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456" w:type="dxa"/>
            <w:gridSpan w:val="3"/>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6532" w:type="dxa"/>
            <w:gridSpan w:val="3"/>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4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6532"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903"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33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0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41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14"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903"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33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1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0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41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214"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2,637.52</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540.94</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464.92</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787.69</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275.48</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137.43</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132.57</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76.74</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207.88</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163.40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96.69</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45.71</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2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30299</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903"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4337"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2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31002</w:t>
            </w:r>
          </w:p>
        </w:tc>
        <w:tc>
          <w:tcPr>
            <w:tcW w:w="3414" w:type="dxa"/>
            <w:tcBorders>
              <w:bottom w:val="single" w:color="000000" w:sz="4" w:space="0"/>
              <w:right w:val="single" w:color="000000" w:sz="4" w:space="0"/>
            </w:tcBorders>
            <w:shd w:val="clear" w:color="FFFFFF" w:fill="FFFFFF"/>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办公设备购置</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5240"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221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2800.93</w:t>
            </w:r>
          </w:p>
        </w:tc>
        <w:tc>
          <w:tcPr>
            <w:tcW w:w="4318" w:type="dxa"/>
            <w:gridSpan w:val="2"/>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221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6"/>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14"/>
        <w:gridCol w:w="1078"/>
        <w:gridCol w:w="1042"/>
        <w:gridCol w:w="1042"/>
        <w:gridCol w:w="1043"/>
        <w:gridCol w:w="1511"/>
        <w:gridCol w:w="1060"/>
        <w:gridCol w:w="1079"/>
        <w:gridCol w:w="1041"/>
        <w:gridCol w:w="1042"/>
        <w:gridCol w:w="1043"/>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3988" w:type="dxa"/>
            <w:gridSpan w:val="12"/>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cs="宋体"/>
                <w:i w:val="0"/>
                <w:color w:val="000000"/>
                <w:kern w:val="0"/>
                <w:sz w:val="44"/>
                <w:szCs w:val="44"/>
                <w:u w:val="none"/>
                <w:lang w:val="en-US" w:eastAsia="zh-CN" w:bidi="ar"/>
              </w:rPr>
              <w:t>表七：</w:t>
            </w: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230" w:type="dxa"/>
            <w:gridSpan w:val="6"/>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6758" w:type="dxa"/>
            <w:gridSpan w:val="6"/>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2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758" w:type="dxa"/>
            <w:gridSpan w:val="6"/>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51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27" w:type="dxa"/>
            <w:gridSpan w:val="3"/>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1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6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9"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26" w:type="dxa"/>
            <w:gridSpan w:val="3"/>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93"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51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7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1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7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9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514"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8"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1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79"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41"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4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93"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514"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11.22</w:t>
            </w:r>
          </w:p>
        </w:tc>
        <w:tc>
          <w:tcPr>
            <w:tcW w:w="107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51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9.22</w:t>
            </w:r>
          </w:p>
        </w:tc>
        <w:tc>
          <w:tcPr>
            <w:tcW w:w="106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8.8</w:t>
            </w:r>
          </w:p>
        </w:tc>
        <w:tc>
          <w:tcPr>
            <w:tcW w:w="1079"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0.23</w:t>
            </w:r>
          </w:p>
        </w:tc>
        <w:tc>
          <w:tcPr>
            <w:tcW w:w="10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0.23</w:t>
            </w:r>
          </w:p>
        </w:tc>
        <w:tc>
          <w:tcPr>
            <w:tcW w:w="149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3988" w:type="dxa"/>
            <w:gridSpan w:val="1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4"/>
        <w:tblW w:w="13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4"/>
        <w:gridCol w:w="4571"/>
        <w:gridCol w:w="1954"/>
        <w:gridCol w:w="1115"/>
        <w:gridCol w:w="1115"/>
        <w:gridCol w:w="1115"/>
        <w:gridCol w:w="11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7" w:type="dxa"/>
            <w:gridSpan w:val="8"/>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表八：</w:t>
            </w: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24"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4463" w:type="dxa"/>
            <w:gridSpan w:val="4"/>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54"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1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347"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116"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84"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71"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1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1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8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7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884"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457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95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6"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455"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54"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6"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6455"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5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1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884"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57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954"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7"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1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7"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cs="宋体"/>
                <w:i w:val="0"/>
                <w:color w:val="000000"/>
                <w:kern w:val="0"/>
                <w:sz w:val="22"/>
                <w:szCs w:val="22"/>
                <w:u w:val="none"/>
                <w:lang w:val="en-US" w:eastAsia="zh-CN" w:bidi="ar"/>
              </w:rPr>
              <w:t>柳州市发展和改革委员会没有政府性基金预算财政拨款收入，也没有政府性基金预算财政拨款支出，故本表无数据</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97"/>
        <w:gridCol w:w="5567"/>
        <w:gridCol w:w="2382"/>
        <w:gridCol w:w="1362"/>
        <w:gridCol w:w="2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988" w:type="dxa"/>
            <w:gridSpan w:val="5"/>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cs="宋体"/>
                <w:i w:val="0"/>
                <w:color w:val="000000"/>
                <w:kern w:val="0"/>
                <w:sz w:val="30"/>
                <w:szCs w:val="30"/>
                <w:u w:val="none"/>
                <w:lang w:val="en-US" w:eastAsia="zh-CN" w:bidi="ar"/>
              </w:rPr>
              <w:t>表九：</w:t>
            </w:r>
            <w:r>
              <w:rPr>
                <w:rFonts w:hint="eastAsia" w:ascii="宋体" w:hAnsi="宋体" w:eastAsia="宋体" w:cs="宋体"/>
                <w:i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0246"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部门：柳州市发展和改革委员会</w:t>
            </w:r>
          </w:p>
        </w:tc>
        <w:tc>
          <w:tcPr>
            <w:tcW w:w="3742"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8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24"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297"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56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8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6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38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297"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556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6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297"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556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6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38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86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8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7864"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8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36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238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297" w:type="dxa"/>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567"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38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6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8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3988"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cs="宋体"/>
                <w:i w:val="0"/>
                <w:color w:val="000000"/>
                <w:kern w:val="0"/>
                <w:sz w:val="22"/>
                <w:szCs w:val="22"/>
                <w:u w:val="none"/>
                <w:lang w:val="en-US" w:eastAsia="zh-CN" w:bidi="ar"/>
              </w:rPr>
              <w:t>柳州市发展和改革委员会没有国有资本经营预算财政拨款收入，也没有国有资本经营预算财政拨款支出，故本表无数据</w:t>
            </w:r>
          </w:p>
        </w:tc>
      </w:tr>
    </w:tbl>
    <w:p/>
    <w:p/>
    <w:p/>
    <w:p>
      <w:pPr>
        <w:sectPr>
          <w:headerReference r:id="rId3" w:type="default"/>
          <w:footerReference r:id="rId4" w:type="default"/>
          <w:footerReference r:id="rId5"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柳州市发展和改革委员会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7444.15</w:t>
      </w:r>
      <w:r>
        <w:rPr>
          <w:rFonts w:hint="eastAsia" w:ascii="仿宋_GB2312" w:eastAsia="仿宋_GB2312" w:cs="仿宋_GB2312"/>
          <w:kern w:val="0"/>
          <w:sz w:val="32"/>
          <w:szCs w:val="32"/>
        </w:rPr>
        <w:t xml:space="preserve">万元，其中本年收入 </w:t>
      </w:r>
      <w:r>
        <w:rPr>
          <w:rFonts w:hint="eastAsia" w:ascii="仿宋_GB2312" w:eastAsia="仿宋_GB2312" w:cs="仿宋_GB2312"/>
          <w:kern w:val="0"/>
          <w:sz w:val="32"/>
          <w:szCs w:val="32"/>
          <w:lang w:val="en-US" w:eastAsia="zh-CN"/>
        </w:rPr>
        <w:t>7120.34</w:t>
      </w:r>
      <w:r>
        <w:rPr>
          <w:rFonts w:hint="eastAsia" w:ascii="仿宋_GB2312" w:eastAsia="仿宋_GB2312" w:cs="仿宋_GB2312"/>
          <w:kern w:val="0"/>
          <w:sz w:val="32"/>
          <w:szCs w:val="32"/>
        </w:rPr>
        <w:t xml:space="preserve"> 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1005.11</w:t>
      </w:r>
      <w:r>
        <w:rPr>
          <w:rFonts w:hint="eastAsia" w:ascii="仿宋_GB2312" w:hAnsi="黑体" w:eastAsia="仿宋_GB2312" w:cs="仿宋_GB2312"/>
          <w:kern w:val="0"/>
          <w:sz w:val="32"/>
          <w:szCs w:val="32"/>
        </w:rPr>
        <w:t xml:space="preserve">万元，下降 </w:t>
      </w:r>
      <w:r>
        <w:rPr>
          <w:rFonts w:hint="eastAsia" w:ascii="仿宋_GB2312" w:hAnsi="黑体" w:eastAsia="仿宋_GB2312" w:cs="仿宋_GB2312"/>
          <w:kern w:val="0"/>
          <w:sz w:val="32"/>
          <w:szCs w:val="32"/>
          <w:lang w:val="en-US" w:eastAsia="zh-CN"/>
        </w:rPr>
        <w:t>11.89</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7118.8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747.87</w:t>
      </w:r>
      <w:r>
        <w:rPr>
          <w:rFonts w:hint="eastAsia" w:ascii="仿宋_GB2312" w:hAnsi="黑体" w:eastAsia="仿宋_GB2312" w:cs="仿宋_GB2312"/>
          <w:kern w:val="0"/>
          <w:sz w:val="32"/>
          <w:szCs w:val="32"/>
        </w:rPr>
        <w:t xml:space="preserve">万元，增长下降 </w:t>
      </w:r>
      <w:r>
        <w:rPr>
          <w:rFonts w:hint="eastAsia" w:ascii="仿宋_GB2312" w:hAnsi="黑体" w:eastAsia="仿宋_GB2312" w:cs="仿宋_GB2312"/>
          <w:kern w:val="0"/>
          <w:sz w:val="32"/>
          <w:szCs w:val="32"/>
          <w:lang w:val="en-US" w:eastAsia="zh-CN"/>
        </w:rPr>
        <w:t>9.5</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：项目金额较上年相比减少。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1.54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 xml:space="preserve">年度决算数增加减少 </w:t>
      </w:r>
      <w:r>
        <w:rPr>
          <w:rFonts w:hint="eastAsia" w:ascii="仿宋_GB2312" w:hAnsi="黑体" w:eastAsia="仿宋_GB2312" w:cs="仿宋_GB2312"/>
          <w:kern w:val="0"/>
          <w:sz w:val="32"/>
          <w:szCs w:val="32"/>
          <w:lang w:val="en-US" w:eastAsia="zh-CN"/>
        </w:rPr>
        <w:t>0.14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8.3</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：其他收入减少。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相等。</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323.81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257.1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44.26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：使用上年结余支付本年经费。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7444.15</w:t>
      </w:r>
      <w:r>
        <w:rPr>
          <w:rFonts w:hint="eastAsia" w:ascii="仿宋_GB2312" w:eastAsia="仿宋_GB2312"/>
          <w:kern w:val="0"/>
          <w:sz w:val="32"/>
          <w:szCs w:val="32"/>
        </w:rPr>
        <w:t xml:space="preserve"> </w:t>
      </w:r>
      <w:r>
        <w:rPr>
          <w:rFonts w:hint="eastAsia" w:ascii="仿宋_GB2312" w:eastAsia="仿宋_GB2312" w:cs="仿宋_GB2312"/>
          <w:kern w:val="0"/>
          <w:sz w:val="32"/>
          <w:szCs w:val="32"/>
        </w:rPr>
        <w:t xml:space="preserve">万元，其中本年支出 </w:t>
      </w:r>
      <w:r>
        <w:rPr>
          <w:rFonts w:hint="eastAsia" w:ascii="仿宋_GB2312" w:eastAsia="仿宋_GB2312" w:cs="仿宋_GB2312"/>
          <w:kern w:val="0"/>
          <w:sz w:val="32"/>
          <w:szCs w:val="32"/>
          <w:lang w:val="en-US" w:eastAsia="zh-CN"/>
        </w:rPr>
        <w:t>7403.65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444.55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5.66</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2" w:lineRule="atLeast"/>
        <w:ind w:left="0" w:right="0" w:firstLine="960" w:firstLineChars="3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4117.18</w:t>
      </w:r>
      <w:r>
        <w:rPr>
          <w:rFonts w:hint="eastAsia" w:ascii="仿宋_GB2312" w:eastAsia="仿宋_GB2312" w:cs="仿宋_GB2312"/>
          <w:kern w:val="0"/>
          <w:sz w:val="32"/>
          <w:szCs w:val="32"/>
        </w:rPr>
        <w:t>万元：主要用于</w:t>
      </w:r>
      <w:r>
        <w:rPr>
          <w:rFonts w:hint="eastAsia" w:ascii="仿宋_GB2312" w:eastAsia="仿宋_GB2312" w:cs="仿宋_GB2312"/>
          <w:b w:val="0"/>
          <w:color w:val="000000"/>
          <w:sz w:val="32"/>
          <w:szCs w:val="32"/>
        </w:rPr>
        <w:t>保障我委日常运转发生的支出，如根据国家规定的基本工资和津补贴标准等安排的人员经费支出，按标准安排的办公费、印刷费、差旅费、会议费等日常公用经费支出；我委为完成各项发改工作任务、保障发改事业发展而发生的项目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1595.8</w:t>
      </w:r>
      <w:r>
        <w:rPr>
          <w:rFonts w:hint="eastAsia" w:ascii="仿宋_GB2312" w:hAnsi="黑体" w:eastAsia="仿宋_GB2312" w:cs="仿宋_GB2312"/>
          <w:kern w:val="0"/>
          <w:sz w:val="32"/>
          <w:szCs w:val="32"/>
        </w:rPr>
        <w:t xml:space="preserve"> 万元，增长</w:t>
      </w:r>
      <w:r>
        <w:rPr>
          <w:rFonts w:hint="eastAsia" w:ascii="仿宋_GB2312" w:hAnsi="黑体" w:eastAsia="仿宋_GB2312" w:cs="仿宋_GB2312"/>
          <w:kern w:val="0"/>
          <w:sz w:val="32"/>
          <w:szCs w:val="32"/>
          <w:lang w:val="en-US" w:eastAsia="zh-CN"/>
        </w:rPr>
        <w:t>63.29</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：新增2021年第一批自治区本级预算内项目前期工作经费项目和柳州市空港物流产业园项目。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2" w:lineRule="atLeast"/>
        <w:ind w:right="0"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607.42万元，</w:t>
      </w:r>
      <w:r>
        <w:rPr>
          <w:rFonts w:hint="eastAsia" w:ascii="仿宋_GB2312" w:eastAsia="仿宋_GB2312" w:cs="仿宋_GB2312"/>
          <w:kern w:val="0"/>
          <w:sz w:val="32"/>
          <w:szCs w:val="32"/>
        </w:rPr>
        <w:t>主要用于</w:t>
      </w:r>
      <w:r>
        <w:rPr>
          <w:rFonts w:hint="eastAsia" w:ascii="仿宋_GB2312" w:eastAsia="仿宋_GB2312" w:cs="仿宋_GB2312"/>
          <w:b w:val="0"/>
          <w:color w:val="000000"/>
          <w:sz w:val="32"/>
          <w:szCs w:val="32"/>
        </w:rPr>
        <w:t>主要用于行政单位离退休费、机关事业单位基本养老保险缴费支出、机关事业单位职业年金缴费支出，全市性项目基本建设中的养老服务项目</w:t>
      </w:r>
      <w:r>
        <w:rPr>
          <w:rFonts w:hint="eastAsia" w:ascii="仿宋_GB2312" w:eastAsia="仿宋_GB2312" w:cs="仿宋_GB2312"/>
          <w:color w:val="00000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80.76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11.74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：公用经费支出减少。</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215.89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b w:val="0"/>
          <w:color w:val="000000"/>
          <w:sz w:val="32"/>
          <w:szCs w:val="32"/>
        </w:rPr>
        <w:t>行政单位医疗、公务员医疗补助，全市性项目基本建设中的城市社区卫生机构、疾病预防控制机构、其他卫生健康支出</w:t>
      </w:r>
      <w:r>
        <w:rPr>
          <w:rFonts w:hint="eastAsia" w:ascii="仿宋_GB2312" w:eastAsia="仿宋_GB2312" w:cs="仿宋_GB2312"/>
          <w:color w:val="00000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57.3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20.97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：公用经费支出减少。</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w:t>
      </w:r>
      <w:r>
        <w:rPr>
          <w:rFonts w:hint="eastAsia" w:ascii="仿宋_GB2312" w:eastAsia="仿宋_GB2312" w:cs="仿宋_GB2312"/>
          <w:bCs/>
          <w:kern w:val="0"/>
          <w:sz w:val="32"/>
          <w:szCs w:val="32"/>
          <w:lang w:eastAsia="zh-CN"/>
        </w:rPr>
        <w:t>节能环保</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，主要用</w:t>
      </w:r>
      <w:r>
        <w:rPr>
          <w:rFonts w:hint="eastAsia" w:ascii="仿宋_GB2312" w:eastAsia="仿宋_GB2312" w:cs="仿宋_GB2312"/>
          <w:b w:val="0"/>
          <w:color w:val="000000"/>
          <w:sz w:val="32"/>
          <w:szCs w:val="32"/>
        </w:rPr>
        <w:t>于全市性项目节能减排中的其他节能环保支出</w:t>
      </w:r>
      <w:r>
        <w:rPr>
          <w:rFonts w:hint="eastAsia" w:ascii="仿宋_GB2312" w:eastAsia="仿宋_GB2312" w:cs="仿宋_GB2312"/>
          <w:color w:val="00000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41.07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2021年无节能环保类支出。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2" w:lineRule="atLeast"/>
        <w:ind w:left="0" w:right="0" w:firstLine="634"/>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w:t>
      </w:r>
      <w:r>
        <w:rPr>
          <w:rFonts w:hint="eastAsia" w:ascii="仿宋_GB2312" w:eastAsia="仿宋_GB2312" w:cs="仿宋_GB2312"/>
          <w:bCs/>
          <w:kern w:val="0"/>
          <w:sz w:val="32"/>
          <w:szCs w:val="32"/>
          <w:lang w:eastAsia="zh-CN"/>
        </w:rPr>
        <w:t>城乡社区（类）支出</w:t>
      </w:r>
      <w:r>
        <w:rPr>
          <w:rFonts w:hint="eastAsia" w:ascii="仿宋_GB2312" w:eastAsia="仿宋_GB2312" w:cs="仿宋_GB2312"/>
          <w:bCs/>
          <w:kern w:val="0"/>
          <w:sz w:val="32"/>
          <w:szCs w:val="32"/>
          <w:lang w:val="en-US" w:eastAsia="zh-CN"/>
        </w:rPr>
        <w:t>386.14万元，主要用于</w:t>
      </w:r>
      <w:r>
        <w:rPr>
          <w:rFonts w:hint="eastAsia" w:ascii="仿宋_GB2312" w:eastAsia="仿宋_GB2312" w:cs="仿宋_GB2312"/>
          <w:b w:val="0"/>
          <w:color w:val="000000"/>
          <w:sz w:val="32"/>
          <w:szCs w:val="32"/>
        </w:rPr>
        <w:t>全市性项目基本建设中的其他城乡社区支出，全市性项目城维专项中的城乡社区规划与管理和其他城乡社区公共设施支出</w:t>
      </w:r>
      <w:r>
        <w:rPr>
          <w:rFonts w:hint="eastAsia" w:ascii="仿宋_GB2312" w:eastAsia="仿宋_GB2312" w:cs="仿宋_GB2312"/>
          <w:color w:val="00000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658.55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63.04</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：该</w:t>
      </w:r>
      <w:r>
        <w:rPr>
          <w:rFonts w:hint="eastAsia" w:ascii="仿宋_GB2312" w:hAnsi="黑体" w:eastAsia="仿宋_GB2312" w:cs="仿宋_GB2312"/>
          <w:kern w:val="0"/>
          <w:sz w:val="32"/>
          <w:szCs w:val="32"/>
          <w:lang w:val="en-US" w:eastAsia="zh-CN"/>
        </w:rPr>
        <w:t>项目金额减少。</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6.</w:t>
      </w:r>
      <w:r>
        <w:rPr>
          <w:rFonts w:hint="eastAsia" w:ascii="仿宋_GB2312" w:eastAsia="仿宋_GB2312" w:cs="仿宋_GB2312"/>
          <w:bCs/>
          <w:kern w:val="0"/>
          <w:sz w:val="32"/>
          <w:szCs w:val="32"/>
          <w:lang w:val="en-US" w:eastAsia="zh-CN"/>
        </w:rPr>
        <w:t>商业服务业（类）支出27.99万元，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1862.58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98.52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项目金额减少。</w:t>
      </w:r>
    </w:p>
    <w:p>
      <w:pPr>
        <w:numPr>
          <w:ilvl w:val="0"/>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7.</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207.88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主要用于</w:t>
      </w:r>
      <w:r>
        <w:rPr>
          <w:rFonts w:hint="eastAsia" w:ascii="仿宋_GB2312" w:eastAsia="仿宋_GB2312" w:cs="仿宋_GB2312"/>
          <w:b w:val="0"/>
          <w:color w:val="333333"/>
          <w:sz w:val="32"/>
          <w:szCs w:val="32"/>
          <w:shd w:val="clear" w:fill="FFFFFF"/>
        </w:rPr>
        <w:t>行政事业单位住房公积金支出</w:t>
      </w:r>
      <w:r>
        <w:rPr>
          <w:rFonts w:hint="eastAsia" w:ascii="仿宋_GB2312" w:eastAsia="仿宋_GB2312" w:cs="仿宋_GB2312"/>
          <w:bCs/>
          <w:kern w:val="0"/>
          <w:sz w:val="32"/>
          <w:szCs w:val="32"/>
          <w:lang w:val="en-US"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22.93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12.4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：公积金支出增加</w:t>
      </w:r>
      <w:r>
        <w:rPr>
          <w:rFonts w:hint="eastAsia" w:ascii="仿宋_GB2312" w:hAnsi="黑体" w:eastAsia="仿宋_GB2312" w:cs="仿宋_GB2312"/>
          <w:kern w:val="0"/>
          <w:sz w:val="32"/>
          <w:szCs w:val="32"/>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2" w:lineRule="atLeast"/>
        <w:ind w:left="0" w:right="0" w:firstLine="634"/>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8.粮油物资储备（类）支出1840.16万元，主要用于</w:t>
      </w:r>
      <w:r>
        <w:rPr>
          <w:rFonts w:hint="eastAsia" w:ascii="仿宋_GB2312" w:eastAsia="仿宋_GB2312" w:cs="仿宋_GB2312"/>
          <w:color w:val="000000"/>
          <w:sz w:val="32"/>
          <w:szCs w:val="32"/>
          <w:shd w:val="clear" w:fill="FFFFFF"/>
        </w:rPr>
        <w:t>行政运行（粮油事务）、一般行政管理事务（粮油事务）、粮食专项业务活动、其他粮油物资事务支出，</w:t>
      </w:r>
      <w:r>
        <w:rPr>
          <w:rFonts w:hint="eastAsia" w:ascii="仿宋_GB2312" w:eastAsia="仿宋_GB2312" w:cs="仿宋_GB2312"/>
          <w:b w:val="0"/>
          <w:color w:val="000000"/>
          <w:sz w:val="32"/>
          <w:szCs w:val="32"/>
        </w:rPr>
        <w:t>全市性项目基本建设中的</w:t>
      </w:r>
      <w:r>
        <w:rPr>
          <w:rFonts w:hint="eastAsia" w:ascii="仿宋_GB2312" w:eastAsia="仿宋_GB2312" w:cs="仿宋_GB2312"/>
          <w:color w:val="000000"/>
          <w:sz w:val="32"/>
          <w:szCs w:val="32"/>
          <w:shd w:val="clear" w:fill="FFFFFF"/>
        </w:rPr>
        <w:t>应急物资储备</w:t>
      </w:r>
      <w:r>
        <w:rPr>
          <w:rFonts w:hint="eastAsia" w:ascii="仿宋_GB2312" w:eastAsia="仿宋_GB2312" w:cs="仿宋_GB2312"/>
          <w:color w:val="00000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719.31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64.17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：新增柳州市军民融合军粮供应工程区域配送中心项目</w:t>
      </w:r>
      <w:r>
        <w:rPr>
          <w:rFonts w:hint="eastAsia" w:ascii="仿宋_GB2312" w:hAnsi="黑体" w:eastAsia="仿宋_GB2312" w:cs="仿宋_GB2312"/>
          <w:kern w:val="0"/>
          <w:sz w:val="32"/>
          <w:szCs w:val="32"/>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2" w:lineRule="atLeast"/>
        <w:ind w:right="0" w:firstLine="640" w:firstLineChars="200"/>
        <w:jc w:val="left"/>
        <w:rPr>
          <w:rFonts w:hint="eastAsia" w:ascii="仿宋_GB2312" w:eastAsia="仿宋_GB2312"/>
          <w:bCs/>
          <w:kern w:val="0"/>
          <w:sz w:val="32"/>
          <w:szCs w:val="32"/>
          <w:lang w:val="en-US" w:eastAsia="zh-CN"/>
        </w:rPr>
      </w:pPr>
      <w:r>
        <w:rPr>
          <w:rFonts w:hint="eastAsia" w:ascii="仿宋_GB2312" w:hAnsi="黑体" w:eastAsia="仿宋_GB2312" w:cs="仿宋_GB2312"/>
          <w:kern w:val="0"/>
          <w:sz w:val="32"/>
          <w:szCs w:val="32"/>
          <w:lang w:val="en-US" w:eastAsia="zh-CN"/>
        </w:rPr>
        <w:t>9.其他支出1万元，主要用于，</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：新增</w:t>
      </w:r>
      <w:r>
        <w:rPr>
          <w:rFonts w:hint="eastAsia" w:ascii="仿宋_GB2312" w:hAnsi="黑体" w:eastAsia="仿宋_GB2312" w:cs="仿宋_GB2312"/>
          <w:kern w:val="0"/>
          <w:sz w:val="32"/>
          <w:szCs w:val="32"/>
          <w:lang w:val="en-US" w:eastAsia="zh-CN"/>
        </w:rPr>
        <w:t>2020年度激励干部担当作为专项奖励资金。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10</w:t>
      </w:r>
      <w:r>
        <w:rPr>
          <w:rFonts w:hint="eastAsia" w:ascii="仿宋_GB2312" w:eastAsia="仿宋_GB2312" w:cs="仿宋_GB2312"/>
          <w:kern w:val="0"/>
          <w:sz w:val="32"/>
          <w:szCs w:val="32"/>
        </w:rPr>
        <w:t>.结余分配</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0.43万元，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：调整结余分配。</w:t>
      </w:r>
    </w:p>
    <w:p>
      <w:pPr>
        <w:autoSpaceDE w:val="0"/>
        <w:autoSpaceDN w:val="0"/>
        <w:adjustRightInd w:val="0"/>
        <w:spacing w:line="560" w:lineRule="exact"/>
        <w:ind w:firstLine="627" w:firstLineChars="196"/>
        <w:jc w:val="left"/>
        <w:rPr>
          <w:rFonts w:hint="eastAsia" w:ascii="仿宋_GB2312" w:eastAsia="仿宋_GB2312"/>
          <w:bCs/>
          <w:kern w:val="0"/>
          <w:sz w:val="32"/>
          <w:szCs w:val="32"/>
          <w:lang w:val="en-US" w:eastAsia="zh-CN"/>
        </w:rPr>
      </w:pP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11</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40.5</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560.13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93.25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：使用了上年度结转资金。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7395.19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443.96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5.66</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3221.29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4173.9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4683.58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7395.19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（一）201类04款01项行政运行（发展与改革事务）。</w:t>
      </w:r>
      <w:r>
        <w:rPr>
          <w:rFonts w:hint="eastAsia" w:ascii="仿宋_GB2312" w:hAnsi="黑体" w:eastAsia="仿宋_GB2312" w:cs="仿宋_GB2312"/>
          <w:kern w:val="0"/>
          <w:sz w:val="32"/>
          <w:szCs w:val="32"/>
        </w:rPr>
        <w:t xml:space="preserve">年初预算为 </w:t>
      </w:r>
      <w:r>
        <w:rPr>
          <w:rFonts w:hint="eastAsia" w:ascii="仿宋_GB2312" w:hAnsi="黑体" w:eastAsia="仿宋_GB2312" w:cs="仿宋_GB2312"/>
          <w:kern w:val="0"/>
          <w:sz w:val="32"/>
          <w:szCs w:val="32"/>
          <w:lang w:val="en-US" w:eastAsia="zh-CN"/>
        </w:rPr>
        <w:t>1602.89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1998.08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（二）201类04款02项一般行政管理事务（发展与改革事务）。</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914.16</w:t>
      </w:r>
      <w:r>
        <w:rPr>
          <w:rFonts w:hint="eastAsia" w:ascii="仿宋_GB2312" w:hAnsi="黑体" w:eastAsia="仿宋_GB2312" w:cs="仿宋_GB2312"/>
          <w:kern w:val="0"/>
          <w:sz w:val="32"/>
          <w:szCs w:val="32"/>
        </w:rPr>
        <w:t xml:space="preserve">万元，支出决算为 </w:t>
      </w:r>
      <w:r>
        <w:rPr>
          <w:rFonts w:hint="eastAsia" w:ascii="仿宋_GB2312" w:hAnsi="黑体" w:eastAsia="仿宋_GB2312" w:cs="仿宋_GB2312"/>
          <w:kern w:val="0"/>
          <w:sz w:val="32"/>
          <w:szCs w:val="32"/>
          <w:lang w:val="en-US" w:eastAsia="zh-CN"/>
        </w:rPr>
        <w:t>665.03</w:t>
      </w:r>
      <w:r>
        <w:rPr>
          <w:rFonts w:hint="eastAsia" w:ascii="仿宋_GB2312" w:hAnsi="黑体" w:eastAsia="仿宋_GB2312" w:cs="仿宋_GB2312"/>
          <w:kern w:val="0"/>
          <w:sz w:val="32"/>
          <w:szCs w:val="32"/>
        </w:rPr>
        <w:t xml:space="preserve">万元，完成年初预算的 </w:t>
      </w:r>
      <w:r>
        <w:rPr>
          <w:rFonts w:hint="eastAsia" w:ascii="仿宋_GB2312" w:hAnsi="黑体" w:eastAsia="仿宋_GB2312" w:cs="仿宋_GB2312"/>
          <w:kern w:val="0"/>
          <w:sz w:val="32"/>
          <w:szCs w:val="32"/>
          <w:lang w:val="en-US" w:eastAsia="zh-CN"/>
        </w:rPr>
        <w:t>72.75</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财政收回项目资金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（三）201类04款08项物价管理。</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334.43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341.95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（四）201类04款99项其他发展与改革事务。</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112.8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1103.71</w:t>
      </w:r>
      <w:r>
        <w:rPr>
          <w:rFonts w:hint="eastAsia" w:ascii="仿宋_GB2312" w:hAnsi="黑体" w:eastAsia="仿宋_GB2312" w:cs="仿宋_GB2312"/>
          <w:kern w:val="0"/>
          <w:sz w:val="32"/>
          <w:szCs w:val="32"/>
        </w:rPr>
        <w:t xml:space="preserve">万元，完成年初预算的 </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（五）208类02款01项行政运行（民政事务）。</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1.36</w:t>
      </w:r>
      <w:r>
        <w:rPr>
          <w:rFonts w:hint="eastAsia" w:ascii="仿宋_GB2312" w:hAnsi="黑体" w:eastAsia="仿宋_GB2312" w:cs="仿宋_GB2312"/>
          <w:kern w:val="0"/>
          <w:sz w:val="32"/>
          <w:szCs w:val="32"/>
        </w:rPr>
        <w:t xml:space="preserve">万元，完成年初预算的 </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（六）208类05款01项行政单位离退休。</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122.06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182.18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（七）208类05款05项机关事业单位基本养老保险缴费支出。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267.9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274.07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（八）208类05款06项机关事业单位职业年金缴费支出。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133.95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137.43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（九）208类10款05项社会福利事业单位。</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12.38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（十）210类11款01项行政单位医疗。</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138.57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（十一）210类11款03项公务员医疗补助。</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68.37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76.74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（十二）</w:t>
      </w:r>
      <w:r>
        <w:rPr>
          <w:rFonts w:hint="eastAsia" w:ascii="仿宋_GB2312" w:eastAsia="仿宋_GB2312"/>
          <w:sz w:val="32"/>
          <w:szCs w:val="32"/>
        </w:rPr>
        <w:t>210类11款99项其他行政事业单位医疗支出</w:t>
      </w:r>
      <w:r>
        <w:rPr>
          <w:rFonts w:hint="eastAsia" w:ascii="仿宋_GB2312" w:eastAsia="仿宋_GB2312"/>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0.58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（十三）212类02款01项城乡社区规划与管理</w:t>
      </w:r>
      <w:r>
        <w:rPr>
          <w:rFonts w:hint="eastAsia" w:ascii="仿宋_GB2312" w:eastAsia="仿宋_GB2312"/>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336.14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（十四）213类03款99项其他城乡社区公共设施支出</w:t>
      </w:r>
      <w:r>
        <w:rPr>
          <w:rFonts w:hint="eastAsia" w:ascii="仿宋_GB2312" w:eastAsia="仿宋_GB2312"/>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（十五）216类02款99项其他商业流通事务支出。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27.99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（十六）221类02款01项住房公积金。年初预算200.92万元，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207.88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（十七）222类01款01项行政运行（粮油事务）。年初预算175.77万元，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204.41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（十八）222类01款02项一般行政管理事务（粮油事务）。</w:t>
      </w:r>
      <w:r>
        <w:rPr>
          <w:rFonts w:hint="eastAsia" w:ascii="仿宋_GB2312" w:hAnsi="黑体" w:eastAsia="仿宋_GB2312" w:cs="仿宋_GB2312"/>
          <w:kern w:val="0"/>
          <w:sz w:val="32"/>
          <w:szCs w:val="32"/>
          <w:lang w:val="en-US" w:eastAsia="zh-CN"/>
        </w:rPr>
        <w:t>年初预算40万元，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29.06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72.65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财政收回项目资金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（十九）222类01款06项粮食专项业务活动。</w:t>
      </w:r>
      <w:r>
        <w:rPr>
          <w:rFonts w:hint="eastAsia" w:ascii="仿宋_GB2312" w:hAnsi="黑体" w:eastAsia="仿宋_GB2312" w:cs="仿宋_GB2312"/>
          <w:kern w:val="0"/>
          <w:sz w:val="32"/>
          <w:szCs w:val="32"/>
          <w:lang w:val="en-US" w:eastAsia="zh-CN"/>
        </w:rPr>
        <w:t>年初预算54.89万元，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51.06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财政收回项目资金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（二十）222类01款99项其他粮油事务支出。</w:t>
      </w:r>
      <w:r>
        <w:rPr>
          <w:rFonts w:hint="eastAsia" w:ascii="仿宋_GB2312" w:hAnsi="黑体" w:eastAsia="仿宋_GB2312" w:cs="仿宋_GB2312"/>
          <w:kern w:val="0"/>
          <w:sz w:val="32"/>
          <w:szCs w:val="32"/>
          <w:lang w:val="en-US" w:eastAsia="zh-CN"/>
        </w:rPr>
        <w:t>年初预算24.6万元，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709.59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财政收回项目资金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（二十一）222类04款03项储备粮（油）库建设。</w:t>
      </w:r>
      <w:r>
        <w:rPr>
          <w:rFonts w:hint="eastAsia" w:ascii="仿宋_GB2312" w:hAnsi="黑体" w:eastAsia="仿宋_GB2312" w:cs="仿宋_GB2312"/>
          <w:kern w:val="0"/>
          <w:sz w:val="32"/>
          <w:szCs w:val="32"/>
          <w:lang w:val="en-US" w:eastAsia="zh-CN"/>
        </w:rPr>
        <w:t>年初预算0万元，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846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（二十二）222类99款99项其他支出。</w:t>
      </w:r>
      <w:r>
        <w:rPr>
          <w:rFonts w:hint="eastAsia" w:ascii="仿宋_GB2312" w:hAnsi="黑体" w:eastAsia="仿宋_GB2312" w:cs="仿宋_GB2312"/>
          <w:kern w:val="0"/>
          <w:sz w:val="32"/>
          <w:szCs w:val="32"/>
          <w:lang w:val="en-US" w:eastAsia="zh-CN"/>
        </w:rPr>
        <w:t>年初预算0万元，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3221.29</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 xml:space="preserve">（一）工资福利支出 </w:t>
      </w:r>
      <w:r>
        <w:rPr>
          <w:rFonts w:hint="eastAsia" w:ascii="仿宋_GB2312" w:eastAsia="仿宋_GB2312"/>
          <w:bCs/>
          <w:kern w:val="0"/>
          <w:sz w:val="32"/>
          <w:szCs w:val="32"/>
          <w:lang w:val="en-US" w:eastAsia="zh-CN"/>
        </w:rPr>
        <w:t>2637.52</w:t>
      </w:r>
      <w:r>
        <w:rPr>
          <w:rFonts w:hint="eastAsia" w:ascii="仿宋_GB2312" w:eastAsia="仿宋_GB2312"/>
          <w:bCs/>
          <w:kern w:val="0"/>
          <w:sz w:val="32"/>
          <w:szCs w:val="32"/>
        </w:rPr>
        <w:t xml:space="preserve">万元，完成年初预算的  </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 xml:space="preserve">（二）商品和服务支出 </w:t>
      </w:r>
      <w:r>
        <w:rPr>
          <w:rFonts w:hint="eastAsia" w:ascii="仿宋_GB2312" w:eastAsia="仿宋_GB2312"/>
          <w:bCs/>
          <w:kern w:val="0"/>
          <w:sz w:val="32"/>
          <w:szCs w:val="32"/>
          <w:lang w:val="en-US" w:eastAsia="zh-CN"/>
        </w:rPr>
        <w:t>420.21</w:t>
      </w:r>
      <w:r>
        <w:rPr>
          <w:rFonts w:hint="eastAsia" w:ascii="仿宋_GB2312" w:eastAsia="仿宋_GB2312"/>
          <w:bCs/>
          <w:kern w:val="0"/>
          <w:sz w:val="32"/>
          <w:szCs w:val="32"/>
        </w:rPr>
        <w:t xml:space="preserve">万元，完成年初预算的 </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lang w:eastAsia="zh-CN"/>
        </w:rPr>
        <w:t>（三）对个人和家庭的补助</w:t>
      </w:r>
      <w:r>
        <w:rPr>
          <w:rFonts w:hint="eastAsia" w:ascii="仿宋_GB2312" w:eastAsia="仿宋_GB2312"/>
          <w:bCs/>
          <w:kern w:val="0"/>
          <w:sz w:val="32"/>
          <w:szCs w:val="32"/>
          <w:lang w:val="en-US" w:eastAsia="zh-CN"/>
        </w:rPr>
        <w:t>163.4万元，</w:t>
      </w:r>
      <w:r>
        <w:rPr>
          <w:rFonts w:hint="eastAsia" w:ascii="仿宋_GB2312" w:eastAsia="仿宋_GB2312"/>
          <w:bCs/>
          <w:kern w:val="0"/>
          <w:sz w:val="32"/>
          <w:szCs w:val="32"/>
        </w:rPr>
        <w:t xml:space="preserve">完成年初预算的 </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lang w:eastAsia="zh-CN"/>
        </w:rPr>
        <w:t>（四）办公设备购置费</w:t>
      </w:r>
      <w:r>
        <w:rPr>
          <w:rFonts w:hint="eastAsia" w:ascii="仿宋_GB2312" w:eastAsia="仿宋_GB2312"/>
          <w:bCs/>
          <w:kern w:val="0"/>
          <w:sz w:val="32"/>
          <w:szCs w:val="32"/>
          <w:lang w:val="en-US" w:eastAsia="zh-CN"/>
        </w:rPr>
        <w:t>0.16万元，</w:t>
      </w:r>
      <w:r>
        <w:rPr>
          <w:rFonts w:hint="eastAsia" w:ascii="仿宋_GB2312" w:eastAsia="仿宋_GB2312"/>
          <w:bCs/>
          <w:kern w:val="0"/>
          <w:sz w:val="32"/>
          <w:szCs w:val="32"/>
        </w:rPr>
        <w:t xml:space="preserve">完成年初预算的 </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柳州市发展和改革委员会</w:t>
      </w:r>
      <w:r>
        <w:rPr>
          <w:rFonts w:hint="eastAsia" w:ascii="仿宋_GB2312" w:eastAsia="仿宋_GB2312" w:cs="仿宋_GB2312"/>
          <w:kern w:val="0"/>
          <w:sz w:val="32"/>
          <w:szCs w:val="32"/>
          <w:lang w:val="en-US" w:eastAsia="zh-CN"/>
        </w:rPr>
        <w:t>2021年度没有政府性基金收入，也没有政府性基金安排的支出，故无数据情况说明。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柳州市发展和改革委员会</w:t>
      </w:r>
      <w:r>
        <w:rPr>
          <w:rFonts w:hint="eastAsia" w:ascii="仿宋_GB2312" w:eastAsia="仿宋_GB2312" w:cs="仿宋_GB2312"/>
          <w:kern w:val="0"/>
          <w:sz w:val="32"/>
          <w:szCs w:val="32"/>
          <w:lang w:val="en-US" w:eastAsia="zh-CN"/>
        </w:rPr>
        <w:t>2021年度没有国有资本经营预算财政拨款收入，也没有国有资本经营预算财政拨款安排的支出，故无数据情况说明。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8.8</w:t>
      </w:r>
      <w:r>
        <w:rPr>
          <w:rFonts w:hint="eastAsia" w:ascii="仿宋_GB2312" w:eastAsia="仿宋_GB2312" w:cs="仿宋_GB2312"/>
          <w:kern w:val="0"/>
          <w:sz w:val="32"/>
          <w:szCs w:val="32"/>
        </w:rPr>
        <w:t xml:space="preserve">万元，完成年初预算的 </w:t>
      </w:r>
      <w:r>
        <w:rPr>
          <w:rFonts w:hint="eastAsia" w:ascii="仿宋_GB2312" w:eastAsia="仿宋_GB2312" w:cs="仿宋_GB2312"/>
          <w:kern w:val="0"/>
          <w:sz w:val="32"/>
          <w:szCs w:val="32"/>
          <w:lang w:val="en-US" w:eastAsia="zh-CN"/>
        </w:rPr>
        <w:t>78.44</w:t>
      </w:r>
      <w:r>
        <w:rPr>
          <w:rFonts w:hint="eastAsia" w:ascii="仿宋_GB2312" w:eastAsia="仿宋_GB2312" w:cs="仿宋_GB2312"/>
          <w:kern w:val="0"/>
          <w:sz w:val="32"/>
          <w:szCs w:val="32"/>
        </w:rPr>
        <w:t xml:space="preserve"> %，比上年减少 </w:t>
      </w:r>
      <w:r>
        <w:rPr>
          <w:rFonts w:hint="eastAsia" w:ascii="仿宋_GB2312" w:eastAsia="仿宋_GB2312" w:cs="仿宋_GB2312"/>
          <w:kern w:val="0"/>
          <w:sz w:val="32"/>
          <w:szCs w:val="32"/>
          <w:lang w:val="en-US" w:eastAsia="zh-CN"/>
        </w:rPr>
        <w:t>2.23</w:t>
      </w:r>
      <w:r>
        <w:rPr>
          <w:rFonts w:hint="eastAsia" w:ascii="仿宋_GB2312" w:eastAsia="仿宋_GB2312" w:cs="仿宋_GB2312"/>
          <w:kern w:val="0"/>
          <w:sz w:val="32"/>
          <w:szCs w:val="32"/>
        </w:rPr>
        <w:t xml:space="preserve"> 万元，主要原因是</w:t>
      </w:r>
      <w:r>
        <w:rPr>
          <w:rFonts w:hint="eastAsia" w:ascii="仿宋_GB2312" w:eastAsia="仿宋_GB2312" w:cs="仿宋_GB2312"/>
          <w:bCs/>
          <w:kern w:val="0"/>
          <w:sz w:val="32"/>
          <w:szCs w:val="32"/>
        </w:rPr>
        <w:t>认真贯彻落实中央八项规定</w:t>
      </w:r>
      <w:bookmarkStart w:id="0" w:name="_GoBack"/>
      <w:bookmarkEnd w:id="0"/>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 xml:space="preserve">其中：因公出国（境）费支出决算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万元，公务用车购置及运行费支出决算 </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 xml:space="preserve"> 万元，公务接待费支出决算 </w:t>
      </w:r>
      <w:r>
        <w:rPr>
          <w:rFonts w:hint="eastAsia" w:ascii="仿宋_GB2312" w:eastAsia="仿宋_GB2312" w:cs="仿宋_GB2312"/>
          <w:kern w:val="0"/>
          <w:sz w:val="32"/>
          <w:szCs w:val="32"/>
          <w:lang w:val="en-US" w:eastAsia="zh-CN"/>
        </w:rPr>
        <w:t>8.57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保持一致</w:t>
      </w:r>
      <w:r>
        <w:rPr>
          <w:rFonts w:hint="eastAsia" w:ascii="仿宋_GB2312" w:eastAsia="仿宋_GB2312" w:cs="仿宋_GB2312"/>
          <w:kern w:val="0"/>
          <w:sz w:val="32"/>
          <w:szCs w:val="32"/>
        </w:rPr>
        <w:t>，原因是</w:t>
      </w:r>
      <w:r>
        <w:rPr>
          <w:rFonts w:hint="eastAsia" w:ascii="仿宋_GB2312" w:eastAsia="仿宋_GB2312" w:cs="仿宋_GB2312"/>
          <w:bCs/>
          <w:kern w:val="0"/>
          <w:sz w:val="32"/>
          <w:szCs w:val="32"/>
          <w:lang w:val="en-US" w:eastAsia="zh-CN"/>
        </w:rPr>
        <w:t>未安排领导干部出国考察</w:t>
      </w:r>
      <w:r>
        <w:rPr>
          <w:rFonts w:hint="eastAsia" w:ascii="仿宋_GB2312" w:eastAsia="仿宋_GB2312" w:cs="仿宋_GB2312"/>
          <w:kern w:val="0"/>
          <w:sz w:val="32"/>
          <w:szCs w:val="32"/>
        </w:rPr>
        <w:t>。</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（二）公务用车购置及运行费支出 </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 xml:space="preserve"> 万元。其中：</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 xml:space="preserve">公务用车购置支出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保持一致。</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公务用车运行支出 </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11.5</w:t>
      </w:r>
      <w:r>
        <w:rPr>
          <w:rFonts w:hint="eastAsia" w:ascii="仿宋_GB2312" w:eastAsia="仿宋_GB2312" w:cs="仿宋_GB2312"/>
          <w:kern w:val="0"/>
          <w:sz w:val="32"/>
          <w:szCs w:val="32"/>
        </w:rPr>
        <w:t xml:space="preserve"> %，比上年减少</w:t>
      </w:r>
      <w:r>
        <w:rPr>
          <w:rFonts w:hint="eastAsia" w:ascii="仿宋_GB2312" w:eastAsia="仿宋_GB2312" w:cs="仿宋_GB2312"/>
          <w:kern w:val="0"/>
          <w:sz w:val="32"/>
          <w:szCs w:val="32"/>
          <w:lang w:val="en-US" w:eastAsia="zh-CN"/>
        </w:rPr>
        <w:t>1.77</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减少公务用车运行支出</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柳州市发展和改革委员会</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 xml:space="preserve">  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 xml:space="preserve">全年运行费支出 </w:t>
      </w:r>
      <w:r>
        <w:rPr>
          <w:rFonts w:hint="eastAsia" w:ascii="仿宋_GB2312" w:hAnsi="黑体" w:eastAsia="仿宋_GB2312"/>
          <w:bCs/>
          <w:color w:val="000000"/>
          <w:sz w:val="32"/>
          <w:szCs w:val="32"/>
          <w:lang w:val="en-US" w:eastAsia="zh-CN"/>
        </w:rPr>
        <w:t>0.23</w:t>
      </w:r>
      <w:r>
        <w:rPr>
          <w:rFonts w:hint="eastAsia" w:ascii="仿宋_GB2312" w:hAnsi="黑体" w:eastAsia="仿宋_GB2312"/>
          <w:bCs/>
          <w:color w:val="000000"/>
          <w:sz w:val="32"/>
          <w:szCs w:val="32"/>
        </w:rPr>
        <w:t xml:space="preserve"> 万元，平均每辆 </w:t>
      </w:r>
      <w:r>
        <w:rPr>
          <w:rFonts w:hint="eastAsia" w:ascii="仿宋_GB2312" w:hAnsi="黑体" w:eastAsia="仿宋_GB2312"/>
          <w:bCs/>
          <w:color w:val="000000"/>
          <w:sz w:val="32"/>
          <w:szCs w:val="32"/>
          <w:lang w:val="en-US" w:eastAsia="zh-CN"/>
        </w:rPr>
        <w:t>0.23</w:t>
      </w:r>
      <w:r>
        <w:rPr>
          <w:rFonts w:hint="eastAsia" w:ascii="仿宋_GB2312" w:hAnsi="黑体" w:eastAsia="仿宋_GB2312"/>
          <w:bCs/>
          <w:color w:val="000000"/>
          <w:sz w:val="32"/>
          <w:szCs w:val="32"/>
        </w:rPr>
        <w:t xml:space="preserve"> 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xml:space="preserve">（三）公务接待费支出 </w:t>
      </w:r>
      <w:r>
        <w:rPr>
          <w:rFonts w:hint="eastAsia" w:ascii="仿宋_GB2312" w:eastAsia="仿宋_GB2312" w:cs="仿宋_GB2312"/>
          <w:kern w:val="0"/>
          <w:sz w:val="32"/>
          <w:szCs w:val="32"/>
          <w:lang w:val="en-US" w:eastAsia="zh-CN"/>
        </w:rPr>
        <w:t>8.57</w:t>
      </w:r>
      <w:r>
        <w:rPr>
          <w:rFonts w:hint="eastAsia" w:ascii="仿宋_GB2312" w:eastAsia="仿宋_GB2312" w:cs="仿宋_GB2312"/>
          <w:kern w:val="0"/>
          <w:sz w:val="32"/>
          <w:szCs w:val="32"/>
        </w:rPr>
        <w:t xml:space="preserve"> 万元，完成年初预算的 </w:t>
      </w:r>
      <w:r>
        <w:rPr>
          <w:rFonts w:hint="eastAsia" w:ascii="仿宋_GB2312" w:eastAsia="仿宋_GB2312" w:cs="仿宋_GB2312"/>
          <w:kern w:val="0"/>
          <w:sz w:val="32"/>
          <w:szCs w:val="32"/>
          <w:lang w:val="en-US" w:eastAsia="zh-CN"/>
        </w:rPr>
        <w:t>92.95</w:t>
      </w:r>
      <w:r>
        <w:rPr>
          <w:rFonts w:hint="eastAsia" w:ascii="仿宋_GB2312" w:eastAsia="仿宋_GB2312" w:cs="仿宋_GB2312"/>
          <w:kern w:val="0"/>
          <w:sz w:val="32"/>
          <w:szCs w:val="32"/>
        </w:rPr>
        <w:t xml:space="preserve"> %， 比上年减少 </w:t>
      </w:r>
      <w:r>
        <w:rPr>
          <w:rFonts w:hint="eastAsia" w:ascii="仿宋_GB2312" w:eastAsia="仿宋_GB2312" w:cs="仿宋_GB2312"/>
          <w:kern w:val="0"/>
          <w:sz w:val="32"/>
          <w:szCs w:val="32"/>
          <w:lang w:val="en-US" w:eastAsia="zh-CN"/>
        </w:rPr>
        <w:t>0.46</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严格控制公务接待经费开支</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95</w:t>
      </w:r>
      <w:r>
        <w:rPr>
          <w:rFonts w:hint="eastAsia" w:ascii="仿宋_GB2312" w:eastAsia="仿宋_GB2312" w:cs="仿宋_GB2312"/>
          <w:kern w:val="0"/>
          <w:sz w:val="32"/>
          <w:szCs w:val="32"/>
        </w:rPr>
        <w:t xml:space="preserve"> 次，人次</w:t>
      </w:r>
      <w:r>
        <w:rPr>
          <w:rFonts w:hint="eastAsia" w:ascii="仿宋_GB2312" w:eastAsia="仿宋_GB2312" w:cs="仿宋_GB2312"/>
          <w:kern w:val="0"/>
          <w:sz w:val="32"/>
          <w:szCs w:val="32"/>
          <w:lang w:val="en-US" w:eastAsia="zh-CN"/>
        </w:rPr>
        <w:t>566</w:t>
      </w:r>
      <w:r>
        <w:rPr>
          <w:rFonts w:hint="eastAsia" w:ascii="仿宋_GB2312" w:eastAsia="仿宋_GB2312" w:cs="仿宋_GB2312"/>
          <w:kern w:val="0"/>
          <w:sz w:val="32"/>
          <w:szCs w:val="32"/>
        </w:rPr>
        <w:t xml:space="preserve"> 次，国（境）外公务接待批次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年度机关运行经费支出 </w:t>
      </w:r>
      <w:r>
        <w:rPr>
          <w:rFonts w:hint="eastAsia" w:ascii="仿宋_GB2312" w:eastAsia="仿宋_GB2312" w:cs="仿宋_GB2312"/>
          <w:kern w:val="0"/>
          <w:sz w:val="32"/>
          <w:szCs w:val="32"/>
          <w:lang w:val="en-US" w:eastAsia="zh-CN"/>
        </w:rPr>
        <w:t>420.36</w:t>
      </w:r>
      <w:r>
        <w:rPr>
          <w:rFonts w:hint="eastAsia" w:ascii="仿宋_GB2312" w:eastAsia="仿宋_GB2312" w:cs="仿宋_GB2312"/>
          <w:kern w:val="0"/>
          <w:sz w:val="32"/>
          <w:szCs w:val="32"/>
        </w:rPr>
        <w:t xml:space="preserve"> 万元（与部门决算中行政单位和参照公务员法管理事业单位一般公共预算财政拨款基本支出中公用经费之和保持一致），比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10.03</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公用经费增加。</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年度政府采购支出总额 </w:t>
      </w:r>
      <w:r>
        <w:rPr>
          <w:rFonts w:hint="eastAsia" w:ascii="仿宋_GB2312" w:eastAsia="仿宋_GB2312" w:cs="仿宋_GB2312"/>
          <w:kern w:val="0"/>
          <w:sz w:val="32"/>
          <w:szCs w:val="32"/>
          <w:lang w:val="en-US" w:eastAsia="zh-CN"/>
        </w:rPr>
        <w:t>647.36</w:t>
      </w:r>
      <w:r>
        <w:rPr>
          <w:rFonts w:hint="eastAsia" w:ascii="仿宋_GB2312" w:eastAsia="仿宋_GB2312" w:cs="仿宋_GB2312"/>
          <w:kern w:val="0"/>
          <w:sz w:val="32"/>
          <w:szCs w:val="32"/>
        </w:rPr>
        <w:t xml:space="preserve"> 万元，其中：政府采购货物支出 </w:t>
      </w:r>
      <w:r>
        <w:rPr>
          <w:rFonts w:hint="eastAsia" w:ascii="仿宋_GB2312" w:eastAsia="仿宋_GB2312" w:cs="仿宋_GB2312"/>
          <w:kern w:val="0"/>
          <w:sz w:val="32"/>
          <w:szCs w:val="32"/>
          <w:lang w:val="en-US" w:eastAsia="zh-CN"/>
        </w:rPr>
        <w:t>225.38</w:t>
      </w:r>
      <w:r>
        <w:rPr>
          <w:rFonts w:hint="eastAsia" w:ascii="仿宋_GB2312" w:eastAsia="仿宋_GB2312" w:cs="仿宋_GB2312"/>
          <w:kern w:val="0"/>
          <w:sz w:val="32"/>
          <w:szCs w:val="32"/>
        </w:rPr>
        <w:t xml:space="preserve"> 万元、政府采购工程支出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万元、政府采购服务支出 </w:t>
      </w:r>
      <w:r>
        <w:rPr>
          <w:rFonts w:hint="eastAsia" w:ascii="仿宋_GB2312" w:eastAsia="仿宋_GB2312" w:cs="仿宋_GB2312"/>
          <w:kern w:val="0"/>
          <w:sz w:val="32"/>
          <w:szCs w:val="32"/>
          <w:lang w:val="en-US" w:eastAsia="zh-CN"/>
        </w:rPr>
        <w:t>421.98</w:t>
      </w:r>
      <w:r>
        <w:rPr>
          <w:rFonts w:hint="eastAsia" w:ascii="仿宋_GB2312" w:eastAsia="仿宋_GB2312" w:cs="仿宋_GB2312"/>
          <w:kern w:val="0"/>
          <w:sz w:val="32"/>
          <w:szCs w:val="32"/>
        </w:rPr>
        <w:t xml:space="preserve"> 万元，（口径参见部门决算F03表《机构运行信息表》中政府采购相关数据，并做好与</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 年度政府采购信息统计报表中“政府采购资金情况表”有关数据的衔接）。授予中小企业合同金额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万元，占政府采购支出总额的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%，其中：授予小微企业合同金额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万元，占政府采购支出总额的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年12月31日，本部门共有车辆 </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根据财政预算管理要求，我部门组织对2021年度一般公共预算项目支出全面开展绩效自评。共涉及资金 2437.61万元，占一般公共预算项目支出总额的58.3%。</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共组织对“</w:t>
      </w:r>
      <w:r>
        <w:rPr>
          <w:rFonts w:hint="eastAsia" w:ascii="仿宋_GB2312" w:hAnsi="华文仿宋" w:eastAsia="仿宋_GB2312" w:cs="宋体"/>
          <w:bCs/>
          <w:color w:val="000000"/>
          <w:kern w:val="0"/>
          <w:sz w:val="32"/>
          <w:szCs w:val="32"/>
        </w:rPr>
        <w:t>冻猪肉储备资金</w:t>
      </w:r>
      <w:r>
        <w:rPr>
          <w:rFonts w:hint="eastAsia" w:ascii="仿宋_GB2312" w:eastAsia="仿宋_GB2312" w:cs="仿宋_GB2312"/>
          <w:kern w:val="0"/>
          <w:sz w:val="32"/>
          <w:szCs w:val="32"/>
        </w:rPr>
        <w:t>”“</w:t>
      </w:r>
      <w:r>
        <w:rPr>
          <w:rFonts w:hint="eastAsia" w:ascii="仿宋_GB2312" w:hAnsi="华文仿宋" w:eastAsia="仿宋_GB2312" w:cs="宋体"/>
          <w:bCs/>
          <w:color w:val="000000"/>
          <w:kern w:val="0"/>
          <w:sz w:val="32"/>
          <w:szCs w:val="32"/>
        </w:rPr>
        <w:t xml:space="preserve"> 生猪活体储备资金</w:t>
      </w:r>
      <w:r>
        <w:rPr>
          <w:rFonts w:hint="eastAsia" w:ascii="仿宋_GB2312" w:eastAsia="仿宋_GB2312" w:cs="仿宋_GB2312"/>
          <w:kern w:val="0"/>
          <w:sz w:val="32"/>
          <w:szCs w:val="32"/>
        </w:rPr>
        <w:t>”“</w:t>
      </w:r>
      <w:r>
        <w:rPr>
          <w:rFonts w:hint="eastAsia" w:ascii="仿宋_GB2312" w:hAnsi="华文仿宋" w:eastAsia="仿宋_GB2312" w:cs="宋体"/>
          <w:bCs/>
          <w:color w:val="000000"/>
          <w:kern w:val="0"/>
          <w:sz w:val="32"/>
          <w:szCs w:val="32"/>
        </w:rPr>
        <w:t xml:space="preserve"> 价格认证中心聘用人员支出</w:t>
      </w:r>
      <w:r>
        <w:rPr>
          <w:rFonts w:hint="eastAsia" w:ascii="仿宋_GB2312" w:eastAsia="仿宋_GB2312" w:cs="仿宋_GB2312"/>
          <w:kern w:val="0"/>
          <w:sz w:val="32"/>
          <w:szCs w:val="32"/>
        </w:rPr>
        <w:t>”“</w:t>
      </w:r>
      <w:r>
        <w:rPr>
          <w:rFonts w:hint="eastAsia" w:ascii="仿宋_GB2312" w:hAnsi="华文仿宋" w:eastAsia="仿宋_GB2312" w:cs="宋体"/>
          <w:bCs/>
          <w:color w:val="000000"/>
          <w:kern w:val="0"/>
          <w:sz w:val="32"/>
          <w:szCs w:val="32"/>
        </w:rPr>
        <w:t xml:space="preserve"> 粮油储备管理政策性补贴</w:t>
      </w:r>
      <w:r>
        <w:rPr>
          <w:rFonts w:hint="eastAsia" w:ascii="仿宋_GB2312" w:eastAsia="仿宋_GB2312" w:cs="仿宋_GB2312"/>
          <w:kern w:val="0"/>
          <w:sz w:val="32"/>
          <w:szCs w:val="32"/>
        </w:rPr>
        <w:t>”等4个项目进行了绩效评价，涉及一般公共预算支出2437.61万元，从评价情况来看，各项指标能够在年底前完成。</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组织对5个单位开展整体支出绩效评价试点，涉及一般公共预算支出4178.98万元。从评价情况来看，各项指标能够在年底前完成。</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spacing w:line="580" w:lineRule="exact"/>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w:t>
      </w:r>
      <w:r>
        <w:rPr>
          <w:rFonts w:hint="eastAsia" w:ascii="仿宋_GB2312" w:hAnsi="华文仿宋" w:eastAsia="仿宋_GB2312" w:cs="宋体"/>
          <w:bCs/>
          <w:color w:val="000000"/>
          <w:kern w:val="0"/>
          <w:sz w:val="32"/>
          <w:szCs w:val="32"/>
        </w:rPr>
        <w:t>粮油储备管理政策性补贴</w:t>
      </w:r>
      <w:r>
        <w:rPr>
          <w:rFonts w:hint="eastAsia" w:ascii="仿宋_GB2312" w:eastAsia="仿宋_GB2312" w:cs="仿宋_GB2312"/>
          <w:kern w:val="0"/>
          <w:sz w:val="32"/>
          <w:szCs w:val="32"/>
        </w:rPr>
        <w:t>项目自评得分为96分。发现的主要问题及原因：指标值设置值偏低，完成自治区储备粮直补订单收购任务去年的任务量为30000吨，实际只设置了20000吨。下一步改进措施：规范指标值设定。</w:t>
      </w:r>
      <w:r>
        <w:rPr>
          <w:rFonts w:hint="eastAsia" w:ascii="仿宋_GB2312" w:hAnsi="华文仿宋" w:eastAsia="仿宋_GB2312" w:cs="宋体"/>
          <w:bCs/>
          <w:color w:val="000000"/>
          <w:kern w:val="0"/>
          <w:sz w:val="32"/>
          <w:szCs w:val="32"/>
        </w:rPr>
        <w:t>价格认证中心聘用人员支出</w:t>
      </w:r>
      <w:r>
        <w:rPr>
          <w:rFonts w:hint="eastAsia" w:ascii="仿宋_GB2312" w:eastAsia="仿宋_GB2312" w:cs="仿宋_GB2312"/>
          <w:kern w:val="0"/>
          <w:sz w:val="32"/>
          <w:szCs w:val="32"/>
        </w:rPr>
        <w:t>项目自评得分为100分。发现的主要问题及原因：无。下一步改进措施：无。</w:t>
      </w:r>
      <w:r>
        <w:rPr>
          <w:rFonts w:hint="eastAsia" w:ascii="仿宋_GB2312" w:hAnsi="华文仿宋" w:eastAsia="仿宋_GB2312" w:cs="宋体"/>
          <w:bCs/>
          <w:color w:val="000000"/>
          <w:kern w:val="0"/>
          <w:sz w:val="32"/>
          <w:szCs w:val="32"/>
        </w:rPr>
        <w:t>冻猪肉储备资金</w:t>
      </w:r>
      <w:r>
        <w:rPr>
          <w:rFonts w:hint="eastAsia" w:ascii="仿宋_GB2312" w:eastAsia="仿宋_GB2312" w:cs="仿宋_GB2312"/>
          <w:kern w:val="0"/>
          <w:sz w:val="32"/>
          <w:szCs w:val="32"/>
        </w:rPr>
        <w:t>自评得分为100分。发现的主要问题及原因：无。</w:t>
      </w:r>
      <w:r>
        <w:rPr>
          <w:rFonts w:hint="eastAsia" w:ascii="仿宋_GB2312" w:hAnsi="华文仿宋" w:eastAsia="仿宋_GB2312" w:cs="宋体"/>
          <w:bCs/>
          <w:color w:val="000000"/>
          <w:kern w:val="0"/>
          <w:sz w:val="32"/>
          <w:szCs w:val="32"/>
        </w:rPr>
        <w:t>生猪活体储备资金</w:t>
      </w:r>
      <w:r>
        <w:rPr>
          <w:rFonts w:hint="eastAsia" w:ascii="仿宋_GB2312" w:eastAsia="仿宋_GB2312" w:cs="仿宋_GB2312"/>
          <w:kern w:val="0"/>
          <w:sz w:val="32"/>
          <w:szCs w:val="32"/>
        </w:rPr>
        <w:t>自评得分为100分。发现的主要问题及原因：无。</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F4B94"/>
    <w:multiLevelType w:val="singleLevel"/>
    <w:tmpl w:val="B0CF4B94"/>
    <w:lvl w:ilvl="0" w:tentative="0">
      <w:start w:val="1"/>
      <w:numFmt w:val="chineseCounting"/>
      <w:suff w:val="nothing"/>
      <w:lvlText w:val="（%1）"/>
      <w:lvlJc w:val="left"/>
      <w:rPr>
        <w:rFonts w:hint="eastAsia"/>
      </w:rPr>
    </w:lvl>
  </w:abstractNum>
  <w:abstractNum w:abstractNumId="1">
    <w:nsid w:val="5F2A72FA"/>
    <w:multiLevelType w:val="singleLevel"/>
    <w:tmpl w:val="5F2A72F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5B9C7CA5"/>
    <w:rsid w:val="002D3BF6"/>
    <w:rsid w:val="00D5435F"/>
    <w:rsid w:val="0101083B"/>
    <w:rsid w:val="01B87360"/>
    <w:rsid w:val="0330424C"/>
    <w:rsid w:val="03437205"/>
    <w:rsid w:val="04CC4FE5"/>
    <w:rsid w:val="04DE682B"/>
    <w:rsid w:val="0D77601A"/>
    <w:rsid w:val="0D95062F"/>
    <w:rsid w:val="10136F96"/>
    <w:rsid w:val="134429AF"/>
    <w:rsid w:val="144062F0"/>
    <w:rsid w:val="15B34C77"/>
    <w:rsid w:val="18C25CE3"/>
    <w:rsid w:val="1DB37B54"/>
    <w:rsid w:val="1F2A7C9A"/>
    <w:rsid w:val="1FB6350E"/>
    <w:rsid w:val="2436173C"/>
    <w:rsid w:val="26112547"/>
    <w:rsid w:val="268F428D"/>
    <w:rsid w:val="27656966"/>
    <w:rsid w:val="278B6595"/>
    <w:rsid w:val="28F02374"/>
    <w:rsid w:val="29C25E9D"/>
    <w:rsid w:val="2AE55D6F"/>
    <w:rsid w:val="2D15233F"/>
    <w:rsid w:val="2F0D69EC"/>
    <w:rsid w:val="2FB01455"/>
    <w:rsid w:val="31FE57A4"/>
    <w:rsid w:val="324937A3"/>
    <w:rsid w:val="33380B89"/>
    <w:rsid w:val="363E3604"/>
    <w:rsid w:val="379029C3"/>
    <w:rsid w:val="3B262FD5"/>
    <w:rsid w:val="3D3E4ED2"/>
    <w:rsid w:val="3E0A5DEB"/>
    <w:rsid w:val="3E2B3E7E"/>
    <w:rsid w:val="4098404C"/>
    <w:rsid w:val="4119468A"/>
    <w:rsid w:val="41946CC2"/>
    <w:rsid w:val="44697DA7"/>
    <w:rsid w:val="46BB1BBA"/>
    <w:rsid w:val="46DC2823"/>
    <w:rsid w:val="49791544"/>
    <w:rsid w:val="49A91796"/>
    <w:rsid w:val="4DA4556B"/>
    <w:rsid w:val="4E4B4026"/>
    <w:rsid w:val="52BB2266"/>
    <w:rsid w:val="52D906B9"/>
    <w:rsid w:val="543A01B0"/>
    <w:rsid w:val="563645A9"/>
    <w:rsid w:val="56A949F0"/>
    <w:rsid w:val="56C36595"/>
    <w:rsid w:val="58F928DE"/>
    <w:rsid w:val="5A562077"/>
    <w:rsid w:val="5AF906FA"/>
    <w:rsid w:val="5B627F14"/>
    <w:rsid w:val="5B9C7CA5"/>
    <w:rsid w:val="5CCB1069"/>
    <w:rsid w:val="5D1B0C10"/>
    <w:rsid w:val="5ED94F07"/>
    <w:rsid w:val="5F223CCB"/>
    <w:rsid w:val="61220FFD"/>
    <w:rsid w:val="61D952E5"/>
    <w:rsid w:val="62E54CC9"/>
    <w:rsid w:val="636A47EC"/>
    <w:rsid w:val="640B7D1F"/>
    <w:rsid w:val="674409E7"/>
    <w:rsid w:val="6900310F"/>
    <w:rsid w:val="693E5D71"/>
    <w:rsid w:val="6AA5541C"/>
    <w:rsid w:val="6BE2607A"/>
    <w:rsid w:val="6CE244E1"/>
    <w:rsid w:val="6CEC7285"/>
    <w:rsid w:val="6FDA6B6D"/>
    <w:rsid w:val="700125F0"/>
    <w:rsid w:val="71A079AB"/>
    <w:rsid w:val="7267128A"/>
    <w:rsid w:val="72827517"/>
    <w:rsid w:val="72BA4DCB"/>
    <w:rsid w:val="76413A9C"/>
    <w:rsid w:val="79FE0A84"/>
    <w:rsid w:val="7C6D3BCB"/>
    <w:rsid w:val="7C94381A"/>
    <w:rsid w:val="7C983BF5"/>
    <w:rsid w:val="7CDF4613"/>
    <w:rsid w:val="7D9A4A2E"/>
    <w:rsid w:val="7FA95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7">
    <w:name w:val="正文1"/>
    <w:basedOn w:val="8"/>
    <w:qFormat/>
    <w:uiPriority w:val="0"/>
    <w:pPr>
      <w:widowControl/>
    </w:pPr>
    <w:rPr>
      <w:rFonts w:eastAsia="Times New Roman"/>
      <w:kern w:val="0"/>
      <w:szCs w:val="20"/>
      <w:lang w:val="zh-CN"/>
    </w:rPr>
  </w:style>
  <w:style w:type="paragraph" w:customStyle="1" w:styleId="8">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fgw</Company>
  <Pages>35</Pages>
  <Words>10922</Words>
  <Characters>14444</Characters>
  <Lines>0</Lines>
  <Paragraphs>0</Paragraphs>
  <TotalTime>0</TotalTime>
  <ScaleCrop>false</ScaleCrop>
  <LinksUpToDate>false</LinksUpToDate>
  <CharactersWithSpaces>14814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2022-07-15T02:24:00Z</dcterms:created>
  <dc:creator>lenovo</dc:creator>
  <cp:lastModifiedBy>哒哒陳</cp:lastModifiedBy>
  <dcterms:modified xsi:type="dcterms:W3CDTF">2022-08-24T07:44:26Z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13EB0EBB999347C9984B073241BD4836</vt:lpwstr>
  </property>
</Properties>
</file>