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lang w:eastAsia="zh-CN"/>
        </w:rPr>
        <w:t>柳州市归国华侨联合会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柳州市侨联是人民团体之一，履行联系归侨、侨眷；依法维护归侨、侨眷的合法权益；海外联谊；参政议政职能；拓展中华优秀文化传播；支持海外华文教育事业发展。目前，柳州市归国华侨联合会编制10人，在职实有人数</w:t>
      </w:r>
      <w:r>
        <w:rPr>
          <w:rFonts w:hint="eastAsia" w:ascii="仿宋_GB2312" w:eastAsia="仿宋_GB2312"/>
          <w:sz w:val="32"/>
          <w:szCs w:val="32"/>
          <w:lang w:val="en-US" w:eastAsia="zh-CN"/>
        </w:rPr>
        <w:t>9</w:t>
      </w:r>
      <w:r>
        <w:rPr>
          <w:rFonts w:hint="eastAsia" w:ascii="仿宋_GB2312" w:eastAsia="仿宋_GB2312"/>
          <w:sz w:val="32"/>
          <w:szCs w:val="32"/>
        </w:rPr>
        <w:t>人，下设办公室、经联科。</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年度，纳入本部门决算汇编范围的独立核算单位共1个，具体如下：</w:t>
      </w:r>
    </w:p>
    <w:p>
      <w:pPr>
        <w:ind w:firstLine="645"/>
        <w:rPr>
          <w:rFonts w:ascii="仿宋_GB2312" w:eastAsia="仿宋_GB2312"/>
          <w:sz w:val="32"/>
          <w:szCs w:val="32"/>
        </w:rPr>
      </w:pPr>
    </w:p>
    <w:tbl>
      <w:tblPr>
        <w:tblStyle w:val="7"/>
        <w:tblW w:w="8505" w:type="dxa"/>
        <w:jc w:val="center"/>
        <w:tblInd w:w="0" w:type="dxa"/>
        <w:tblLayout w:type="fixed"/>
        <w:tblCellMar>
          <w:top w:w="0" w:type="dxa"/>
          <w:left w:w="0" w:type="dxa"/>
          <w:bottom w:w="0" w:type="dxa"/>
          <w:right w:w="0" w:type="dxa"/>
        </w:tblCellMar>
      </w:tblPr>
      <w:tblGrid>
        <w:gridCol w:w="2610"/>
        <w:gridCol w:w="3060"/>
        <w:gridCol w:w="2835"/>
      </w:tblGrid>
      <w:tr>
        <w:tblPrEx>
          <w:tblLayout w:type="fixed"/>
          <w:tblCellMar>
            <w:top w:w="0" w:type="dxa"/>
            <w:left w:w="0" w:type="dxa"/>
            <w:bottom w:w="0" w:type="dxa"/>
            <w:right w:w="0" w:type="dxa"/>
          </w:tblCellMar>
        </w:tblPrEx>
        <w:trPr>
          <w:jc w:val="center"/>
        </w:trPr>
        <w:tc>
          <w:tcPr>
            <w:tcW w:w="2610" w:type="dxa"/>
            <w:tcBorders>
              <w:top w:val="single" w:color="000000" w:sz="8" w:space="0"/>
              <w:left w:val="single" w:color="000000" w:sz="8" w:space="0"/>
              <w:bottom w:val="single" w:color="000000" w:sz="8" w:space="0"/>
              <w:right w:val="single" w:color="000000" w:sz="8" w:space="0"/>
            </w:tcBorders>
            <w:vAlign w:val="center"/>
          </w:tcPr>
          <w:p>
            <w:pPr>
              <w:ind w:firstLine="645"/>
              <w:rPr>
                <w:rFonts w:ascii="仿宋_GB2312" w:eastAsia="仿宋_GB2312"/>
                <w:sz w:val="32"/>
                <w:szCs w:val="32"/>
              </w:rPr>
            </w:pPr>
            <w:r>
              <w:rPr>
                <w:rFonts w:hint="eastAsia" w:ascii="仿宋_GB2312" w:eastAsia="仿宋_GB2312"/>
                <w:sz w:val="32"/>
                <w:szCs w:val="32"/>
              </w:rPr>
              <w:t>单位名称</w:t>
            </w:r>
          </w:p>
        </w:tc>
        <w:tc>
          <w:tcPr>
            <w:tcW w:w="3060" w:type="dxa"/>
            <w:tcBorders>
              <w:top w:val="single" w:color="000000" w:sz="8" w:space="0"/>
              <w:left w:val="single" w:color="000000" w:sz="8" w:space="0"/>
              <w:bottom w:val="single" w:color="000000" w:sz="8" w:space="0"/>
              <w:right w:val="single" w:color="000000" w:sz="8" w:space="0"/>
            </w:tcBorders>
          </w:tcPr>
          <w:p>
            <w:pPr>
              <w:jc w:val="center"/>
              <w:rPr>
                <w:rFonts w:ascii="仿宋_GB2312" w:eastAsia="仿宋_GB2312"/>
                <w:sz w:val="32"/>
                <w:szCs w:val="32"/>
              </w:rPr>
            </w:pPr>
            <w:r>
              <w:rPr>
                <w:rFonts w:hint="eastAsia" w:ascii="仿宋_GB2312" w:eastAsia="仿宋_GB2312"/>
                <w:sz w:val="32"/>
                <w:szCs w:val="32"/>
              </w:rPr>
              <w:t>单位基本性质</w:t>
            </w:r>
          </w:p>
          <w:p>
            <w:pPr>
              <w:jc w:val="center"/>
              <w:rPr>
                <w:rFonts w:ascii="仿宋_GB2312" w:eastAsia="仿宋_GB2312"/>
                <w:sz w:val="32"/>
                <w:szCs w:val="32"/>
              </w:rPr>
            </w:pPr>
            <w:r>
              <w:rPr>
                <w:rFonts w:hint="eastAsia" w:ascii="仿宋_GB2312" w:eastAsia="仿宋_GB2312"/>
                <w:sz w:val="32"/>
                <w:szCs w:val="32"/>
              </w:rPr>
              <w:t>（执行会计制度）</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eastAsia="仿宋_GB2312"/>
                <w:sz w:val="32"/>
                <w:szCs w:val="32"/>
              </w:rPr>
            </w:pPr>
            <w:r>
              <w:rPr>
                <w:rFonts w:hint="eastAsia" w:ascii="仿宋_GB2312" w:eastAsia="仿宋_GB2312"/>
                <w:sz w:val="32"/>
                <w:szCs w:val="32"/>
              </w:rPr>
              <w:t>单位预算级次</w:t>
            </w:r>
          </w:p>
        </w:tc>
      </w:tr>
      <w:tr>
        <w:tblPrEx>
          <w:tblLayout w:type="fixed"/>
          <w:tblCellMar>
            <w:top w:w="0" w:type="dxa"/>
            <w:left w:w="0" w:type="dxa"/>
            <w:bottom w:w="0" w:type="dxa"/>
            <w:right w:w="0" w:type="dxa"/>
          </w:tblCellMar>
        </w:tblPrEx>
        <w:trPr>
          <w:jc w:val="center"/>
        </w:trPr>
        <w:tc>
          <w:tcPr>
            <w:tcW w:w="2610" w:type="dxa"/>
            <w:tcBorders>
              <w:top w:val="single" w:color="000000" w:sz="8" w:space="0"/>
              <w:left w:val="single" w:color="000000" w:sz="8" w:space="0"/>
              <w:bottom w:val="single" w:color="000000" w:sz="8" w:space="0"/>
              <w:right w:val="single" w:color="000000" w:sz="8" w:space="0"/>
            </w:tcBorders>
          </w:tcPr>
          <w:p>
            <w:pPr>
              <w:jc w:val="center"/>
              <w:rPr>
                <w:rFonts w:ascii="仿宋_GB2312" w:eastAsia="仿宋_GB2312"/>
                <w:sz w:val="32"/>
                <w:szCs w:val="32"/>
              </w:rPr>
            </w:pPr>
            <w:r>
              <w:rPr>
                <w:rFonts w:hint="eastAsia" w:ascii="仿宋_GB2312" w:eastAsia="仿宋_GB2312"/>
                <w:sz w:val="32"/>
                <w:szCs w:val="32"/>
              </w:rPr>
              <w:t>柳州市归国华侨联合会</w:t>
            </w:r>
          </w:p>
        </w:tc>
        <w:tc>
          <w:tcPr>
            <w:tcW w:w="306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eastAsia="仿宋_GB2312"/>
                <w:sz w:val="32"/>
                <w:szCs w:val="32"/>
              </w:rPr>
            </w:pPr>
            <w:r>
              <w:rPr>
                <w:rFonts w:hint="eastAsia" w:ascii="仿宋_GB2312" w:eastAsia="仿宋_GB2312"/>
                <w:sz w:val="32"/>
                <w:szCs w:val="32"/>
              </w:rPr>
              <w:t>参公事业单位</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eastAsia="仿宋_GB2312"/>
                <w:sz w:val="32"/>
                <w:szCs w:val="32"/>
              </w:rPr>
            </w:pPr>
            <w:r>
              <w:rPr>
                <w:rFonts w:hint="eastAsia" w:ascii="仿宋_GB2312" w:eastAsia="仿宋_GB2312"/>
                <w:sz w:val="32"/>
                <w:szCs w:val="32"/>
              </w:rPr>
              <w:t>一级预算单位</w:t>
            </w:r>
          </w:p>
        </w:tc>
      </w:tr>
    </w:tbl>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0"/>
        <w:rPr>
          <w:rFonts w:ascii="仿宋_GB2312" w:eastAsia="仿宋_GB2312"/>
          <w:kern w:val="2"/>
          <w:sz w:val="32"/>
          <w:szCs w:val="32"/>
          <w:lang w:val="en-US"/>
        </w:rPr>
      </w:pPr>
      <w:r>
        <w:rPr>
          <w:rFonts w:hint="eastAsia" w:ascii="仿宋_GB2312" w:eastAsia="仿宋_GB2312"/>
          <w:kern w:val="2"/>
          <w:sz w:val="32"/>
          <w:szCs w:val="32"/>
          <w:lang w:val="en-US"/>
        </w:rPr>
        <w:t>本年度机构和人员如下表：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right"/>
        <w:rPr>
          <w:rFonts w:ascii="仿宋_GB2312" w:eastAsia="仿宋_GB2312"/>
          <w:kern w:val="2"/>
          <w:sz w:val="32"/>
          <w:szCs w:val="32"/>
          <w:lang w:val="en-US"/>
        </w:rPr>
      </w:pPr>
      <w:r>
        <w:rPr>
          <w:rFonts w:hint="eastAsia" w:ascii="仿宋_GB2312" w:eastAsia="仿宋_GB2312"/>
          <w:kern w:val="2"/>
          <w:sz w:val="32"/>
          <w:szCs w:val="32"/>
          <w:lang w:val="en-US"/>
        </w:rPr>
        <w:t xml:space="preserve">                                         单位：人</w:t>
      </w:r>
    </w:p>
    <w:tbl>
      <w:tblPr>
        <w:tblStyle w:val="7"/>
        <w:tblW w:w="8786" w:type="dxa"/>
        <w:tblInd w:w="20" w:type="dxa"/>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
      <w:tblGrid>
        <w:gridCol w:w="2977"/>
        <w:gridCol w:w="567"/>
        <w:gridCol w:w="851"/>
        <w:gridCol w:w="992"/>
        <w:gridCol w:w="1134"/>
        <w:gridCol w:w="1276"/>
        <w:gridCol w:w="989"/>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Ex>
        <w:trPr>
          <w:cantSplit/>
          <w:trHeight w:val="735" w:hRule="atLeast"/>
        </w:trPr>
        <w:tc>
          <w:tcPr>
            <w:tcW w:w="2977" w:type="dxa"/>
            <w:tcBorders>
              <w:top w:val="single" w:color="auto" w:sz="4" w:space="0"/>
              <w:left w:val="single" w:color="auto" w:sz="4" w:space="0"/>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项    目</w:t>
            </w:r>
          </w:p>
        </w:tc>
        <w:tc>
          <w:tcPr>
            <w:tcW w:w="567" w:type="dxa"/>
            <w:tcBorders>
              <w:top w:val="single" w:color="auto" w:sz="4" w:space="0"/>
              <w:left w:val="single" w:color="auto" w:sz="4" w:space="0"/>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合计</w:t>
            </w:r>
          </w:p>
        </w:tc>
        <w:tc>
          <w:tcPr>
            <w:tcW w:w="851" w:type="dxa"/>
            <w:tcBorders>
              <w:top w:val="single" w:color="auto" w:sz="4" w:space="0"/>
              <w:left w:val="single" w:color="auto" w:sz="4" w:space="0"/>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参公事业单位</w:t>
            </w:r>
          </w:p>
        </w:tc>
        <w:tc>
          <w:tcPr>
            <w:tcW w:w="2126" w:type="dxa"/>
            <w:gridSpan w:val="2"/>
            <w:tcBorders>
              <w:top w:val="single" w:color="auto" w:sz="4" w:space="0"/>
              <w:left w:val="single" w:color="auto" w:sz="4" w:space="0"/>
              <w:bottom w:val="single" w:color="auto" w:sz="4" w:space="0"/>
              <w:right w:val="single" w:color="auto" w:sz="4" w:space="0"/>
            </w:tcBorders>
            <w:tcMar>
              <w:top w:w="0" w:type="dxa"/>
              <w:left w:w="0" w:type="dxa"/>
              <w:right w:w="0" w:type="dxa"/>
            </w:tcMar>
          </w:tcPr>
          <w:tbl>
            <w:tblPr>
              <w:tblStyle w:val="7"/>
              <w:tblW w:w="2410" w:type="dxa"/>
              <w:tblInd w:w="0" w:type="dxa"/>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top w:w="20" w:type="dxa"/>
                <w:left w:w="20" w:type="dxa"/>
                <w:bottom w:w="0" w:type="dxa"/>
                <w:right w:w="20" w:type="dxa"/>
              </w:tblCellMar>
            </w:tblPr>
            <w:tblGrid>
              <w:gridCol w:w="992"/>
              <w:gridCol w:w="1418"/>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top w:w="20" w:type="dxa"/>
                  <w:left w:w="20" w:type="dxa"/>
                  <w:bottom w:w="0" w:type="dxa"/>
                  <w:right w:w="20" w:type="dxa"/>
                </w:tblCellMar>
              </w:tblPrEx>
              <w:trPr>
                <w:cantSplit/>
                <w:trHeight w:val="735" w:hRule="atLeast"/>
              </w:trPr>
              <w:tc>
                <w:tcPr>
                  <w:tcW w:w="2410" w:type="dxa"/>
                  <w:gridSpan w:val="2"/>
                  <w:tcBorders>
                    <w:top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财政拨款</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事业单位</w:t>
                  </w:r>
                </w:p>
              </w:tc>
            </w:tr>
            <w:tr>
              <w:tblPrEx>
                <w:tblBorders>
                  <w:top w:val="single" w:color="auto" w:sz="4" w:space="0"/>
                  <w:left w:val="none" w:color="auto" w:sz="0"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Ex>
              <w:trPr>
                <w:cantSplit/>
                <w:trHeight w:val="1111" w:hRule="atLeast"/>
              </w:trPr>
              <w:tc>
                <w:tcPr>
                  <w:tcW w:w="992" w:type="dxa"/>
                  <w:tcBorders>
                    <w:top w:val="single" w:color="auto" w:sz="4" w:space="0"/>
                    <w:left w:val="nil"/>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参公</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管理</w:t>
                  </w:r>
                </w:p>
              </w:tc>
              <w:tc>
                <w:tcPr>
                  <w:tcW w:w="1418" w:type="dxa"/>
                  <w:tcBorders>
                    <w:top w:val="single" w:color="auto" w:sz="4" w:space="0"/>
                    <w:left w:val="nil"/>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其他</w:t>
                  </w:r>
                </w:p>
              </w:tc>
            </w:tr>
          </w:tbl>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财政补助事业单位</w:t>
            </w:r>
          </w:p>
        </w:tc>
        <w:tc>
          <w:tcPr>
            <w:tcW w:w="989" w:type="dxa"/>
            <w:tcBorders>
              <w:top w:val="single" w:color="auto" w:sz="4" w:space="0"/>
              <w:left w:val="single" w:color="auto" w:sz="4" w:space="0"/>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编制数</w:t>
            </w:r>
          </w:p>
        </w:tc>
        <w:tc>
          <w:tcPr>
            <w:tcW w:w="56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10</w:t>
            </w:r>
          </w:p>
        </w:tc>
        <w:tc>
          <w:tcPr>
            <w:tcW w:w="851"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10</w:t>
            </w: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10</w:t>
            </w: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实有人数</w:t>
            </w:r>
          </w:p>
        </w:tc>
        <w:tc>
          <w:tcPr>
            <w:tcW w:w="56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851"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在职人数</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eastAsia="仿宋_GB2312"/>
                <w:kern w:val="2"/>
                <w:sz w:val="32"/>
                <w:szCs w:val="32"/>
                <w:lang w:val="en-US"/>
              </w:rPr>
            </w:pPr>
            <w:r>
              <w:rPr>
                <w:rFonts w:hint="eastAsia" w:ascii="仿宋_GB2312" w:eastAsia="仿宋_GB2312"/>
                <w:kern w:val="2"/>
                <w:sz w:val="32"/>
                <w:szCs w:val="32"/>
                <w:lang w:val="en-US"/>
              </w:rPr>
              <w:t>其中：在岗在编人数</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9</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 xml:space="preserve">  在岗超编人数</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离退休人数</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其中：离休人数</w:t>
            </w:r>
          </w:p>
        </w:tc>
        <w:tc>
          <w:tcPr>
            <w:tcW w:w="56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 xml:space="preserve">     退休人数</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eastAsia="仿宋_GB2312"/>
                <w:kern w:val="2"/>
                <w:sz w:val="32"/>
                <w:szCs w:val="32"/>
                <w:lang w:val="en-US"/>
              </w:rPr>
            </w:pPr>
            <w:r>
              <w:rPr>
                <w:rFonts w:hint="eastAsia" w:ascii="仿宋_GB2312" w:eastAsia="仿宋_GB2312"/>
                <w:kern w:val="2"/>
                <w:sz w:val="32"/>
                <w:szCs w:val="32"/>
                <w:lang w:val="en-US"/>
              </w:rPr>
              <w:t>7</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280" w:firstLineChars="400"/>
              <w:rPr>
                <w:rFonts w:ascii="仿宋_GB2312" w:eastAsia="仿宋_GB2312"/>
                <w:kern w:val="2"/>
                <w:sz w:val="32"/>
                <w:szCs w:val="32"/>
                <w:lang w:val="en-US"/>
              </w:rPr>
            </w:pPr>
            <w:r>
              <w:rPr>
                <w:rFonts w:hint="eastAsia" w:ascii="仿宋_GB2312" w:eastAsia="仿宋_GB2312"/>
                <w:kern w:val="2"/>
                <w:sz w:val="32"/>
                <w:szCs w:val="32"/>
                <w:lang w:val="en-US"/>
              </w:rPr>
              <w:t>遗属</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20" w:type="dxa"/>
            <w:bottom w:w="0" w:type="dxa"/>
            <w:right w:w="20" w:type="dxa"/>
          </w:tblCellMar>
        </w:tblPrEx>
        <w:trPr>
          <w:trHeight w:val="227" w:hRule="atLeast"/>
        </w:trPr>
        <w:tc>
          <w:tcPr>
            <w:tcW w:w="2977"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eastAsia="仿宋_GB2312"/>
                <w:kern w:val="2"/>
                <w:sz w:val="32"/>
                <w:szCs w:val="32"/>
                <w:lang w:val="en-US"/>
              </w:rPr>
            </w:pPr>
            <w:r>
              <w:rPr>
                <w:rFonts w:hint="eastAsia" w:ascii="仿宋_GB2312" w:eastAsia="仿宋_GB2312"/>
                <w:kern w:val="2"/>
                <w:sz w:val="32"/>
                <w:szCs w:val="32"/>
                <w:lang w:val="en-US"/>
              </w:rPr>
              <w:t>编外长期聘用人员</w:t>
            </w:r>
          </w:p>
        </w:tc>
        <w:tc>
          <w:tcPr>
            <w:tcW w:w="56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851"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1276"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c>
          <w:tcPr>
            <w:tcW w:w="989"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eastAsia="仿宋_GB2312"/>
                <w:kern w:val="2"/>
                <w:sz w:val="32"/>
                <w:szCs w:val="32"/>
                <w:lang w:val="en-US"/>
              </w:rPr>
            </w:pPr>
          </w:p>
        </w:tc>
      </w:tr>
    </w:tbl>
    <w:p>
      <w:pPr>
        <w:ind w:firstLine="645"/>
        <w:rPr>
          <w:rFonts w:ascii="仿宋_GB2312" w:eastAsia="仿宋_GB2312"/>
          <w:sz w:val="32"/>
          <w:szCs w:val="32"/>
        </w:rPr>
      </w:pPr>
    </w:p>
    <w:p>
      <w:pPr>
        <w:ind w:firstLine="645"/>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440" w:firstLineChars="200"/>
      </w:pPr>
      <w:r>
        <w:rPr>
          <w:rFonts w:hint="eastAsia"/>
          <w:sz w:val="22"/>
          <w:szCs w:val="22"/>
        </w:rPr>
        <w:t xml:space="preserve">                   </w:t>
      </w:r>
    </w:p>
    <w:p>
      <w:pPr>
        <w:ind w:firstLine="640" w:firstLineChars="20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none"/>
          <w:lang w:eastAsia="zh-CN"/>
        </w:rPr>
        <w:t>柳州市归国华侨联合会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spacing w:line="58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柳州市归国华侨联合会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292.75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285.34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增加53.52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22.37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285.34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增加47.65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增长20.05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7.4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5.86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380.52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年度支出预算因客观条件变化未执行完毕、结转到</w:t>
      </w:r>
      <w:r>
        <w:rPr>
          <w:rFonts w:hint="eastAsia" w:ascii="仿宋_GB2312" w:eastAsia="仿宋_GB2312" w:cs="仿宋_GB2312"/>
          <w:kern w:val="0"/>
          <w:sz w:val="32"/>
          <w:szCs w:val="32"/>
          <w:lang w:val="en-US" w:eastAsia="zh-CN"/>
        </w:rPr>
        <w:t>2021年度。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292.75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292.75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增加53.52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22.37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w:t>
      </w:r>
      <w:r>
        <w:rPr>
          <w:rFonts w:hint="eastAsia" w:ascii="仿宋_GB2312" w:hAnsi="黑体" w:eastAsia="仿宋_GB2312" w:cs="仿宋_GB2312"/>
          <w:kern w:val="0"/>
          <w:sz w:val="32"/>
          <w:szCs w:val="32"/>
        </w:rPr>
        <w:t>般公共服务支出</w:t>
      </w:r>
      <w:r>
        <w:rPr>
          <w:rFonts w:hint="eastAsia" w:ascii="仿宋_GB2312" w:hAnsi="黑体" w:eastAsia="仿宋_GB2312" w:cs="仿宋_GB2312"/>
          <w:kern w:val="0"/>
          <w:sz w:val="32"/>
          <w:szCs w:val="32"/>
          <w:lang w:val="en-US" w:eastAsia="zh-CN"/>
        </w:rPr>
        <w:t>230.15</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行政运行、华侨事务，</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63.18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37.84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预算经费、绩效考核奖励、增人增资等</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.社会保障和就业支出</w:t>
      </w:r>
      <w:r>
        <w:rPr>
          <w:rFonts w:hint="eastAsia" w:ascii="仿宋_GB2312" w:hAnsi="黑体" w:eastAsia="仿宋_GB2312" w:cs="仿宋_GB2312"/>
          <w:kern w:val="0"/>
          <w:sz w:val="32"/>
          <w:szCs w:val="32"/>
          <w:lang w:val="en-US" w:eastAsia="zh-CN"/>
        </w:rPr>
        <w:t>35.09</w:t>
      </w:r>
      <w:r>
        <w:rPr>
          <w:rFonts w:hint="eastAsia" w:ascii="仿宋_GB2312" w:hAnsi="黑体" w:eastAsia="仿宋_GB2312" w:cs="仿宋_GB2312"/>
          <w:kern w:val="0"/>
          <w:sz w:val="32"/>
          <w:szCs w:val="32"/>
        </w:rPr>
        <w:t>万元：主要用于行政单位离退休</w:t>
      </w:r>
      <w:r>
        <w:rPr>
          <w:rFonts w:hint="eastAsia" w:ascii="仿宋_GB2312" w:hAnsi="黑体" w:eastAsia="仿宋_GB2312" w:cs="仿宋_GB2312"/>
          <w:kern w:val="0"/>
          <w:sz w:val="32"/>
          <w:szCs w:val="32"/>
          <w:lang w:eastAsia="zh-CN"/>
        </w:rPr>
        <w:t>、机关事业单位基本养老保险缴费支出、机关事</w:t>
      </w:r>
      <w:r>
        <w:rPr>
          <w:rFonts w:hint="eastAsia" w:ascii="仿宋_GB2312" w:eastAsia="仿宋_GB2312" w:cs="仿宋_GB2312"/>
          <w:kern w:val="0"/>
          <w:sz w:val="32"/>
          <w:szCs w:val="32"/>
          <w:lang w:eastAsia="zh-CN"/>
        </w:rPr>
        <w:t>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0.96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2.81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rPr>
        <w:t>下达2021年退休干部春节慰问金补差</w:t>
      </w:r>
      <w:r>
        <w:rPr>
          <w:rFonts w:hint="eastAsia" w:ascii="仿宋_GB2312" w:eastAsia="仿宋_GB2312" w:cs="仿宋_GB2312"/>
          <w:kern w:val="0"/>
          <w:sz w:val="32"/>
          <w:szCs w:val="32"/>
          <w:highlight w:val="none"/>
          <w:lang w:eastAsia="zh-CN"/>
        </w:rPr>
        <w:t>、补2020年人员变动</w:t>
      </w:r>
      <w:r>
        <w:rPr>
          <w:rFonts w:hint="eastAsia" w:ascii="仿宋_GB2312" w:eastAsia="仿宋_GB2312" w:cs="仿宋_GB2312"/>
          <w:kern w:val="0"/>
          <w:sz w:val="32"/>
          <w:szCs w:val="32"/>
          <w:highlight w:val="none"/>
          <w:lang w:val="en-US" w:eastAsia="zh-CN"/>
        </w:rPr>
        <w:t>养老、职业年金、医疗等</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14.49</w:t>
      </w:r>
      <w:r>
        <w:rPr>
          <w:rFonts w:hint="eastAsia" w:ascii="仿宋_GB2312" w:eastAsia="仿宋_GB2312" w:cs="仿宋_GB2312"/>
          <w:kern w:val="0"/>
          <w:sz w:val="32"/>
          <w:szCs w:val="32"/>
        </w:rPr>
        <w:t>万元：主要用于行政单位医疗</w:t>
      </w:r>
      <w:r>
        <w:rPr>
          <w:rFonts w:hint="eastAsia" w:ascii="仿宋_GB2312" w:eastAsia="仿宋_GB2312" w:cs="仿宋_GB2312"/>
          <w:kern w:val="0"/>
          <w:sz w:val="32"/>
          <w:szCs w:val="32"/>
          <w:lang w:eastAsia="zh-CN"/>
        </w:rPr>
        <w:t>、公务员医疗补助，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19.59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lang w:val="en-US" w:eastAsia="zh-CN"/>
        </w:rPr>
        <w:t>人员变动</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13.02</w:t>
      </w:r>
      <w:r>
        <w:rPr>
          <w:rFonts w:hint="eastAsia" w:ascii="仿宋_GB2312" w:eastAsia="仿宋_GB2312" w:cs="仿宋_GB2312"/>
          <w:kern w:val="0"/>
          <w:sz w:val="32"/>
          <w:szCs w:val="32"/>
        </w:rPr>
        <w:t>万元：主要用于住房公积金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4.05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highlight w:val="none"/>
          <w:lang w:val="en-US" w:eastAsia="zh-CN"/>
        </w:rPr>
        <w:t>人员变动</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为本年度或以前年度预算安排、因客观条件发生变化无法按原计划实施，需要延迟到以后年度按有关规定继续使用的资金。较2020年度决算数减少</w:t>
      </w:r>
      <w:r>
        <w:rPr>
          <w:rFonts w:hint="eastAsia" w:ascii="仿宋_GB2312" w:eastAsia="仿宋_GB2312" w:cs="仿宋_GB2312"/>
          <w:kern w:val="0"/>
          <w:sz w:val="32"/>
          <w:szCs w:val="32"/>
          <w:lang w:val="en-US" w:eastAsia="zh-CN"/>
        </w:rPr>
        <w:t>6.54</w:t>
      </w:r>
      <w:r>
        <w:rPr>
          <w:rFonts w:hint="eastAsia" w:ascii="仿宋_GB2312" w:eastAsia="仿宋_GB2312" w:cs="仿宋_GB2312"/>
          <w:kern w:val="0"/>
          <w:sz w:val="32"/>
          <w:szCs w:val="32"/>
          <w:lang w:eastAsia="zh-CN"/>
        </w:rPr>
        <w:t>万元，下降</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highlight w:val="none"/>
          <w:lang w:eastAsia="zh-CN"/>
        </w:rPr>
        <w:t>主要原因是：财政收回。</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292.75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增加53.52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22.37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267.01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25.74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209.89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292.75</w:t>
      </w:r>
      <w:r>
        <w:rPr>
          <w:rFonts w:hint="eastAsia" w:ascii="仿宋_GB2312" w:hAnsi="黑体" w:eastAsia="仿宋_GB2312" w:cs="仿宋_GB2312"/>
          <w:kern w:val="0"/>
          <w:sz w:val="32"/>
          <w:szCs w:val="32"/>
        </w:rPr>
        <w:t>万元，完成年初预</w:t>
      </w:r>
      <w:r>
        <w:rPr>
          <w:rFonts w:hint="eastAsia" w:ascii="仿宋_GB2312" w:hAnsi="黑体" w:eastAsia="仿宋_GB2312" w:cs="仿宋_GB2312"/>
          <w:kern w:val="0"/>
          <w:sz w:val="32"/>
          <w:szCs w:val="32"/>
          <w:lang w:eastAsia="zh-CN"/>
        </w:rPr>
        <w:t>算</w:t>
      </w:r>
      <w:r>
        <w:rPr>
          <w:rFonts w:hint="eastAsia" w:ascii="仿宋_GB2312" w:hAnsi="黑体" w:eastAsia="仿宋_GB2312" w:cs="仿宋_GB2312"/>
          <w:kern w:val="0"/>
          <w:sz w:val="32"/>
          <w:szCs w:val="32"/>
        </w:rPr>
        <w:t>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highlight w:val="yellow"/>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（类）港澳台事务（款）行政运行（项）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主要原因是2021年增人增资预算</w:t>
      </w:r>
      <w:r>
        <w:rPr>
          <w:rFonts w:hint="eastAsia" w:ascii="仿宋_GB2312" w:hAnsi="黑体" w:eastAsia="仿宋_GB2312" w:cs="仿宋_GB2312"/>
          <w:b w:val="0"/>
          <w:bCs w:val="0"/>
          <w:kern w:val="0"/>
          <w:sz w:val="32"/>
          <w:szCs w:val="32"/>
          <w:highlight w:val="none"/>
          <w:lang w:val="en-US" w:eastAsia="zh-CN"/>
        </w:rPr>
        <w:t>等</w:t>
      </w:r>
      <w:r>
        <w:rPr>
          <w:rFonts w:hint="eastAsia" w:ascii="仿宋_GB2312" w:hAnsi="黑体" w:eastAsia="仿宋_GB2312" w:cs="仿宋_GB2312"/>
          <w:b w:val="0"/>
          <w:bCs w:val="0"/>
          <w:kern w:val="0"/>
          <w:sz w:val="32"/>
          <w:szCs w:val="32"/>
          <w:highlight w:val="none"/>
        </w:rPr>
        <w:t>财政拨款支出预算。</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一般公共服务支出（类）统战事务（款）华侨事务（项）。年初预算为</w:t>
      </w:r>
      <w:r>
        <w:rPr>
          <w:rFonts w:hint="eastAsia" w:ascii="仿宋_GB2312" w:eastAsia="仿宋_GB2312" w:cs="仿宋_GB2312"/>
          <w:bCs/>
          <w:kern w:val="0"/>
          <w:sz w:val="32"/>
          <w:szCs w:val="32"/>
          <w:lang w:val="en-US" w:eastAsia="zh-CN"/>
        </w:rPr>
        <w:t>149.77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229.45</w:t>
      </w:r>
      <w:r>
        <w:rPr>
          <w:rFonts w:hint="eastAsia" w:ascii="仿宋_GB2312" w:eastAsia="仿宋_GB2312" w:cs="仿宋_GB2312"/>
          <w:bCs/>
          <w:kern w:val="0"/>
          <w:sz w:val="32"/>
          <w:szCs w:val="32"/>
        </w:rPr>
        <w:t>万元，完成年初预算的100%。</w:t>
      </w:r>
      <w:r>
        <w:rPr>
          <w:rFonts w:hint="eastAsia" w:ascii="仿宋_GB2312" w:eastAsia="仿宋_GB2312" w:cs="仿宋_GB2312"/>
          <w:bCs/>
          <w:kern w:val="0"/>
          <w:sz w:val="32"/>
          <w:szCs w:val="32"/>
          <w:highlight w:val="none"/>
        </w:rPr>
        <w:t>主要原因是</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预算经费、绩效考核奖励、增人增资等</w:t>
      </w:r>
      <w:r>
        <w:rPr>
          <w:rFonts w:hint="eastAsia" w:ascii="仿宋_GB2312" w:hAnsi="黑体" w:eastAsia="仿宋_GB2312" w:cs="仿宋_GB2312"/>
          <w:kern w:val="0"/>
          <w:sz w:val="32"/>
          <w:szCs w:val="32"/>
          <w:lang w:eastAsia="zh-CN"/>
        </w:rPr>
        <w:t>。</w:t>
      </w:r>
    </w:p>
    <w:p>
      <w:pPr>
        <w:numPr>
          <w:ilvl w:val="-1"/>
          <w:numId w:val="0"/>
        </w:num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社会保障和就业支出（类）行政事业单位养老支出（款）行政单位离退休（项）。年初预算为</w:t>
      </w:r>
      <w:r>
        <w:rPr>
          <w:rFonts w:hint="eastAsia" w:ascii="仿宋_GB2312" w:eastAsia="仿宋_GB2312" w:cs="仿宋_GB2312"/>
          <w:kern w:val="0"/>
          <w:sz w:val="32"/>
          <w:szCs w:val="32"/>
          <w:lang w:val="en-US" w:eastAsia="zh-CN"/>
        </w:rPr>
        <w:t>8.22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9.06</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下达</w:t>
      </w:r>
      <w:r>
        <w:rPr>
          <w:rFonts w:hint="eastAsia" w:ascii="仿宋_GB2312" w:eastAsia="仿宋_GB2312" w:cs="仿宋_GB2312"/>
          <w:kern w:val="0"/>
          <w:sz w:val="32"/>
          <w:szCs w:val="32"/>
          <w:highlight w:val="none"/>
        </w:rPr>
        <w:t>2021年退休干部春节慰问金补差。</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hint="eastAsia" w:ascii="仿宋_GB2312" w:eastAsia="仿宋_GB2312" w:cs="仿宋_GB2312"/>
          <w:kern w:val="0"/>
          <w:sz w:val="32"/>
          <w:szCs w:val="32"/>
          <w:lang w:val="en-US" w:eastAsia="zh-CN"/>
        </w:rPr>
        <w:t>17.22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17.36</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补2020年人员变动。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hint="eastAsia" w:ascii="仿宋_GB2312" w:eastAsia="仿宋_GB2312" w:cs="仿宋_GB2312"/>
          <w:kern w:val="0"/>
          <w:sz w:val="32"/>
          <w:szCs w:val="32"/>
          <w:lang w:val="en-US" w:eastAsia="zh-CN"/>
        </w:rPr>
        <w:t>8.61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8.68</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主要原因是补2020年人员变动。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）卫生健康支出（类）行政事业单位医疗（款）行政单位医疗（项）。年初预算为</w:t>
      </w:r>
      <w:r>
        <w:rPr>
          <w:rFonts w:hint="eastAsia" w:ascii="仿宋_GB2312" w:eastAsia="仿宋_GB2312" w:cs="仿宋_GB2312"/>
          <w:kern w:val="0"/>
          <w:sz w:val="32"/>
          <w:szCs w:val="32"/>
          <w:lang w:val="en-US" w:eastAsia="zh-CN"/>
        </w:rPr>
        <w:t>8.39</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8.46</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主要原因是补2020年人员变动。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）卫生健康支出（类）行政事业单位医疗（款）公务员医疗补助（项）。年初预算为</w:t>
      </w:r>
      <w:r>
        <w:rPr>
          <w:rFonts w:hint="eastAsia" w:ascii="仿宋_GB2312" w:eastAsia="仿宋_GB2312" w:cs="仿宋_GB2312"/>
          <w:kern w:val="0"/>
          <w:sz w:val="32"/>
          <w:szCs w:val="32"/>
          <w:lang w:val="en-US" w:eastAsia="zh-CN"/>
        </w:rPr>
        <w:t>4.77</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5.88</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下达机关、参公单位2021年下半年公务员医疗补助差额。</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yellow"/>
          <w:lang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）卫生健康支出（类）行政事业单位医疗（款）其他行政事业单位医疗支出（项）。年初预算为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0.14</w:t>
      </w:r>
      <w:r>
        <w:rPr>
          <w:rFonts w:hint="eastAsia" w:ascii="仿宋_GB2312" w:eastAsia="仿宋_GB2312" w:cs="仿宋_GB2312"/>
          <w:kern w:val="0"/>
          <w:sz w:val="32"/>
          <w:szCs w:val="32"/>
          <w:highlight w:val="none"/>
        </w:rPr>
        <w:t>万元，完成年初预算的100%。主要原因是下达2020年机关事业单位退休人员一次性缴纳医疗保险费预算</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）住房保障支出（类）住房改革支出（款）住房公积金（项）。年初预算为</w:t>
      </w:r>
      <w:r>
        <w:rPr>
          <w:rFonts w:hint="eastAsia" w:ascii="仿宋_GB2312" w:eastAsia="仿宋_GB2312" w:cs="仿宋_GB2312"/>
          <w:kern w:val="0"/>
          <w:sz w:val="32"/>
          <w:szCs w:val="32"/>
          <w:lang w:val="en-US" w:eastAsia="zh-CN"/>
        </w:rPr>
        <w:t>12.91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13.02</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主要原因是补2020年人员变动。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eastAsia="zh-CN"/>
        </w:rPr>
        <w:t>出</w:t>
      </w:r>
      <w:r>
        <w:rPr>
          <w:rFonts w:hint="eastAsia" w:ascii="仿宋_GB2312" w:eastAsia="仿宋_GB2312" w:cs="仿宋_GB2312"/>
          <w:kern w:val="0"/>
          <w:sz w:val="32"/>
          <w:szCs w:val="32"/>
          <w:lang w:val="en-US" w:eastAsia="zh-CN"/>
        </w:rPr>
        <w:t>267.01万</w:t>
      </w:r>
      <w:r>
        <w:rPr>
          <w:rFonts w:hint="eastAsia" w:ascii="仿宋_GB2312" w:eastAsia="仿宋_GB2312" w:cs="仿宋_GB2312"/>
          <w:kern w:val="0"/>
          <w:sz w:val="32"/>
          <w:szCs w:val="32"/>
        </w:rPr>
        <w:t>元，支出具体情况如下：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171.68</w:t>
      </w:r>
      <w:r>
        <w:rPr>
          <w:rFonts w:hint="eastAsia" w:ascii="仿宋_GB2312" w:eastAsia="仿宋_GB2312"/>
          <w:bCs/>
          <w:kern w:val="0"/>
          <w:sz w:val="32"/>
          <w:szCs w:val="32"/>
        </w:rPr>
        <w:t>万元，</w:t>
      </w:r>
      <w:r>
        <w:rPr>
          <w:rFonts w:hint="eastAsia" w:ascii="仿宋_GB2312" w:eastAsia="仿宋_GB2312"/>
          <w:bCs/>
          <w:kern w:val="0"/>
          <w:sz w:val="32"/>
          <w:szCs w:val="32"/>
          <w:highlight w:val="none"/>
        </w:rPr>
        <w:t>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%。决算数大于预算数的主要原因是</w:t>
      </w:r>
      <w:r>
        <w:rPr>
          <w:rFonts w:hint="eastAsia" w:ascii="仿宋_GB2312" w:hAnsi="黑体" w:eastAsia="仿宋_GB2312" w:cs="仿宋_GB2312"/>
          <w:kern w:val="0"/>
          <w:sz w:val="32"/>
          <w:szCs w:val="32"/>
          <w:highlight w:val="none"/>
          <w:lang w:val="en-US" w:eastAsia="zh-CN"/>
        </w:rPr>
        <w:t>绩效考核奖励、增人增资等</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60.69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bCs/>
          <w:kern w:val="0"/>
          <w:sz w:val="32"/>
          <w:szCs w:val="32"/>
          <w:highlight w:val="none"/>
        </w:rPr>
        <w:t>决算数大于预算数的主要原因是</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）对个人和家庭的补助</w:t>
      </w:r>
      <w:r>
        <w:rPr>
          <w:rFonts w:hint="eastAsia" w:ascii="仿宋_GB2312" w:eastAsia="仿宋_GB2312" w:cs="仿宋_GB2312"/>
          <w:kern w:val="0"/>
          <w:sz w:val="32"/>
          <w:szCs w:val="32"/>
          <w:lang w:val="en-US" w:eastAsia="zh-CN"/>
        </w:rPr>
        <w:t>34.64</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highlight w:val="none"/>
        </w:rPr>
        <w:t>决算数大于预算数的主要原因是</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w:t>
      </w:r>
      <w:r>
        <w:rPr>
          <w:rFonts w:hint="eastAsia" w:ascii="仿宋_GB2312" w:eastAsia="仿宋_GB2312" w:cs="仿宋_GB2312"/>
          <w:kern w:val="0"/>
          <w:sz w:val="32"/>
          <w:szCs w:val="32"/>
          <w:highlight w:val="none"/>
        </w:rPr>
        <w:t>退休干部春节慰问金补差、下达</w:t>
      </w:r>
      <w:r>
        <w:rPr>
          <w:rFonts w:hint="eastAsia" w:ascii="仿宋_GB2312" w:eastAsia="仿宋_GB2312" w:cs="仿宋_GB2312"/>
          <w:kern w:val="0"/>
          <w:sz w:val="32"/>
          <w:szCs w:val="32"/>
          <w:highlight w:val="none"/>
          <w:lang w:val="en-US" w:eastAsia="zh-CN"/>
        </w:rPr>
        <w:t>生活补助</w:t>
      </w:r>
      <w:r>
        <w:rPr>
          <w:rFonts w:hint="eastAsia" w:ascii="仿宋_GB2312" w:eastAsia="仿宋_GB2312" w:cs="仿宋_GB2312"/>
          <w:kern w:val="0"/>
          <w:sz w:val="32"/>
          <w:szCs w:val="32"/>
          <w:highlight w:val="none"/>
        </w:rPr>
        <w:t>等。</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柳州市归国华侨联合会</w:t>
      </w:r>
      <w:r>
        <w:rPr>
          <w:rFonts w:hint="eastAsia" w:ascii="仿宋_GB2312" w:eastAsia="仿宋_GB2312" w:cs="仿宋_GB2312"/>
          <w:b w:val="0"/>
          <w:bCs/>
          <w:kern w:val="0"/>
          <w:sz w:val="32"/>
          <w:szCs w:val="32"/>
        </w:rPr>
        <w:t>202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Times New Roman"/>
          <w:b w:val="0"/>
          <w:bCs/>
          <w:kern w:val="0"/>
          <w:sz w:val="32"/>
          <w:szCs w:val="32"/>
          <w:lang w:eastAsia="zh-CN"/>
        </w:rPr>
        <w:t>柳州市归国华侨联合会</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Times New Roman"/>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Times New Roman"/>
          <w:b w:val="0"/>
          <w:bCs/>
          <w:kern w:val="0"/>
          <w:sz w:val="32"/>
          <w:szCs w:val="32"/>
        </w:rPr>
        <w:t>的支出，故无数据情况说明</w:t>
      </w:r>
      <w:r>
        <w:rPr>
          <w:rFonts w:hint="eastAsia" w:ascii="仿宋_GB2312" w:eastAsia="仿宋_GB2312" w:cs="Times New Roman"/>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0.27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84.38</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1.09</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val="en-US" w:eastAsia="zh-CN"/>
        </w:rPr>
        <w:t>接待次数减少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0.27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84.38</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1.09</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原因是</w:t>
      </w:r>
      <w:r>
        <w:rPr>
          <w:rFonts w:hint="eastAsia" w:ascii="仿宋_GB2312" w:eastAsia="仿宋_GB2312" w:cs="仿宋_GB2312"/>
          <w:kern w:val="0"/>
          <w:sz w:val="32"/>
          <w:szCs w:val="32"/>
          <w:highlight w:val="none"/>
          <w:lang w:val="en-US" w:eastAsia="zh-CN"/>
        </w:rPr>
        <w:t>接待次数减少</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国内公务接待批次</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17</w:t>
      </w:r>
      <w:r>
        <w:rPr>
          <w:rFonts w:hint="eastAsia" w:ascii="仿宋_GB2312" w:eastAsia="仿宋_GB2312" w:cs="仿宋_GB2312"/>
          <w:kern w:val="0"/>
          <w:sz w:val="32"/>
          <w:szCs w:val="32"/>
          <w:highlight w:val="none"/>
        </w:rPr>
        <w:t>次，国（境）外公务接待批次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60.69</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34.48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131.55</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主要原因是：</w:t>
      </w:r>
      <w:r>
        <w:rPr>
          <w:rFonts w:hint="eastAsia" w:ascii="仿宋_GB2312" w:hAnsi="黑体" w:eastAsia="仿宋_GB2312" w:cs="仿宋_GB2312"/>
          <w:kern w:val="0"/>
          <w:sz w:val="32"/>
          <w:szCs w:val="32"/>
          <w:lang w:val="en-US" w:eastAsia="zh-CN"/>
        </w:rPr>
        <w:t>新增</w:t>
      </w:r>
      <w:r>
        <w:rPr>
          <w:rFonts w:hint="eastAsia" w:ascii="仿宋_GB2312" w:hAnsi="黑体" w:eastAsia="仿宋_GB2312" w:cs="仿宋_GB2312"/>
          <w:kern w:val="0"/>
          <w:sz w:val="32"/>
          <w:szCs w:val="32"/>
          <w:highlight w:val="none"/>
          <w:lang w:eastAsia="zh-CN"/>
        </w:rPr>
        <w:t>2021年</w:t>
      </w:r>
      <w:r>
        <w:rPr>
          <w:rFonts w:hint="eastAsia" w:ascii="仿宋_GB2312" w:hAnsi="黑体" w:eastAsia="仿宋_GB2312" w:cs="仿宋_GB2312"/>
          <w:kern w:val="0"/>
          <w:sz w:val="32"/>
          <w:szCs w:val="32"/>
          <w:highlight w:val="none"/>
          <w:lang w:val="en-US" w:eastAsia="zh-CN"/>
        </w:rPr>
        <w:t>上级侨联下拨</w:t>
      </w:r>
      <w:r>
        <w:rPr>
          <w:rFonts w:hint="eastAsia" w:ascii="仿宋_GB2312" w:hAnsi="黑体" w:eastAsia="仿宋_GB2312" w:cs="仿宋_GB2312"/>
          <w:kern w:val="0"/>
          <w:sz w:val="32"/>
          <w:szCs w:val="32"/>
          <w:highlight w:val="none"/>
          <w:lang w:eastAsia="zh-CN"/>
        </w:rPr>
        <w:t>华侨事业费</w:t>
      </w:r>
      <w:r>
        <w:rPr>
          <w:rFonts w:hint="eastAsia" w:ascii="仿宋_GB2312" w:hAnsi="黑体" w:eastAsia="仿宋_GB2312" w:cs="仿宋_GB2312"/>
          <w:kern w:val="0"/>
          <w:sz w:val="32"/>
          <w:szCs w:val="32"/>
          <w:highlight w:val="none"/>
          <w:lang w:val="en-US" w:eastAsia="zh-CN"/>
        </w:rPr>
        <w:t>预算经费</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292.75</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0万</w:t>
      </w:r>
      <w:r>
        <w:rPr>
          <w:rFonts w:hint="eastAsia" w:ascii="仿宋_GB2312" w:eastAsia="仿宋_GB2312" w:cs="仿宋_GB2312"/>
          <w:kern w:val="0"/>
          <w:sz w:val="32"/>
          <w:szCs w:val="32"/>
        </w:rPr>
        <w:t>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个部门开展整体支出绩效评价试点，涉及一般公共预算支出</w:t>
      </w:r>
      <w:r>
        <w:rPr>
          <w:rFonts w:hint="eastAsia" w:ascii="仿宋_GB2312" w:eastAsia="仿宋_GB2312" w:cs="仿宋_GB2312"/>
          <w:kern w:val="0"/>
          <w:sz w:val="32"/>
          <w:szCs w:val="32"/>
          <w:lang w:val="en-US" w:eastAsia="zh-CN"/>
        </w:rPr>
        <w:t>292.75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万元。从评价情况来看，该项目整体按照原预算和计划实施，项目管理规范有序，达到了预期的绩效目标项目绩效情况为“优”。</w:t>
      </w:r>
      <w:r>
        <w:rPr>
          <w:rFonts w:hint="eastAsia" w:ascii="仿宋_GB2312" w:eastAsia="仿宋_GB2312" w:cs="仿宋_GB2312"/>
          <w:kern w:val="0"/>
          <w:sz w:val="32"/>
          <w:szCs w:val="32"/>
          <w:highlight w:val="none"/>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bCs/>
          <w:kern w:val="0"/>
          <w:sz w:val="32"/>
          <w:szCs w:val="32"/>
        </w:rPr>
        <w:t>各项绩效目标基本按照计划如期进行，项目经费均按预算合理使用，组织实施情况良好，顺利完成全年任务，资金使用率100%。</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WRkMGJiMTU5MjgyZWUwYWUzMmNiYmIwYzZiZjkifQ=="/>
  </w:docVars>
  <w:rsids>
    <w:rsidRoot w:val="4C256E3D"/>
    <w:rsid w:val="00066CA3"/>
    <w:rsid w:val="006C1367"/>
    <w:rsid w:val="00715385"/>
    <w:rsid w:val="00EF687D"/>
    <w:rsid w:val="00F66C5B"/>
    <w:rsid w:val="044C054C"/>
    <w:rsid w:val="05352423"/>
    <w:rsid w:val="05734FB2"/>
    <w:rsid w:val="05ED4716"/>
    <w:rsid w:val="07511336"/>
    <w:rsid w:val="07C25984"/>
    <w:rsid w:val="094B45FA"/>
    <w:rsid w:val="0A0C33E4"/>
    <w:rsid w:val="0A31556F"/>
    <w:rsid w:val="0B424B1D"/>
    <w:rsid w:val="0D5557AF"/>
    <w:rsid w:val="0DA86951"/>
    <w:rsid w:val="0E074DDF"/>
    <w:rsid w:val="0EE8085C"/>
    <w:rsid w:val="0F0F5ED6"/>
    <w:rsid w:val="0F1921F8"/>
    <w:rsid w:val="124204B5"/>
    <w:rsid w:val="14F016D4"/>
    <w:rsid w:val="15823E15"/>
    <w:rsid w:val="1585449D"/>
    <w:rsid w:val="1612602D"/>
    <w:rsid w:val="16B90A0F"/>
    <w:rsid w:val="182962AB"/>
    <w:rsid w:val="19D073EB"/>
    <w:rsid w:val="1A650904"/>
    <w:rsid w:val="1CC31F67"/>
    <w:rsid w:val="2249565E"/>
    <w:rsid w:val="238D254F"/>
    <w:rsid w:val="24D337DC"/>
    <w:rsid w:val="25123018"/>
    <w:rsid w:val="252C1BBC"/>
    <w:rsid w:val="26460DBA"/>
    <w:rsid w:val="29A35CA4"/>
    <w:rsid w:val="2B6F74EB"/>
    <w:rsid w:val="2C1F0B15"/>
    <w:rsid w:val="2C4219FE"/>
    <w:rsid w:val="2E1D362B"/>
    <w:rsid w:val="335718FE"/>
    <w:rsid w:val="34020F86"/>
    <w:rsid w:val="341361ED"/>
    <w:rsid w:val="34B839B8"/>
    <w:rsid w:val="39A63F06"/>
    <w:rsid w:val="3A677174"/>
    <w:rsid w:val="3BC00F31"/>
    <w:rsid w:val="3C017E2C"/>
    <w:rsid w:val="3E6F4772"/>
    <w:rsid w:val="3E733F9D"/>
    <w:rsid w:val="3EA872B2"/>
    <w:rsid w:val="3ED1439F"/>
    <w:rsid w:val="3FC52D4B"/>
    <w:rsid w:val="404A1CDA"/>
    <w:rsid w:val="42235D58"/>
    <w:rsid w:val="42B85068"/>
    <w:rsid w:val="44500BF5"/>
    <w:rsid w:val="47A53182"/>
    <w:rsid w:val="47F43786"/>
    <w:rsid w:val="48374EDC"/>
    <w:rsid w:val="4B8B39F9"/>
    <w:rsid w:val="4C256E3D"/>
    <w:rsid w:val="4CB52F0F"/>
    <w:rsid w:val="4E2875DF"/>
    <w:rsid w:val="4FD66FB3"/>
    <w:rsid w:val="50C04C3A"/>
    <w:rsid w:val="50F35421"/>
    <w:rsid w:val="51136027"/>
    <w:rsid w:val="51F86186"/>
    <w:rsid w:val="532F1F9A"/>
    <w:rsid w:val="54EC75A4"/>
    <w:rsid w:val="588763C1"/>
    <w:rsid w:val="5BF14069"/>
    <w:rsid w:val="5DBB25AC"/>
    <w:rsid w:val="5DD31FC5"/>
    <w:rsid w:val="5E995A3E"/>
    <w:rsid w:val="5F933EA7"/>
    <w:rsid w:val="5F95061E"/>
    <w:rsid w:val="5FC1266C"/>
    <w:rsid w:val="617E254E"/>
    <w:rsid w:val="62163194"/>
    <w:rsid w:val="624D024D"/>
    <w:rsid w:val="646A21FD"/>
    <w:rsid w:val="650E086A"/>
    <w:rsid w:val="65493030"/>
    <w:rsid w:val="6778592B"/>
    <w:rsid w:val="69D21C62"/>
    <w:rsid w:val="6BAA0708"/>
    <w:rsid w:val="70046E9D"/>
    <w:rsid w:val="72231A60"/>
    <w:rsid w:val="743631A3"/>
    <w:rsid w:val="74900066"/>
    <w:rsid w:val="75AF6C8B"/>
    <w:rsid w:val="77474C4B"/>
    <w:rsid w:val="7F2C3C6A"/>
    <w:rsid w:val="7F2F12EF"/>
    <w:rsid w:val="7F3A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4669</Words>
  <Characters>5204</Characters>
  <Lines>60</Lines>
  <Paragraphs>17</Paragraphs>
  <TotalTime>11</TotalTime>
  <ScaleCrop>false</ScaleCrop>
  <LinksUpToDate>false</LinksUpToDate>
  <CharactersWithSpaces>5300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管理员</cp:lastModifiedBy>
  <cp:lastPrinted>2022-08-01T09:54:00Z</cp:lastPrinted>
  <dcterms:modified xsi:type="dcterms:W3CDTF">2022-08-10T08:20:06Z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4EDF363095C64860B02ED9BBF17D11EB</vt:lpwstr>
  </property>
</Properties>
</file>