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u w:val="none"/>
          <w:lang w:eastAsia="zh-CN"/>
        </w:rPr>
        <w:t>柳州市工商业联合会</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柳州市工商业联合会</w:t>
      </w:r>
      <w:r>
        <w:rPr>
          <w:rFonts w:hint="eastAsia" w:ascii="仿宋_GB2312" w:eastAsia="仿宋_GB2312"/>
          <w:b/>
          <w:sz w:val="32"/>
          <w:szCs w:val="32"/>
          <w:u w:val="none"/>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柳州市工商业联合会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柳州市工商业联合会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柳州市工商业联合会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加强非公有制经济人士思想政治引领，开展理想信念教育，宣传表彰先进典型等。开展参政议政，参与政治协商，发挥民主监督作用。做好非公经济代表人士的发现、培养、推荐和管理工作。关心和慰问原工商业者。开展法律咨询，会员培训，参与经济纠纷的调解、仲裁等服务会员工作。与国内外商会联系交流，参加与组织招商引资、展销会。促进行业协会商会改革，对所属商会进行指导、引导和服务。参与协调劳动关系、协同社会治理，促进社会和谐稳定。引导非公企业和非公经济人士依法诚信经营；引导开展回馈社会，参与“万企兴万村”等光彩事业活动。</w:t>
      </w:r>
    </w:p>
    <w:p>
      <w:pPr>
        <w:ind w:firstLine="645"/>
        <w:rPr>
          <w:rFonts w:ascii="仿宋_GB2312" w:eastAsia="仿宋_GB2312"/>
          <w:sz w:val="32"/>
          <w:szCs w:val="32"/>
        </w:rPr>
      </w:pPr>
      <w:r>
        <w:rPr>
          <w:rFonts w:hint="eastAsia" w:ascii="仿宋_GB2312" w:eastAsia="仿宋_GB2312"/>
          <w:sz w:val="32"/>
          <w:szCs w:val="32"/>
        </w:rPr>
        <w:t>二、部门决算单位构成</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机构和人员情况表</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eastAsia="zh-CN"/>
        </w:rPr>
        <w:t xml:space="preserve">                                             </w:t>
      </w:r>
      <w:r>
        <w:rPr>
          <w:rFonts w:hint="eastAsia" w:ascii="仿宋_GB2312" w:hAnsi="黑体" w:eastAsia="仿宋_GB2312"/>
          <w:color w:val="000000"/>
          <w:kern w:val="2"/>
          <w:sz w:val="30"/>
          <w:szCs w:val="30"/>
          <w:lang w:val="en-US"/>
        </w:rPr>
        <w:t>单位：人</w:t>
      </w:r>
    </w:p>
    <w:tbl>
      <w:tblPr>
        <w:tblStyle w:val="5"/>
        <w:tblW w:w="0" w:type="auto"/>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
      <w:tblGrid>
        <w:gridCol w:w="2978"/>
        <w:gridCol w:w="1401"/>
        <w:gridCol w:w="802"/>
        <w:gridCol w:w="727"/>
        <w:gridCol w:w="771"/>
        <w:gridCol w:w="687"/>
        <w:gridCol w:w="722"/>
        <w:gridCol w:w="7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1736" w:hRule="atLeast"/>
        </w:trPr>
        <w:tc>
          <w:tcPr>
            <w:tcW w:w="2978"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单位名称</w:t>
            </w:r>
          </w:p>
        </w:tc>
        <w:tc>
          <w:tcPr>
            <w:tcW w:w="1401"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单位性质</w:t>
            </w:r>
          </w:p>
        </w:tc>
        <w:tc>
          <w:tcPr>
            <w:tcW w:w="802"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编制人数</w:t>
            </w:r>
          </w:p>
        </w:tc>
        <w:tc>
          <w:tcPr>
            <w:tcW w:w="727"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实有在职人数</w:t>
            </w:r>
          </w:p>
        </w:tc>
        <w:tc>
          <w:tcPr>
            <w:tcW w:w="771"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离休</w:t>
            </w:r>
            <w:r>
              <w:rPr>
                <w:rFonts w:hint="eastAsia" w:ascii="仿宋_GB2312" w:hAnsi="黑体" w:eastAsia="仿宋_GB2312"/>
                <w:color w:val="000000"/>
                <w:kern w:val="2"/>
                <w:sz w:val="30"/>
                <w:szCs w:val="30"/>
                <w:lang w:val="en-US"/>
              </w:rPr>
              <w:br w:type="textWrapping"/>
            </w:r>
            <w:r>
              <w:rPr>
                <w:rFonts w:hint="eastAsia" w:ascii="仿宋_GB2312" w:hAnsi="黑体" w:eastAsia="仿宋_GB2312"/>
                <w:color w:val="000000"/>
                <w:kern w:val="2"/>
                <w:sz w:val="30"/>
                <w:szCs w:val="30"/>
                <w:lang w:val="en-US"/>
              </w:rPr>
              <w:t>人数</w:t>
            </w:r>
          </w:p>
        </w:tc>
        <w:tc>
          <w:tcPr>
            <w:tcW w:w="687" w:type="dxa"/>
            <w:tcBorders>
              <w:top w:val="single" w:color="auto" w:sz="4" w:space="0"/>
              <w:left w:val="single" w:color="auto" w:sz="4" w:space="0"/>
              <w:bottom w:val="single" w:color="auto" w:sz="4" w:space="0"/>
              <w:right w:val="single" w:color="auto" w:sz="4" w:space="0"/>
            </w:tcBorders>
            <w:noWrap w:val="0"/>
            <w:tcMar>
              <w:top w:w="0" w:type="dxa"/>
              <w:left w:w="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退休</w:t>
            </w:r>
            <w:r>
              <w:rPr>
                <w:rFonts w:hint="eastAsia" w:ascii="仿宋_GB2312" w:hAnsi="黑体" w:eastAsia="仿宋_GB2312"/>
                <w:color w:val="000000"/>
                <w:kern w:val="2"/>
                <w:sz w:val="30"/>
                <w:szCs w:val="30"/>
                <w:lang w:val="en-US"/>
              </w:rPr>
              <w:br w:type="textWrapping"/>
            </w:r>
            <w:r>
              <w:rPr>
                <w:rFonts w:hint="eastAsia" w:ascii="仿宋_GB2312" w:hAnsi="黑体" w:eastAsia="仿宋_GB2312"/>
                <w:color w:val="000000"/>
                <w:kern w:val="2"/>
                <w:sz w:val="30"/>
                <w:szCs w:val="30"/>
                <w:lang w:val="en-US"/>
              </w:rPr>
              <w:t>人数</w:t>
            </w:r>
          </w:p>
        </w:tc>
        <w:tc>
          <w:tcPr>
            <w:tcW w:w="722"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聘用人数</w:t>
            </w:r>
          </w:p>
        </w:tc>
        <w:tc>
          <w:tcPr>
            <w:tcW w:w="717" w:type="dxa"/>
            <w:tcBorders>
              <w:top w:val="single" w:color="auto" w:sz="4" w:space="0"/>
              <w:left w:val="single" w:color="auto" w:sz="4" w:space="0"/>
              <w:bottom w:val="single" w:color="auto" w:sz="4" w:space="0"/>
              <w:right w:val="single" w:color="auto" w:sz="4" w:space="0"/>
            </w:tcBorders>
            <w:noWrap w:val="0"/>
            <w:tcMar>
              <w:left w:w="20" w:type="dxa"/>
              <w:right w:w="3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遗属</w:t>
            </w:r>
            <w:r>
              <w:rPr>
                <w:rFonts w:hint="eastAsia" w:ascii="仿宋_GB2312" w:hAnsi="黑体" w:eastAsia="仿宋_GB2312"/>
                <w:color w:val="000000"/>
                <w:kern w:val="2"/>
                <w:sz w:val="30"/>
                <w:szCs w:val="30"/>
                <w:lang w:val="en-US"/>
              </w:rPr>
              <w:br w:type="textWrapping"/>
            </w:r>
            <w:r>
              <w:rPr>
                <w:rFonts w:hint="eastAsia" w:ascii="仿宋_GB2312" w:hAnsi="黑体" w:eastAsia="仿宋_GB2312"/>
                <w:color w:val="000000"/>
                <w:kern w:val="2"/>
                <w:sz w:val="30"/>
                <w:szCs w:val="30"/>
                <w:lang w:val="en-US"/>
              </w:rPr>
              <w:t>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895" w:hRule="atLeast"/>
        </w:trPr>
        <w:tc>
          <w:tcPr>
            <w:tcW w:w="2978"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eastAsia="zh-CN"/>
              </w:rPr>
              <w:t>柳州市工商业联合会</w:t>
            </w:r>
          </w:p>
        </w:tc>
        <w:tc>
          <w:tcPr>
            <w:tcW w:w="1401"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行政</w:t>
            </w:r>
          </w:p>
        </w:tc>
        <w:tc>
          <w:tcPr>
            <w:tcW w:w="802"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12</w:t>
            </w:r>
          </w:p>
        </w:tc>
        <w:tc>
          <w:tcPr>
            <w:tcW w:w="727"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jc w:val="center"/>
              <w:rPr>
                <w:rFonts w:hint="default"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12</w:t>
            </w:r>
          </w:p>
        </w:tc>
        <w:tc>
          <w:tcPr>
            <w:tcW w:w="771"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lang w:val="en-US"/>
              </w:rPr>
            </w:pPr>
          </w:p>
        </w:tc>
        <w:tc>
          <w:tcPr>
            <w:tcW w:w="687" w:type="dxa"/>
            <w:tcBorders>
              <w:top w:val="single" w:color="auto" w:sz="4" w:space="0"/>
              <w:left w:val="single" w:color="auto" w:sz="4" w:space="0"/>
              <w:bottom w:val="single" w:color="auto" w:sz="4" w:space="0"/>
              <w:right w:val="single" w:color="auto" w:sz="4" w:space="0"/>
            </w:tcBorders>
            <w:noWrap w:val="0"/>
            <w:tcMar>
              <w:top w:w="0" w:type="dxa"/>
              <w:left w:w="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default"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12</w:t>
            </w:r>
          </w:p>
        </w:tc>
        <w:tc>
          <w:tcPr>
            <w:tcW w:w="722" w:type="dxa"/>
            <w:tcBorders>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lang w:val="en-US"/>
              </w:rPr>
            </w:pPr>
          </w:p>
        </w:tc>
        <w:tc>
          <w:tcPr>
            <w:tcW w:w="717" w:type="dxa"/>
            <w:tcBorders>
              <w:left w:val="single" w:color="auto" w:sz="4" w:space="0"/>
              <w:bottom w:val="single" w:color="auto" w:sz="4" w:space="0"/>
              <w:right w:val="single" w:color="auto" w:sz="4" w:space="0"/>
            </w:tcBorders>
            <w:noWrap w:val="0"/>
            <w:tcMar>
              <w:left w:w="20" w:type="dxa"/>
              <w:right w:w="3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lang w:val="en-US"/>
              </w:rPr>
            </w:pPr>
          </w:p>
        </w:tc>
      </w:tr>
    </w:tbl>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柳州市工商业联合会</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3" w:firstLineChars="200"/>
        <w:rPr>
          <w:rFonts w:hint="eastAsia" w:ascii="仿宋_GB2312" w:hAnsi="黑体" w:eastAsia="仿宋_GB2312"/>
          <w:b/>
          <w:sz w:val="32"/>
          <w:szCs w:val="32"/>
          <w:highlight w:val="yellow"/>
        </w:rPr>
      </w:pPr>
    </w:p>
    <w:p>
      <w:pPr>
        <w:jc w:val="center"/>
      </w:pPr>
    </w:p>
    <w:p/>
    <w:p>
      <w:pPr>
        <w:jc w:val="right"/>
        <w:rPr>
          <w:sz w:val="22"/>
          <w:szCs w:val="22"/>
        </w:rPr>
      </w:pPr>
      <w:r>
        <w:rPr>
          <w:rFonts w:hint="eastAsia"/>
          <w:sz w:val="22"/>
          <w:szCs w:val="22"/>
        </w:rPr>
        <w:t xml:space="preserve">                    </w:t>
      </w:r>
    </w:p>
    <w:p/>
    <w:p/>
    <w:p/>
    <w:p>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仿宋_GB2312" w:hAnsi="黑体" w:eastAsia="仿宋_GB2312"/>
          <w:b/>
          <w:bCs/>
          <w:color w:val="000000"/>
          <w:sz w:val="32"/>
          <w:szCs w:val="32"/>
          <w:u w:val="none"/>
          <w:lang w:eastAsia="zh-CN"/>
        </w:rPr>
        <w:t>柳州市工商业联合会</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柳州市工商业联合会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446.12</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416.70</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58.04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12.23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一般公共预算财政拨款收入</w:t>
      </w:r>
      <w:r>
        <w:rPr>
          <w:rFonts w:hint="eastAsia" w:ascii="仿宋_GB2312" w:eastAsia="仿宋_GB2312"/>
          <w:kern w:val="0"/>
          <w:sz w:val="32"/>
          <w:szCs w:val="32"/>
          <w:highlight w:val="none"/>
          <w:lang w:val="en-US" w:eastAsia="zh-CN"/>
        </w:rPr>
        <w:t>416.7</w:t>
      </w:r>
      <w:r>
        <w:rPr>
          <w:rFonts w:hint="eastAsia" w:ascii="仿宋_GB2312" w:eastAsia="仿宋_GB2312" w:cs="仿宋_GB2312"/>
          <w:kern w:val="0"/>
          <w:sz w:val="32"/>
          <w:szCs w:val="32"/>
          <w:highlight w:val="none"/>
        </w:rPr>
        <w:t>万元，为财政当年拨付的资金。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58.04</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12.23</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：疫情财政压减项目预算。</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eastAsia="仿宋_GB2312" w:cs="仿宋_GB2312"/>
          <w:kern w:val="0"/>
          <w:sz w:val="32"/>
          <w:szCs w:val="32"/>
          <w:lang w:eastAsia="zh-CN"/>
        </w:rPr>
        <w:t>，同比上年持平。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eastAsia="仿宋_GB2312" w:cs="仿宋_GB2312"/>
          <w:kern w:val="0"/>
          <w:sz w:val="32"/>
          <w:szCs w:val="32"/>
          <w:lang w:eastAsia="zh-CN"/>
        </w:rPr>
        <w:t>，同比上年持平。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eastAsia="仿宋_GB2312" w:cs="仿宋_GB2312"/>
          <w:kern w:val="0"/>
          <w:sz w:val="32"/>
          <w:szCs w:val="32"/>
          <w:lang w:eastAsia="zh-CN"/>
        </w:rPr>
        <w:t>，同比上年持平。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eastAsia="仿宋_GB2312" w:cs="仿宋_GB2312"/>
          <w:kern w:val="0"/>
          <w:sz w:val="32"/>
          <w:szCs w:val="32"/>
          <w:lang w:eastAsia="zh-CN"/>
        </w:rPr>
        <w:t>，同比上年持平。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eastAsia="仿宋_GB2312" w:cs="仿宋_GB2312"/>
          <w:kern w:val="0"/>
          <w:sz w:val="32"/>
          <w:szCs w:val="32"/>
          <w:lang w:eastAsia="zh-CN"/>
        </w:rPr>
        <w:t>，同比上年持平。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eastAsia="仿宋_GB2312" w:cs="仿宋_GB2312"/>
          <w:kern w:val="0"/>
          <w:sz w:val="32"/>
          <w:szCs w:val="32"/>
          <w:lang w:eastAsia="zh-CN"/>
        </w:rPr>
        <w:t>，同比上年持平。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yellow"/>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29.42</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12.92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78.35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：去世人员抚恤金未能及时转付。</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446.12</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446.12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8.07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1.84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313.70</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行政运行、一般行政管理事务、参政议政，</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2.46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0.79</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highlight w:val="none"/>
          <w:lang w:eastAsia="zh-CN"/>
        </w:rPr>
        <w:t>人员经费增加。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社会保障和就业支出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85.72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行政单位离退休、机关事业单位基本养老保险缴费支出、机关事业单位职业年金缴费支出，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w:t>
      </w:r>
      <w:r>
        <w:rPr>
          <w:rFonts w:hint="eastAsia" w:ascii="仿宋_GB2312" w:hAnsi="黑体" w:eastAsia="仿宋_GB2312" w:cs="仿宋_GB2312"/>
          <w:kern w:val="0"/>
          <w:sz w:val="32"/>
          <w:szCs w:val="32"/>
          <w:highlight w:val="none"/>
          <w:lang w:eastAsia="zh-CN"/>
        </w:rPr>
        <w:t>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24.37</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39.73</w:t>
      </w:r>
      <w:r>
        <w:rPr>
          <w:rFonts w:hint="eastAsia" w:ascii="仿宋_GB2312" w:hAnsi="黑体" w:eastAsia="仿宋_GB2312" w:cs="仿宋_GB2312"/>
          <w:kern w:val="0"/>
          <w:sz w:val="32"/>
          <w:szCs w:val="32"/>
          <w:highlight w:val="none"/>
        </w:rPr>
        <w:t xml:space="preserve"> %，主要原因是</w:t>
      </w:r>
      <w:r>
        <w:rPr>
          <w:rFonts w:hint="eastAsia" w:ascii="仿宋_GB2312" w:hAnsi="黑体" w:eastAsia="仿宋_GB2312" w:cs="仿宋_GB2312"/>
          <w:kern w:val="0"/>
          <w:sz w:val="32"/>
          <w:szCs w:val="32"/>
          <w:highlight w:val="none"/>
          <w:lang w:eastAsia="zh-CN"/>
        </w:rPr>
        <w:t>：人员经费增加。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eastAsia="zh-CN"/>
        </w:rPr>
      </w:pPr>
      <w:r>
        <w:rPr>
          <w:rFonts w:hint="eastAsia" w:ascii="仿宋_GB2312" w:eastAsia="仿宋_GB2312"/>
          <w:bCs/>
          <w:kern w:val="0"/>
          <w:sz w:val="32"/>
          <w:szCs w:val="32"/>
          <w:highlight w:val="none"/>
          <w:lang w:val="en-US" w:eastAsia="zh-CN"/>
        </w:rPr>
        <w:t>3</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卫生健康支出</w:t>
      </w:r>
      <w:r>
        <w:rPr>
          <w:rFonts w:hint="eastAsia" w:ascii="仿宋_GB2312" w:eastAsia="仿宋_GB2312" w:cs="仿宋_GB2312"/>
          <w:kern w:val="0"/>
          <w:sz w:val="32"/>
          <w:szCs w:val="32"/>
          <w:highlight w:val="none"/>
        </w:rPr>
        <w:t>（类）</w:t>
      </w:r>
      <w:r>
        <w:rPr>
          <w:rFonts w:hint="eastAsia" w:ascii="仿宋_GB2312" w:eastAsia="仿宋_GB2312"/>
          <w:kern w:val="0"/>
          <w:sz w:val="32"/>
          <w:szCs w:val="32"/>
          <w:highlight w:val="none"/>
          <w:lang w:val="en-US" w:eastAsia="zh-CN"/>
        </w:rPr>
        <w:t>23.99</w:t>
      </w:r>
      <w:r>
        <w:rPr>
          <w:rFonts w:hint="eastAsia" w:ascii="仿宋_GB2312" w:eastAsia="仿宋_GB2312" w:cs="仿宋_GB2312"/>
          <w:kern w:val="0"/>
          <w:sz w:val="32"/>
          <w:szCs w:val="32"/>
          <w:highlight w:val="none"/>
        </w:rPr>
        <w:t>万元：主要用于</w:t>
      </w:r>
      <w:r>
        <w:rPr>
          <w:rFonts w:hint="eastAsia" w:ascii="仿宋_GB2312" w:eastAsia="仿宋_GB2312" w:cs="仿宋_GB2312"/>
          <w:kern w:val="0"/>
          <w:sz w:val="32"/>
          <w:szCs w:val="32"/>
          <w:highlight w:val="none"/>
          <w:lang w:eastAsia="zh-CN"/>
        </w:rPr>
        <w:t>行政单位医疗、公务员医疗补助，</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减少20.4</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下降</w:t>
      </w:r>
      <w:r>
        <w:rPr>
          <w:rFonts w:hint="eastAsia" w:ascii="仿宋_GB2312" w:hAnsi="黑体" w:eastAsia="仿宋_GB2312" w:cs="仿宋_GB2312"/>
          <w:kern w:val="0"/>
          <w:sz w:val="32"/>
          <w:szCs w:val="32"/>
          <w:highlight w:val="none"/>
          <w:lang w:val="en-US" w:eastAsia="zh-CN"/>
        </w:rPr>
        <w:t>45.96</w:t>
      </w:r>
      <w:r>
        <w:rPr>
          <w:rFonts w:hint="eastAsia" w:ascii="仿宋_GB2312" w:hAnsi="黑体" w:eastAsia="仿宋_GB2312" w:cs="仿宋_GB2312"/>
          <w:kern w:val="0"/>
          <w:sz w:val="32"/>
          <w:szCs w:val="32"/>
          <w:highlight w:val="none"/>
        </w:rPr>
        <w:t xml:space="preserve"> %，主要原因是</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bCs/>
          <w:kern w:val="0"/>
          <w:sz w:val="32"/>
          <w:szCs w:val="32"/>
          <w:highlight w:val="none"/>
        </w:rPr>
        <w:t>部分支出按规定，通过使用以前年度财政拨款结转资金解决</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eastAsia="zh-CN"/>
        </w:rPr>
      </w:pPr>
      <w:r>
        <w:rPr>
          <w:rFonts w:hint="eastAsia" w:ascii="仿宋_GB2312" w:eastAsia="仿宋_GB2312"/>
          <w:bCs/>
          <w:kern w:val="0"/>
          <w:sz w:val="32"/>
          <w:szCs w:val="32"/>
          <w:highlight w:val="none"/>
          <w:lang w:val="en-US" w:eastAsia="zh-CN"/>
        </w:rPr>
        <w:t>4</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住房保障支出</w:t>
      </w:r>
      <w:r>
        <w:rPr>
          <w:rFonts w:hint="eastAsia" w:ascii="仿宋_GB2312" w:eastAsia="仿宋_GB2312" w:cs="仿宋_GB2312"/>
          <w:kern w:val="0"/>
          <w:sz w:val="32"/>
          <w:szCs w:val="32"/>
          <w:highlight w:val="none"/>
        </w:rPr>
        <w:t>（类）</w:t>
      </w:r>
      <w:r>
        <w:rPr>
          <w:rFonts w:hint="eastAsia" w:ascii="仿宋_GB2312" w:eastAsia="仿宋_GB2312"/>
          <w:kern w:val="0"/>
          <w:sz w:val="32"/>
          <w:szCs w:val="32"/>
          <w:highlight w:val="none"/>
          <w:lang w:val="en-US" w:eastAsia="zh-CN"/>
        </w:rPr>
        <w:t>22.70</w:t>
      </w:r>
      <w:r>
        <w:rPr>
          <w:rFonts w:hint="eastAsia" w:ascii="仿宋_GB2312" w:eastAsia="仿宋_GB2312" w:cs="仿宋_GB2312"/>
          <w:kern w:val="0"/>
          <w:sz w:val="32"/>
          <w:szCs w:val="32"/>
          <w:highlight w:val="none"/>
        </w:rPr>
        <w:t>万元：主要用于</w:t>
      </w:r>
      <w:r>
        <w:rPr>
          <w:rFonts w:hint="eastAsia" w:ascii="仿宋_GB2312" w:eastAsia="仿宋_GB2312" w:cs="仿宋_GB2312"/>
          <w:kern w:val="0"/>
          <w:sz w:val="32"/>
          <w:szCs w:val="32"/>
          <w:highlight w:val="none"/>
          <w:lang w:eastAsia="zh-CN"/>
        </w:rPr>
        <w:t>住房公积金，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1.63</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7.74</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：人员经费增加。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eastAsia="仿宋_GB2312" w:cs="仿宋_GB2312"/>
          <w:kern w:val="0"/>
          <w:sz w:val="32"/>
          <w:szCs w:val="32"/>
          <w:lang w:eastAsia="zh-CN"/>
        </w:rPr>
        <w:t>同比上年持平。</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53.18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：由柳州市财政局一律收回统筹使用。</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446.12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8.07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1.84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378.56</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67.56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360.47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446.12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123.76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民主党派及工商联事务</w:t>
      </w:r>
      <w:r>
        <w:rPr>
          <w:rFonts w:hint="eastAsia" w:ascii="仿宋_GB2312" w:eastAsia="仿宋_GB2312" w:cs="仿宋_GB2312"/>
          <w:bCs/>
          <w:kern w:val="0"/>
          <w:sz w:val="32"/>
          <w:szCs w:val="32"/>
        </w:rPr>
        <w:t>（款）行政运行（项）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182.99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246.14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134.52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主要用于基本工资</w:t>
      </w:r>
      <w:r>
        <w:rPr>
          <w:rFonts w:hint="eastAsia" w:ascii="仿宋_GB2312" w:eastAsia="仿宋_GB2312" w:cs="仿宋_GB2312"/>
          <w:kern w:val="0"/>
          <w:sz w:val="32"/>
          <w:szCs w:val="32"/>
          <w:lang w:eastAsia="zh-CN"/>
        </w:rPr>
        <w:t>、奖金、绩效工资、其他工资福利支出、办公费、印刷费、水费、电费、邮电费、物业管理费、差旅费、维修（护）费、会议费、培训费、公务接待费、劳务费、工会经费、福利费、其他商品和服务支出。</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民主党派及工商联事务</w:t>
      </w:r>
      <w:r>
        <w:rPr>
          <w:rFonts w:hint="eastAsia" w:ascii="仿宋_GB2312" w:eastAsia="仿宋_GB2312" w:cs="仿宋_GB2312"/>
          <w:bCs/>
          <w:kern w:val="0"/>
          <w:sz w:val="32"/>
          <w:szCs w:val="32"/>
        </w:rPr>
        <w:t>（款）一般行政管理事务（项）。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27.62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24.41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88.38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仿宋" w:eastAsia="仿宋_GB2312" w:cs="仿宋"/>
          <w:color w:val="000000"/>
          <w:sz w:val="32"/>
          <w:szCs w:val="32"/>
          <w:highlight w:val="none"/>
        </w:rPr>
        <w:t>项目资金因客观原因未执行完毕</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highlight w:val="none"/>
        </w:rPr>
        <w:t>一般公共服务（类）民主党派及工商联事务（款）</w:t>
      </w:r>
      <w:r>
        <w:rPr>
          <w:rFonts w:hint="eastAsia" w:ascii="仿宋_GB2312" w:eastAsia="仿宋_GB2312" w:cs="仿宋_GB2312"/>
          <w:bCs/>
          <w:kern w:val="0"/>
          <w:sz w:val="32"/>
          <w:szCs w:val="32"/>
          <w:highlight w:val="none"/>
          <w:lang w:eastAsia="zh-CN"/>
        </w:rPr>
        <w:t>参政议政</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46.2</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43.14</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93.38</w:t>
      </w:r>
      <w:r>
        <w:rPr>
          <w:rFonts w:hint="eastAsia" w:ascii="仿宋_GB2312" w:eastAsia="仿宋_GB2312" w:cs="仿宋_GB2312"/>
          <w:bCs/>
          <w:kern w:val="0"/>
          <w:sz w:val="32"/>
          <w:szCs w:val="32"/>
          <w:highlight w:val="none"/>
        </w:rPr>
        <w:t>%。主要原因是</w:t>
      </w:r>
      <w:r>
        <w:rPr>
          <w:rFonts w:hint="eastAsia" w:ascii="仿宋_GB2312" w:hAnsi="仿宋" w:eastAsia="仿宋_GB2312" w:cs="仿宋"/>
          <w:color w:val="000000"/>
          <w:sz w:val="32"/>
          <w:szCs w:val="32"/>
          <w:highlight w:val="none"/>
        </w:rPr>
        <w:t>项目资金因客观原因未执行完毕</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eastAsia="zh-CN"/>
        </w:rPr>
        <w:t>（四）</w:t>
      </w:r>
      <w:r>
        <w:rPr>
          <w:rFonts w:hint="eastAsia" w:ascii="仿宋_GB2312" w:eastAsia="仿宋_GB2312" w:cs="仿宋_GB2312"/>
          <w:bCs/>
          <w:kern w:val="0"/>
          <w:sz w:val="32"/>
          <w:szCs w:val="32"/>
          <w:highlight w:val="none"/>
        </w:rPr>
        <w:t>社会保障和就业（类）行政事业单位</w:t>
      </w:r>
      <w:r>
        <w:rPr>
          <w:rFonts w:hint="eastAsia" w:ascii="仿宋_GB2312" w:eastAsia="仿宋_GB2312" w:cs="仿宋_GB2312"/>
          <w:bCs/>
          <w:kern w:val="0"/>
          <w:sz w:val="32"/>
          <w:szCs w:val="32"/>
          <w:highlight w:val="none"/>
          <w:lang w:eastAsia="zh-CN"/>
        </w:rPr>
        <w:t>养老</w:t>
      </w:r>
      <w:r>
        <w:rPr>
          <w:rFonts w:hint="eastAsia" w:ascii="仿宋_GB2312" w:eastAsia="仿宋_GB2312" w:cs="仿宋_GB2312"/>
          <w:bCs/>
          <w:kern w:val="0"/>
          <w:sz w:val="32"/>
          <w:szCs w:val="32"/>
          <w:highlight w:val="none"/>
        </w:rPr>
        <w:t>（款）行政单位离退休（项）。年初预算为</w:t>
      </w:r>
      <w:r>
        <w:rPr>
          <w:rFonts w:hint="eastAsia" w:ascii="仿宋_GB2312" w:eastAsia="仿宋_GB2312" w:cs="仿宋_GB2312"/>
          <w:bCs/>
          <w:kern w:val="0"/>
          <w:sz w:val="32"/>
          <w:szCs w:val="32"/>
          <w:highlight w:val="none"/>
          <w:lang w:val="en-US" w:eastAsia="zh-CN"/>
        </w:rPr>
        <w:t>12.55</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40.31</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321.2</w:t>
      </w:r>
      <w:r>
        <w:rPr>
          <w:rFonts w:hint="eastAsia" w:ascii="仿宋_GB2312" w:eastAsia="仿宋_GB2312" w:cs="仿宋_GB2312"/>
          <w:bCs/>
          <w:kern w:val="0"/>
          <w:sz w:val="32"/>
          <w:szCs w:val="32"/>
          <w:highlight w:val="none"/>
        </w:rPr>
        <w:t>%。主要原因是</w:t>
      </w:r>
      <w:r>
        <w:rPr>
          <w:rFonts w:hint="eastAsia" w:ascii="仿宋_GB2312" w:eastAsia="仿宋_GB2312" w:cs="仿宋_GB2312"/>
          <w:bCs/>
          <w:kern w:val="0"/>
          <w:sz w:val="32"/>
          <w:szCs w:val="32"/>
        </w:rPr>
        <w:t>部分支出按规定，通过使用以前年度财政拨款结转资金解决。</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（五）</w:t>
      </w:r>
      <w:r>
        <w:rPr>
          <w:rFonts w:hint="eastAsia"/>
          <w:highlight w:val="none"/>
        </w:rPr>
        <w:t xml:space="preserve"> </w:t>
      </w:r>
      <w:r>
        <w:rPr>
          <w:rFonts w:hint="eastAsia" w:ascii="仿宋_GB2312" w:eastAsia="仿宋_GB2312" w:cs="仿宋_GB2312"/>
          <w:bCs/>
          <w:kern w:val="0"/>
          <w:sz w:val="32"/>
          <w:szCs w:val="32"/>
          <w:highlight w:val="none"/>
        </w:rPr>
        <w:t>社会保障和就业（类）行政事业单位</w:t>
      </w:r>
      <w:r>
        <w:rPr>
          <w:rFonts w:hint="eastAsia" w:ascii="仿宋_GB2312" w:eastAsia="仿宋_GB2312" w:cs="仿宋_GB2312"/>
          <w:bCs/>
          <w:kern w:val="0"/>
          <w:sz w:val="32"/>
          <w:szCs w:val="32"/>
          <w:highlight w:val="none"/>
          <w:lang w:eastAsia="zh-CN"/>
        </w:rPr>
        <w:t>养老</w:t>
      </w:r>
      <w:r>
        <w:rPr>
          <w:rFonts w:hint="eastAsia" w:ascii="仿宋_GB2312" w:eastAsia="仿宋_GB2312" w:cs="仿宋_GB2312"/>
          <w:bCs/>
          <w:kern w:val="0"/>
          <w:sz w:val="32"/>
          <w:szCs w:val="32"/>
          <w:highlight w:val="none"/>
        </w:rPr>
        <w:t>（款）机关事业单位基本养老保险缴费支出（项）。年初预算为</w:t>
      </w:r>
      <w:r>
        <w:rPr>
          <w:rFonts w:hint="eastAsia" w:ascii="仿宋_GB2312" w:eastAsia="仿宋_GB2312" w:cs="仿宋_GB2312"/>
          <w:bCs/>
          <w:kern w:val="0"/>
          <w:sz w:val="32"/>
          <w:szCs w:val="32"/>
          <w:highlight w:val="none"/>
          <w:lang w:val="en-US" w:eastAsia="zh-CN"/>
        </w:rPr>
        <w:t>30.27</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30.27</w:t>
      </w:r>
      <w:r>
        <w:rPr>
          <w:rFonts w:hint="eastAsia" w:ascii="仿宋_GB2312" w:eastAsia="仿宋_GB2312" w:cs="仿宋_GB2312"/>
          <w:bCs/>
          <w:kern w:val="0"/>
          <w:sz w:val="32"/>
          <w:szCs w:val="32"/>
          <w:highlight w:val="none"/>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（六）</w:t>
      </w:r>
      <w:r>
        <w:rPr>
          <w:rFonts w:hint="eastAsia" w:ascii="仿宋_GB2312" w:eastAsia="仿宋_GB2312" w:cs="仿宋_GB2312"/>
          <w:bCs/>
          <w:kern w:val="0"/>
          <w:sz w:val="32"/>
          <w:szCs w:val="32"/>
        </w:rPr>
        <w:t>社会保障和就业（类）行政事业单位</w:t>
      </w:r>
      <w:r>
        <w:rPr>
          <w:rFonts w:hint="eastAsia" w:ascii="仿宋_GB2312" w:eastAsia="仿宋_GB2312" w:cs="仿宋_GB2312"/>
          <w:bCs/>
          <w:kern w:val="0"/>
          <w:sz w:val="32"/>
          <w:szCs w:val="32"/>
          <w:lang w:eastAsia="zh-CN"/>
        </w:rPr>
        <w:t>养老</w:t>
      </w:r>
      <w:r>
        <w:rPr>
          <w:rFonts w:hint="eastAsia" w:ascii="仿宋_GB2312" w:eastAsia="仿宋_GB2312" w:cs="仿宋_GB2312"/>
          <w:bCs/>
          <w:kern w:val="0"/>
          <w:sz w:val="32"/>
          <w:szCs w:val="32"/>
        </w:rPr>
        <w:t>（款）机关事业单位</w:t>
      </w:r>
      <w:r>
        <w:rPr>
          <w:rFonts w:hint="eastAsia" w:ascii="仿宋_GB2312" w:eastAsia="仿宋_GB2312" w:cs="仿宋_GB2312"/>
          <w:bCs/>
          <w:kern w:val="0"/>
          <w:sz w:val="32"/>
          <w:szCs w:val="32"/>
          <w:lang w:eastAsia="zh-CN"/>
        </w:rPr>
        <w:t>职业年金</w:t>
      </w:r>
      <w:r>
        <w:rPr>
          <w:rFonts w:hint="eastAsia" w:ascii="仿宋_GB2312" w:eastAsia="仿宋_GB2312" w:cs="仿宋_GB2312"/>
          <w:bCs/>
          <w:kern w:val="0"/>
          <w:sz w:val="32"/>
          <w:szCs w:val="32"/>
        </w:rPr>
        <w:t>缴费支出（项）。年初预算为</w:t>
      </w:r>
      <w:r>
        <w:rPr>
          <w:rFonts w:hint="eastAsia" w:ascii="仿宋_GB2312" w:eastAsia="仿宋_GB2312" w:cs="仿宋_GB2312"/>
          <w:bCs/>
          <w:kern w:val="0"/>
          <w:sz w:val="32"/>
          <w:szCs w:val="32"/>
          <w:lang w:val="en-US" w:eastAsia="zh-CN"/>
        </w:rPr>
        <w:t>15.14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15.14</w:t>
      </w:r>
      <w:r>
        <w:rPr>
          <w:rFonts w:hint="eastAsia" w:ascii="仿宋_GB2312" w:eastAsia="仿宋_GB2312" w:cs="仿宋_GB2312"/>
          <w:bCs/>
          <w:kern w:val="0"/>
          <w:sz w:val="32"/>
          <w:szCs w:val="32"/>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（七）</w:t>
      </w:r>
      <w:r>
        <w:rPr>
          <w:rFonts w:hint="eastAsia"/>
        </w:rPr>
        <w:t xml:space="preserve"> </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（类）行政事业单位医疗（款）行政单位医疗（项）。年初预算为</w:t>
      </w:r>
      <w:r>
        <w:rPr>
          <w:rFonts w:hint="eastAsia" w:ascii="仿宋_GB2312" w:eastAsia="仿宋_GB2312" w:cs="仿宋_GB2312"/>
          <w:bCs/>
          <w:kern w:val="0"/>
          <w:sz w:val="32"/>
          <w:szCs w:val="32"/>
          <w:lang w:val="en-US" w:eastAsia="zh-CN"/>
        </w:rPr>
        <w:t>14.76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14.76</w:t>
      </w:r>
      <w:r>
        <w:rPr>
          <w:rFonts w:hint="eastAsia" w:ascii="仿宋_GB2312" w:eastAsia="仿宋_GB2312" w:cs="仿宋_GB2312"/>
          <w:bCs/>
          <w:kern w:val="0"/>
          <w:sz w:val="32"/>
          <w:szCs w:val="32"/>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（八）</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（类）行政事业单位医疗（款）公务员医疗补助（项）。年初预算为</w:t>
      </w:r>
      <w:r>
        <w:rPr>
          <w:rFonts w:hint="eastAsia" w:ascii="仿宋_GB2312" w:eastAsia="仿宋_GB2312" w:cs="仿宋_GB2312"/>
          <w:bCs/>
          <w:kern w:val="0"/>
          <w:sz w:val="32"/>
          <w:szCs w:val="32"/>
          <w:lang w:val="en-US" w:eastAsia="zh-CN"/>
        </w:rPr>
        <w:t>8.24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9.24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112.14</w:t>
      </w:r>
      <w:r>
        <w:rPr>
          <w:rFonts w:hint="eastAsia" w:ascii="仿宋_GB2312" w:eastAsia="仿宋_GB2312" w:cs="仿宋_GB2312"/>
          <w:bCs/>
          <w:kern w:val="0"/>
          <w:sz w:val="32"/>
          <w:szCs w:val="32"/>
        </w:rPr>
        <w:t>%。主要原因是年中追加安排财政拨款支出预算</w:t>
      </w:r>
      <w:r>
        <w:rPr>
          <w:rFonts w:hint="eastAsia" w:ascii="仿宋_GB2312" w:eastAsia="仿宋_GB2312" w:cs="仿宋_GB2312"/>
          <w:bCs/>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val="en-US" w:eastAsia="zh-CN"/>
        </w:rPr>
        <w:t>（九）</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cs="仿宋_GB2312"/>
          <w:bCs/>
          <w:kern w:val="0"/>
          <w:sz w:val="32"/>
          <w:szCs w:val="32"/>
          <w:lang w:val="en-US" w:eastAsia="zh-CN"/>
        </w:rPr>
        <w:t>22.7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22.7</w:t>
      </w:r>
      <w:r>
        <w:rPr>
          <w:rFonts w:hint="eastAsia" w:ascii="仿宋_GB2312" w:eastAsia="仿宋_GB2312" w:cs="仿宋_GB2312"/>
          <w:bCs/>
          <w:kern w:val="0"/>
          <w:sz w:val="32"/>
          <w:szCs w:val="32"/>
        </w:rPr>
        <w:t>万元，完成年初预算的100%。</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378.56</w:t>
      </w:r>
      <w:r>
        <w:rPr>
          <w:rFonts w:hint="eastAsia" w:ascii="仿宋_GB2312" w:eastAsia="仿宋_GB2312" w:cs="仿宋_GB2312"/>
          <w:kern w:val="0"/>
          <w:sz w:val="32"/>
          <w:szCs w:val="32"/>
        </w:rPr>
        <w:t>万元，支出具体情况如下：</w:t>
      </w:r>
    </w:p>
    <w:p>
      <w:pPr>
        <w:numPr>
          <w:ilvl w:val="0"/>
          <w:numId w:val="1"/>
        </w:num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310.78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131.35</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主要原因是</w:t>
      </w:r>
      <w:r>
        <w:rPr>
          <w:rFonts w:hint="eastAsia" w:ascii="仿宋_GB2312" w:eastAsia="仿宋_GB2312" w:cs="仿宋_GB2312"/>
          <w:bCs/>
          <w:kern w:val="0"/>
          <w:sz w:val="32"/>
          <w:szCs w:val="32"/>
        </w:rPr>
        <w:t>年中追加安排财政拨款支出预算，涉及项目有</w:t>
      </w:r>
      <w:r>
        <w:rPr>
          <w:rFonts w:hint="eastAsia" w:ascii="仿宋_GB2312" w:eastAsia="仿宋_GB2312" w:cs="仿宋_GB2312"/>
          <w:bCs/>
          <w:kern w:val="0"/>
          <w:sz w:val="32"/>
          <w:szCs w:val="32"/>
          <w:lang w:eastAsia="zh-CN"/>
        </w:rPr>
        <w:t>增人增资。</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27.46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70.1</w:t>
      </w:r>
      <w:r>
        <w:rPr>
          <w:rFonts w:hint="eastAsia" w:ascii="仿宋_GB2312" w:eastAsia="仿宋_GB2312"/>
          <w:bCs/>
          <w:kern w:val="0"/>
          <w:sz w:val="32"/>
          <w:szCs w:val="32"/>
        </w:rPr>
        <w:t>%。</w:t>
      </w:r>
      <w:r>
        <w:rPr>
          <w:rFonts w:hint="eastAsia" w:ascii="仿宋_GB2312" w:hAnsi="仿宋" w:eastAsia="仿宋_GB2312" w:cs="仿宋"/>
          <w:color w:val="000000"/>
          <w:sz w:val="32"/>
          <w:szCs w:val="32"/>
          <w:highlight w:val="none"/>
        </w:rPr>
        <w:t>因客观原因未执行完毕</w:t>
      </w:r>
      <w:r>
        <w:rPr>
          <w:rFonts w:hint="eastAsia" w:ascii="仿宋_GB2312" w:hAnsi="仿宋" w:eastAsia="仿宋_GB2312" w:cs="仿宋"/>
          <w:color w:val="000000"/>
          <w:sz w:val="32"/>
          <w:szCs w:val="32"/>
          <w:highlight w:val="none"/>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w:t>
      </w:r>
      <w:r>
        <w:rPr>
          <w:rFonts w:hint="eastAsia" w:ascii="仿宋_GB2312" w:eastAsia="仿宋_GB2312"/>
          <w:bCs/>
          <w:kern w:val="0"/>
          <w:sz w:val="32"/>
          <w:szCs w:val="32"/>
          <w:lang w:eastAsia="zh-CN"/>
        </w:rPr>
        <w:t>对个人和家庭的补助</w:t>
      </w:r>
      <w:r>
        <w:rPr>
          <w:rFonts w:hint="eastAsia" w:ascii="仿宋_GB2312" w:eastAsia="仿宋_GB2312"/>
          <w:bCs/>
          <w:kern w:val="0"/>
          <w:sz w:val="32"/>
          <w:szCs w:val="32"/>
          <w:lang w:val="en-US" w:eastAsia="zh-CN"/>
        </w:rPr>
        <w:t>40.31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371.18</w:t>
      </w:r>
      <w:r>
        <w:rPr>
          <w:rFonts w:hint="eastAsia" w:ascii="仿宋_GB2312" w:eastAsia="仿宋_GB2312"/>
          <w:bCs/>
          <w:kern w:val="0"/>
          <w:sz w:val="32"/>
          <w:szCs w:val="32"/>
        </w:rPr>
        <w:t>%。</w:t>
      </w:r>
      <w:r>
        <w:rPr>
          <w:rFonts w:hint="eastAsia" w:ascii="仿宋_GB2312" w:eastAsia="仿宋_GB2312" w:cs="仿宋_GB2312"/>
          <w:bCs/>
          <w:kern w:val="0"/>
          <w:sz w:val="32"/>
          <w:szCs w:val="32"/>
        </w:rPr>
        <w:t>部分支出按规定，通过使用以前年度财政拨款结转资金解决</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柳州市工商业联合会</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柳州市工商业联合会</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2.23</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64.8</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0.11</w:t>
      </w:r>
      <w:r>
        <w:rPr>
          <w:rFonts w:hint="eastAsia" w:ascii="仿宋_GB2312" w:eastAsia="仿宋_GB2312" w:cs="仿宋_GB2312"/>
          <w:kern w:val="0"/>
          <w:sz w:val="32"/>
          <w:szCs w:val="32"/>
        </w:rPr>
        <w:t>万元，主要原因是</w:t>
      </w:r>
      <w:r>
        <w:rPr>
          <w:rFonts w:hint="eastAsia" w:ascii="仿宋_GB2312" w:eastAsia="仿宋_GB2312" w:cs="仿宋_GB2312"/>
          <w:bCs/>
          <w:kern w:val="0"/>
          <w:sz w:val="32"/>
          <w:szCs w:val="32"/>
        </w:rPr>
        <w:t>认真贯彻落实中央八项规定精神和厉行节约要求，进一步从严控制“三公”经费开支，全年实际支出比预算有所节约</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2.23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，同比上年持平</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机关、所属单位出国团组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同比上年持平</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同比上年持平</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rPr>
        <w:t>所属单位开支财政拨款的公务用车保有量为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val="0"/>
          <w:bCs/>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2.23</w:t>
      </w:r>
      <w:r>
        <w:rPr>
          <w:rFonts w:hint="eastAsia" w:ascii="仿宋_GB2312" w:eastAsia="仿宋_GB2312" w:cs="仿宋_GB2312"/>
          <w:kern w:val="0"/>
          <w:sz w:val="32"/>
          <w:szCs w:val="32"/>
        </w:rPr>
        <w:t>万元，完成年初预算</w:t>
      </w:r>
      <w:r>
        <w:rPr>
          <w:rFonts w:hint="eastAsia" w:ascii="仿宋_GB2312" w:eastAsia="仿宋_GB2312" w:cs="仿宋_GB2312"/>
          <w:kern w:val="0"/>
          <w:sz w:val="32"/>
          <w:szCs w:val="32"/>
          <w:lang w:val="en-US" w:eastAsia="zh-CN"/>
        </w:rPr>
        <w:t>64.82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0.11</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疫情防控公务接待减少</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17</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165</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27.46</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13.38</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95.03</w:t>
      </w:r>
      <w:r>
        <w:rPr>
          <w:rFonts w:hint="eastAsia" w:ascii="仿宋_GB2312" w:eastAsia="仿宋_GB2312" w:cs="仿宋_GB2312"/>
          <w:kern w:val="0"/>
          <w:sz w:val="32"/>
          <w:szCs w:val="32"/>
        </w:rPr>
        <w:t xml:space="preserve"> %。主要原因是：</w:t>
      </w:r>
      <w:r>
        <w:rPr>
          <w:rFonts w:hint="eastAsia" w:ascii="仿宋_GB2312" w:eastAsia="仿宋_GB2312" w:cs="仿宋_GB2312"/>
          <w:bCs/>
          <w:kern w:val="0"/>
          <w:sz w:val="32"/>
          <w:szCs w:val="32"/>
        </w:rPr>
        <w:t>年中追加安排财政拨款支出预算，涉及项目有</w:t>
      </w:r>
      <w:r>
        <w:rPr>
          <w:rFonts w:hint="eastAsia" w:ascii="仿宋_GB2312" w:eastAsia="仿宋_GB2312" w:cs="仿宋_GB2312"/>
          <w:bCs/>
          <w:kern w:val="0"/>
          <w:sz w:val="32"/>
          <w:szCs w:val="32"/>
          <w:lang w:eastAsia="zh-CN"/>
        </w:rPr>
        <w:t>聘用人员增加</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11.78</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75.13</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增加聘用</w:t>
      </w:r>
      <w:r>
        <w:rPr>
          <w:rFonts w:hint="eastAsia" w:ascii="仿宋_GB2312" w:eastAsia="仿宋_GB2312" w:cs="仿宋_GB2312"/>
          <w:kern w:val="0"/>
          <w:sz w:val="32"/>
          <w:szCs w:val="32"/>
        </w:rPr>
        <w:t>人员</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3.21</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3.21</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根据财政预算管理要求，组织对</w:t>
      </w:r>
      <w:r>
        <w:rPr>
          <w:rFonts w:hint="eastAsia" w:ascii="仿宋_GB2312" w:eastAsia="仿宋_GB2312" w:cs="仿宋_GB2312"/>
          <w:kern w:val="0"/>
          <w:sz w:val="32"/>
          <w:szCs w:val="32"/>
          <w:lang w:eastAsia="zh-CN"/>
        </w:rPr>
        <w:t>我部门</w:t>
      </w:r>
      <w:r>
        <w:rPr>
          <w:rFonts w:hint="eastAsia" w:ascii="仿宋_GB2312" w:eastAsia="仿宋_GB2312" w:cs="仿宋_GB2312"/>
          <w:kern w:val="0"/>
          <w:sz w:val="32"/>
          <w:szCs w:val="32"/>
        </w:rPr>
        <w:t>开展整体支出绩效评价试点，涉及一般公共预算支出</w:t>
      </w:r>
      <w:r>
        <w:rPr>
          <w:rFonts w:hint="eastAsia" w:ascii="仿宋_GB2312" w:eastAsia="仿宋_GB2312" w:cs="仿宋_GB2312"/>
          <w:kern w:val="0"/>
          <w:sz w:val="32"/>
          <w:szCs w:val="32"/>
          <w:lang w:val="en-US" w:eastAsia="zh-CN"/>
        </w:rPr>
        <w:t>446.12</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bCs/>
          <w:kern w:val="0"/>
          <w:sz w:val="32"/>
          <w:szCs w:val="32"/>
        </w:rPr>
        <w:t>其中，一级项目</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个，二级项目</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446.12</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本部门未开展项目绩效自评</w:t>
      </w:r>
      <w:r>
        <w:rPr>
          <w:rFonts w:hint="eastAsia" w:ascii="仿宋_GB2312" w:eastAsia="仿宋_GB2312" w:cs="仿宋_GB2312"/>
          <w:kern w:val="0"/>
          <w:sz w:val="32"/>
          <w:szCs w:val="32"/>
        </w:rPr>
        <w:t>。</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五、用事业基金弥补收支差额</w:t>
      </w:r>
      <w:r>
        <w:rPr>
          <w:rFonts w:hint="eastAsia" w:ascii="仿宋_GB2312" w:eastAsia="仿宋_GB2312"/>
          <w:sz w:val="32"/>
          <w:szCs w:val="32"/>
          <w:lang w:eastAsia="zh-CN"/>
        </w:rPr>
        <w:t>：</w:t>
      </w:r>
      <w:r>
        <w:rPr>
          <w:rFonts w:hint="eastAsia" w:ascii="仿宋_GB2312" w:eastAsia="仿宋_GB2312"/>
          <w:sz w:val="32"/>
          <w:szCs w:val="32"/>
        </w:rPr>
        <w:t xml:space="preserve">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bookmarkStart w:id="0" w:name="_GoBack"/>
      <w:bookmarkEnd w:id="0"/>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48F6B"/>
    <w:multiLevelType w:val="singleLevel"/>
    <w:tmpl w:val="38D48F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Njg0OTFlMDU4YjYwYzY3YzEzZWE4MmQwMzYwNjAifQ=="/>
  </w:docVars>
  <w:rsids>
    <w:rsidRoot w:val="4C256E3D"/>
    <w:rsid w:val="00066CA3"/>
    <w:rsid w:val="0059434B"/>
    <w:rsid w:val="006C1367"/>
    <w:rsid w:val="00715385"/>
    <w:rsid w:val="00F66C5B"/>
    <w:rsid w:val="02612177"/>
    <w:rsid w:val="05352423"/>
    <w:rsid w:val="094B45FA"/>
    <w:rsid w:val="0A0C33E4"/>
    <w:rsid w:val="0B424B1D"/>
    <w:rsid w:val="0DA86951"/>
    <w:rsid w:val="0E074DDF"/>
    <w:rsid w:val="0F0F5ED6"/>
    <w:rsid w:val="124204B5"/>
    <w:rsid w:val="14F016D4"/>
    <w:rsid w:val="15823E15"/>
    <w:rsid w:val="1612602D"/>
    <w:rsid w:val="16B90A0F"/>
    <w:rsid w:val="182962AB"/>
    <w:rsid w:val="1852574B"/>
    <w:rsid w:val="19D073EB"/>
    <w:rsid w:val="1A650904"/>
    <w:rsid w:val="1BA7219F"/>
    <w:rsid w:val="1CC31F67"/>
    <w:rsid w:val="1DD220A6"/>
    <w:rsid w:val="1EAC44A7"/>
    <w:rsid w:val="2249565E"/>
    <w:rsid w:val="243C026A"/>
    <w:rsid w:val="24643D8B"/>
    <w:rsid w:val="24D337DC"/>
    <w:rsid w:val="26460DBA"/>
    <w:rsid w:val="2ADC205E"/>
    <w:rsid w:val="2B6F74EB"/>
    <w:rsid w:val="2C1F0B15"/>
    <w:rsid w:val="2C4219FE"/>
    <w:rsid w:val="335718FE"/>
    <w:rsid w:val="34020F86"/>
    <w:rsid w:val="341361ED"/>
    <w:rsid w:val="38836294"/>
    <w:rsid w:val="39A63F06"/>
    <w:rsid w:val="3C017E2C"/>
    <w:rsid w:val="3E6F4772"/>
    <w:rsid w:val="3EA872B2"/>
    <w:rsid w:val="3ED1439F"/>
    <w:rsid w:val="42235D58"/>
    <w:rsid w:val="44500BF5"/>
    <w:rsid w:val="44A60BC5"/>
    <w:rsid w:val="47F43786"/>
    <w:rsid w:val="48374EDC"/>
    <w:rsid w:val="4C256E3D"/>
    <w:rsid w:val="4CB52F0F"/>
    <w:rsid w:val="4E2875DF"/>
    <w:rsid w:val="4EF03F2C"/>
    <w:rsid w:val="50C04C3A"/>
    <w:rsid w:val="50F35421"/>
    <w:rsid w:val="532F1F9A"/>
    <w:rsid w:val="5622469A"/>
    <w:rsid w:val="5DBB25AC"/>
    <w:rsid w:val="5E995A3E"/>
    <w:rsid w:val="5F933EA7"/>
    <w:rsid w:val="5F95061E"/>
    <w:rsid w:val="5FC1266C"/>
    <w:rsid w:val="617E254E"/>
    <w:rsid w:val="62163194"/>
    <w:rsid w:val="624D024D"/>
    <w:rsid w:val="625272AA"/>
    <w:rsid w:val="650E086A"/>
    <w:rsid w:val="65493030"/>
    <w:rsid w:val="69942FDD"/>
    <w:rsid w:val="6BAA0708"/>
    <w:rsid w:val="6CDF7594"/>
    <w:rsid w:val="70046E9D"/>
    <w:rsid w:val="70BF7765"/>
    <w:rsid w:val="72231A60"/>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paragraph" w:customStyle="1" w:styleId="12">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5059</Words>
  <Characters>5571</Characters>
  <Lines>60</Lines>
  <Paragraphs>17</Paragraphs>
  <TotalTime>135</TotalTime>
  <ScaleCrop>false</ScaleCrop>
  <LinksUpToDate>false</LinksUpToDate>
  <CharactersWithSpaces>5669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噼里啪啦d</cp:lastModifiedBy>
  <cp:lastPrinted>2022-08-02T00:24:00Z</cp:lastPrinted>
  <dcterms:modified xsi:type="dcterms:W3CDTF">2022-08-02T10:10:20Z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658CBA07B77C47CB9283696CC445B2A2</vt:lpwstr>
  </property>
</Properties>
</file>