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lang w:eastAsia="zh-CN"/>
        </w:rPr>
        <w:t>中国农工民主党柳州市委员会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中国农工民主党柳州市委员会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中国农工民主党柳州市委员会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中国农工民主党柳州市委员会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中国农工民主党柳州市委员会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中国农工民主党是以医药卫生、人口资源和生态环境领域高中级知识分子为主，由一部分社会主义劳动者、社会主义事业建设者和拥护社会主义的爱国者组成的，具有政治联盟特点的中国特色社会主义参政党，是中国共产党领导的多党合作和政治协商制度中，同中国共产党通力合作的亲密友党。农工党柳州市委会作为致力于中国多党合作事业参政党的党务机关单位，主要通过履行政治协商、参政议政、民主监督、社会服务等职能来推动社会主义事业的发展与进步。</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本部门有机关人员编制9人。202</w:t>
      </w:r>
      <w:r>
        <w:rPr>
          <w:rFonts w:hint="eastAsia" w:ascii="仿宋_GB2312" w:eastAsia="仿宋_GB2312"/>
          <w:sz w:val="32"/>
          <w:szCs w:val="32"/>
          <w:lang w:val="en-US" w:eastAsia="zh-CN"/>
        </w:rPr>
        <w:t>1</w:t>
      </w:r>
      <w:r>
        <w:rPr>
          <w:rFonts w:hint="eastAsia" w:ascii="仿宋_GB2312" w:eastAsia="仿宋_GB2312"/>
          <w:sz w:val="32"/>
          <w:szCs w:val="32"/>
        </w:rPr>
        <w:t>年末，机关人员实有人数8人，退休人员6人，全部纳入财政供养，实行部门预算和财政统发。农工党市委会机关设两科一室，即:组织科、宣传科、办公室。</w:t>
      </w:r>
    </w:p>
    <w:p>
      <w:pPr>
        <w:ind w:firstLine="645"/>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中国农工民主党柳州市委员会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440" w:firstLineChars="200"/>
      </w:pPr>
      <w:r>
        <w:rPr>
          <w:rFonts w:hint="eastAsia"/>
          <w:sz w:val="22"/>
          <w:szCs w:val="22"/>
        </w:rPr>
        <w:t xml:space="preserve">                   </w:t>
      </w:r>
    </w:p>
    <w:p>
      <w:pPr>
        <w:ind w:firstLine="640" w:firstLineChars="20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none"/>
          <w:lang w:eastAsia="zh-CN"/>
        </w:rPr>
        <w:t>中国农工民主党柳州市委员会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Pr>
        <w:spacing w:line="58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中国农工民主党柳州市委员会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212.25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204.81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6.96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3.18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204.81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5.77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：经费压减。</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7.43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74.97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val="en-US" w:eastAsia="zh-CN"/>
        </w:rPr>
        <w:t>2020</w:t>
      </w:r>
      <w:r>
        <w:rPr>
          <w:rFonts w:hint="eastAsia" w:ascii="仿宋_GB2312" w:eastAsia="仿宋_GB2312" w:cs="仿宋_GB2312"/>
          <w:kern w:val="0"/>
          <w:sz w:val="32"/>
          <w:szCs w:val="32"/>
        </w:rPr>
        <w:t>年度支出预算因客观条件变化未执行完毕、结转到</w:t>
      </w:r>
      <w:r>
        <w:rPr>
          <w:rFonts w:hint="eastAsia" w:ascii="仿宋_GB2312" w:eastAsia="仿宋_GB2312" w:cs="仿宋_GB2312"/>
          <w:kern w:val="0"/>
          <w:sz w:val="32"/>
          <w:szCs w:val="32"/>
          <w:lang w:val="en-US" w:eastAsia="zh-CN"/>
        </w:rPr>
        <w:t>2021年度。</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212.25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212.25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6.96</w:t>
      </w:r>
      <w:r>
        <w:rPr>
          <w:rFonts w:hint="eastAsia" w:ascii="仿宋_GB2312" w:hAnsi="黑体" w:eastAsia="仿宋_GB2312" w:cs="仿宋_GB2312"/>
          <w:kern w:val="0"/>
          <w:sz w:val="32"/>
          <w:szCs w:val="32"/>
        </w:rPr>
        <w:t>万元，下</w:t>
      </w:r>
      <w:r>
        <w:rPr>
          <w:rFonts w:hint="eastAsia" w:ascii="仿宋_GB2312" w:hAnsi="黑体" w:eastAsia="仿宋_GB2312" w:cs="仿宋_GB2312"/>
          <w:kern w:val="0"/>
          <w:sz w:val="32"/>
          <w:szCs w:val="32"/>
          <w:lang w:eastAsia="zh-CN"/>
        </w:rPr>
        <w:t>降</w:t>
      </w:r>
      <w:r>
        <w:rPr>
          <w:rFonts w:hint="eastAsia" w:ascii="仿宋_GB2312" w:hAnsi="黑体" w:eastAsia="仿宋_GB2312" w:cs="仿宋_GB2312"/>
          <w:kern w:val="0"/>
          <w:sz w:val="32"/>
          <w:szCs w:val="32"/>
          <w:lang w:val="en-US" w:eastAsia="zh-CN"/>
        </w:rPr>
        <w:t>3.18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159.75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行政运行、参政议政，</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7.86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4.92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highlight w:val="none"/>
          <w:lang w:eastAsia="zh-CN"/>
        </w:rPr>
        <w:t>年中追加安排财政拨款支出预算，涉及项目有补发2020年度绩效考评奖励、预发2021年度绩效考评奖励（增补）、预发2021年度绩效考评奖励（补差）、2020年度考核优秀奖励、下达2021年考核优秀、下达2021年增人增资预算等</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29.75</w:t>
      </w:r>
      <w:r>
        <w:rPr>
          <w:rFonts w:hint="eastAsia" w:ascii="仿宋_GB2312" w:eastAsia="仿宋_GB2312" w:cs="仿宋_GB2312"/>
          <w:kern w:val="0"/>
          <w:sz w:val="32"/>
          <w:szCs w:val="32"/>
        </w:rPr>
        <w:t>万元：主要用于行政单位离退休</w:t>
      </w:r>
      <w:r>
        <w:rPr>
          <w:rFonts w:hint="eastAsia" w:ascii="仿宋_GB2312" w:eastAsia="仿宋_GB2312" w:cs="仿宋_GB2312"/>
          <w:kern w:val="0"/>
          <w:sz w:val="32"/>
          <w:szCs w:val="32"/>
          <w:lang w:eastAsia="zh-CN"/>
        </w:rPr>
        <w:t>、机关事业单位基本养老保险缴费支出、机关事业单位职业年金缴费支出，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6.39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highlight w:val="none"/>
        </w:rPr>
        <w:t>下达2021年退休干部春节慰问金补差</w:t>
      </w:r>
      <w:r>
        <w:rPr>
          <w:rFonts w:hint="eastAsia" w:ascii="仿宋_GB2312" w:eastAsia="仿宋_GB2312" w:cs="仿宋_GB2312"/>
          <w:kern w:val="0"/>
          <w:sz w:val="32"/>
          <w:szCs w:val="32"/>
          <w:highlight w:val="none"/>
          <w:lang w:eastAsia="zh-CN"/>
        </w:rPr>
        <w:t>、下达2021年增人增资预算（离退休生活补助）</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11.47</w:t>
      </w:r>
      <w:r>
        <w:rPr>
          <w:rFonts w:hint="eastAsia" w:ascii="仿宋_GB2312" w:eastAsia="仿宋_GB2312" w:cs="仿宋_GB2312"/>
          <w:kern w:val="0"/>
          <w:sz w:val="32"/>
          <w:szCs w:val="32"/>
        </w:rPr>
        <w:t>万元：主要用于行政单位医疗</w:t>
      </w:r>
      <w:r>
        <w:rPr>
          <w:rFonts w:hint="eastAsia" w:ascii="仿宋_GB2312" w:eastAsia="仿宋_GB2312" w:cs="仿宋_GB2312"/>
          <w:kern w:val="0"/>
          <w:sz w:val="32"/>
          <w:szCs w:val="32"/>
          <w:lang w:eastAsia="zh-CN"/>
        </w:rPr>
        <w:t>、公务员医疗补助，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2.48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17.78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highlight w:val="none"/>
          <w:lang w:eastAsia="zh-CN"/>
        </w:rPr>
        <w:t>经费压减</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11.28</w:t>
      </w:r>
      <w:r>
        <w:rPr>
          <w:rFonts w:hint="eastAsia" w:ascii="仿宋_GB2312" w:eastAsia="仿宋_GB2312" w:cs="仿宋_GB2312"/>
          <w:kern w:val="0"/>
          <w:sz w:val="32"/>
          <w:szCs w:val="32"/>
        </w:rPr>
        <w:t>万元：主要用于住房公积金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4.49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highlight w:val="none"/>
          <w:lang w:eastAsia="zh-CN"/>
        </w:rPr>
        <w:t>经费压减</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为本年度或以前年度预算安排、因客观条件发生变化无法按原计划实施，需要延迟到以后年度按有关规定继续使用的资金。较2020年度决算数减少</w:t>
      </w:r>
      <w:r>
        <w:rPr>
          <w:rFonts w:hint="eastAsia" w:ascii="仿宋_GB2312" w:eastAsia="仿宋_GB2312" w:cs="仿宋_GB2312"/>
          <w:kern w:val="0"/>
          <w:sz w:val="32"/>
          <w:szCs w:val="32"/>
          <w:lang w:val="en-US" w:eastAsia="zh-CN"/>
        </w:rPr>
        <w:t>13.71</w:t>
      </w:r>
      <w:r>
        <w:rPr>
          <w:rFonts w:hint="eastAsia" w:ascii="仿宋_GB2312" w:eastAsia="仿宋_GB2312" w:cs="仿宋_GB2312"/>
          <w:kern w:val="0"/>
          <w:sz w:val="32"/>
          <w:szCs w:val="32"/>
          <w:lang w:eastAsia="zh-CN"/>
        </w:rPr>
        <w:t>万元，下降</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highlight w:val="none"/>
          <w:lang w:eastAsia="zh-CN"/>
        </w:rPr>
        <w:t>主要原因是：财政收回。</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212.25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6.96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3.18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185.4</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26.84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166.8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212.25</w:t>
      </w:r>
      <w:r>
        <w:rPr>
          <w:rFonts w:hint="eastAsia" w:ascii="仿宋_GB2312" w:hAnsi="黑体" w:eastAsia="仿宋_GB2312" w:cs="仿宋_GB2312"/>
          <w:kern w:val="0"/>
          <w:sz w:val="32"/>
          <w:szCs w:val="32"/>
        </w:rPr>
        <w:t>万元，完成年初预</w:t>
      </w:r>
      <w:r>
        <w:rPr>
          <w:rFonts w:hint="eastAsia" w:ascii="仿宋_GB2312" w:hAnsi="黑体" w:eastAsia="仿宋_GB2312" w:cs="仿宋_GB2312"/>
          <w:kern w:val="0"/>
          <w:sz w:val="32"/>
          <w:szCs w:val="32"/>
          <w:lang w:eastAsia="zh-CN"/>
        </w:rPr>
        <w:t>算</w:t>
      </w:r>
      <w:r>
        <w:rPr>
          <w:rFonts w:hint="eastAsia" w:ascii="仿宋_GB2312" w:hAnsi="黑体" w:eastAsia="仿宋_GB2312" w:cs="仿宋_GB2312"/>
          <w:kern w:val="0"/>
          <w:sz w:val="32"/>
          <w:szCs w:val="32"/>
        </w:rPr>
        <w:t>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highlight w:val="none"/>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（类）民主党派及工商联事务（款）行政运行（项）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94.5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132.9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主要原因是年中追加安排财政拨款支出预算，涉及项目有补发2020年度绩效考评奖励、预发2021年度绩效考评奖励（增补）、预发2021年度绩效考评奖励（补差）、2020年度考核优秀奖励、下达2021年考核优秀、下达2021年增人增资预算等。</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highlight w:val="yellow"/>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一般公共服务支出（类）民主党派及工商联事务（款）参政议政（项）。年初预算为</w:t>
      </w:r>
      <w:r>
        <w:rPr>
          <w:rFonts w:hint="eastAsia" w:ascii="仿宋_GB2312" w:eastAsia="仿宋_GB2312" w:cs="仿宋_GB2312"/>
          <w:bCs/>
          <w:kern w:val="0"/>
          <w:sz w:val="32"/>
          <w:szCs w:val="32"/>
          <w:lang w:val="en-US" w:eastAsia="zh-CN"/>
        </w:rPr>
        <w:t>21.38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26.84</w:t>
      </w:r>
      <w:r>
        <w:rPr>
          <w:rFonts w:hint="eastAsia" w:ascii="仿宋_GB2312" w:eastAsia="仿宋_GB2312" w:cs="仿宋_GB2312"/>
          <w:bCs/>
          <w:kern w:val="0"/>
          <w:sz w:val="32"/>
          <w:szCs w:val="32"/>
        </w:rPr>
        <w:t>万元，完成年初预算的100%。</w:t>
      </w:r>
      <w:r>
        <w:rPr>
          <w:rFonts w:hint="eastAsia" w:ascii="仿宋_GB2312" w:eastAsia="仿宋_GB2312" w:cs="仿宋_GB2312"/>
          <w:bCs/>
          <w:kern w:val="0"/>
          <w:sz w:val="32"/>
          <w:szCs w:val="32"/>
          <w:highlight w:val="none"/>
        </w:rPr>
        <w:t>主要原因是2020年度支出预算因客观条件变化未执行完毕、结转到2021年度</w:t>
      </w:r>
      <w:r>
        <w:rPr>
          <w:rFonts w:hint="eastAsia" w:ascii="仿宋_GB2312" w:eastAsia="仿宋_GB2312" w:cs="仿宋_GB2312"/>
          <w:bCs/>
          <w:kern w:val="0"/>
          <w:sz w:val="32"/>
          <w:szCs w:val="32"/>
          <w:highlight w:val="none"/>
          <w:lang w:eastAsia="zh-CN"/>
        </w:rPr>
        <w:t>，下达2021年机关事业单位培训预算</w:t>
      </w:r>
      <w:r>
        <w:rPr>
          <w:rFonts w:hint="eastAsia" w:ascii="仿宋_GB2312" w:eastAsia="仿宋_GB2312" w:cs="仿宋_GB2312"/>
          <w:bCs/>
          <w:kern w:val="0"/>
          <w:sz w:val="32"/>
          <w:szCs w:val="32"/>
          <w:highlight w:val="none"/>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社会保障和就业支出（类）行政事业单位养老支出（款）行政单位离退休（项）。年初预算为</w:t>
      </w:r>
      <w:r>
        <w:rPr>
          <w:rFonts w:hint="eastAsia" w:ascii="仿宋_GB2312" w:eastAsia="仿宋_GB2312" w:cs="仿宋_GB2312"/>
          <w:kern w:val="0"/>
          <w:sz w:val="32"/>
          <w:szCs w:val="32"/>
          <w:lang w:val="en-US" w:eastAsia="zh-CN"/>
        </w:rPr>
        <w:t>6.34</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7.19</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下达</w:t>
      </w:r>
      <w:r>
        <w:rPr>
          <w:rFonts w:hint="eastAsia" w:ascii="仿宋_GB2312" w:eastAsia="仿宋_GB2312" w:cs="仿宋_GB2312"/>
          <w:kern w:val="0"/>
          <w:sz w:val="32"/>
          <w:szCs w:val="32"/>
          <w:highlight w:val="none"/>
        </w:rPr>
        <w:t>2021年退休干部春节慰问金补差</w:t>
      </w:r>
      <w:r>
        <w:rPr>
          <w:rFonts w:hint="eastAsia" w:ascii="仿宋_GB2312" w:eastAsia="仿宋_GB2312" w:cs="仿宋_GB2312"/>
          <w:kern w:val="0"/>
          <w:sz w:val="32"/>
          <w:szCs w:val="32"/>
          <w:highlight w:val="none"/>
          <w:lang w:eastAsia="zh-CN"/>
        </w:rPr>
        <w:t>、下达2021年增人增资预算（离退休生活补助）</w:t>
      </w:r>
      <w:r>
        <w:rPr>
          <w:rFonts w:hint="eastAsia" w:ascii="仿宋_GB2312" w:eastAsia="仿宋_GB2312" w:cs="仿宋_GB2312"/>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hint="eastAsia" w:ascii="仿宋_GB2312" w:eastAsia="仿宋_GB2312" w:cs="仿宋_GB2312"/>
          <w:kern w:val="0"/>
          <w:sz w:val="32"/>
          <w:szCs w:val="32"/>
          <w:lang w:val="en-US" w:eastAsia="zh-CN"/>
        </w:rPr>
        <w:t>15.04</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15.04</w:t>
      </w:r>
      <w:r>
        <w:rPr>
          <w:rFonts w:hint="eastAsia" w:ascii="仿宋_GB2312" w:eastAsia="仿宋_GB2312" w:cs="仿宋_GB2312"/>
          <w:kern w:val="0"/>
          <w:sz w:val="32"/>
          <w:szCs w:val="32"/>
        </w:rPr>
        <w:t>万元，完成年初预算的100%。决算数与</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预算数无差异。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）社会保障和就业支出（类）行政事业单位养老支出（款）机关事业单位职业年金缴费支出（项）。年初预算为</w:t>
      </w:r>
      <w:r>
        <w:rPr>
          <w:rFonts w:hint="eastAsia" w:ascii="仿宋_GB2312" w:eastAsia="仿宋_GB2312" w:cs="仿宋_GB2312"/>
          <w:kern w:val="0"/>
          <w:sz w:val="32"/>
          <w:szCs w:val="32"/>
          <w:lang w:val="en-US" w:eastAsia="zh-CN"/>
        </w:rPr>
        <w:t>7.52</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7.52</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）卫生健康支出（类）行政事业单位医疗（款）行政单位医疗（项）。年初预算为</w:t>
      </w:r>
      <w:r>
        <w:rPr>
          <w:rFonts w:hint="eastAsia" w:ascii="仿宋_GB2312" w:eastAsia="仿宋_GB2312" w:cs="仿宋_GB2312"/>
          <w:kern w:val="0"/>
          <w:sz w:val="32"/>
          <w:szCs w:val="32"/>
          <w:lang w:val="en-US" w:eastAsia="zh-CN"/>
        </w:rPr>
        <w:t>7.33</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7.33</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）卫生健康支出（类）行政事业单位医疗（款）公务员医疗补助（项）。年初预算为</w:t>
      </w:r>
      <w:r>
        <w:rPr>
          <w:rFonts w:hint="eastAsia" w:ascii="仿宋_GB2312" w:eastAsia="仿宋_GB2312" w:cs="仿宋_GB2312"/>
          <w:kern w:val="0"/>
          <w:sz w:val="32"/>
          <w:szCs w:val="32"/>
          <w:lang w:val="en-US" w:eastAsia="zh-CN"/>
        </w:rPr>
        <w:t>3.41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3.99</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下达机关、参公单位2021年下半年公务员医疗补助差额。</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yellow"/>
          <w:lang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）卫生健康支出（类）行政事业单位医疗（款）其他行政事业单位医疗支出（项）。年初预算为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0.14</w:t>
      </w:r>
      <w:r>
        <w:rPr>
          <w:rFonts w:hint="eastAsia" w:ascii="仿宋_GB2312" w:eastAsia="仿宋_GB2312" w:cs="仿宋_GB2312"/>
          <w:kern w:val="0"/>
          <w:sz w:val="32"/>
          <w:szCs w:val="32"/>
          <w:highlight w:val="none"/>
        </w:rPr>
        <w:t>万元，完成年初预算的100%。主要原因是下达2020年机关事业单位退休人员一次性缴纳医疗保险费预算</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九</w:t>
      </w:r>
      <w:r>
        <w:rPr>
          <w:rFonts w:hint="eastAsia" w:ascii="仿宋_GB2312" w:eastAsia="仿宋_GB2312" w:cs="仿宋_GB2312"/>
          <w:kern w:val="0"/>
          <w:sz w:val="32"/>
          <w:szCs w:val="32"/>
        </w:rPr>
        <w:t>）住房保障支出（类）住房改革支出（款）住房公积金（项）。年初预算为</w:t>
      </w:r>
      <w:r>
        <w:rPr>
          <w:rFonts w:hint="eastAsia" w:ascii="仿宋_GB2312" w:eastAsia="仿宋_GB2312" w:cs="仿宋_GB2312"/>
          <w:kern w:val="0"/>
          <w:sz w:val="32"/>
          <w:szCs w:val="32"/>
          <w:lang w:val="en-US" w:eastAsia="zh-CN"/>
        </w:rPr>
        <w:t>11.28</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11.28</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w:t>
      </w:r>
      <w:r>
        <w:rPr>
          <w:rFonts w:hint="eastAsia" w:ascii="仿宋_GB2312" w:eastAsia="仿宋_GB2312" w:cs="仿宋_GB2312"/>
          <w:kern w:val="0"/>
          <w:sz w:val="32"/>
          <w:szCs w:val="32"/>
          <w:lang w:eastAsia="zh-CN"/>
        </w:rPr>
        <w:t>出</w:t>
      </w:r>
      <w:r>
        <w:rPr>
          <w:rFonts w:hint="eastAsia" w:ascii="仿宋_GB2312" w:eastAsia="仿宋_GB2312" w:cs="仿宋_GB2312"/>
          <w:kern w:val="0"/>
          <w:sz w:val="32"/>
          <w:szCs w:val="32"/>
          <w:lang w:val="en-US" w:eastAsia="zh-CN"/>
        </w:rPr>
        <w:t>185.4万</w:t>
      </w:r>
      <w:r>
        <w:rPr>
          <w:rFonts w:hint="eastAsia" w:ascii="仿宋_GB2312" w:eastAsia="仿宋_GB2312" w:cs="仿宋_GB2312"/>
          <w:kern w:val="0"/>
          <w:sz w:val="32"/>
          <w:szCs w:val="32"/>
        </w:rPr>
        <w:t>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153.08</w:t>
      </w:r>
      <w:r>
        <w:rPr>
          <w:rFonts w:hint="eastAsia" w:ascii="仿宋_GB2312" w:eastAsia="仿宋_GB2312"/>
          <w:bCs/>
          <w:kern w:val="0"/>
          <w:sz w:val="32"/>
          <w:szCs w:val="32"/>
        </w:rPr>
        <w:t>万元，</w:t>
      </w:r>
      <w:r>
        <w:rPr>
          <w:rFonts w:hint="eastAsia" w:ascii="仿宋_GB2312" w:eastAsia="仿宋_GB2312"/>
          <w:bCs/>
          <w:kern w:val="0"/>
          <w:sz w:val="32"/>
          <w:szCs w:val="32"/>
          <w:highlight w:val="none"/>
        </w:rPr>
        <w:t>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决算数大于预算数的主要原因是年中追加安排财政拨款支出预算，涉及项目有补发2020年度绩效考评奖励、预发2021年度绩效考评奖励（增补）、预发2021年度绩效考评奖励（补差）、2020年度考核优秀奖励、下达2021年考核优秀、下达2021年增人增资预算</w:t>
      </w:r>
      <w:r>
        <w:rPr>
          <w:rFonts w:hint="eastAsia" w:ascii="仿宋_GB2312" w:eastAsia="仿宋_GB2312"/>
          <w:bCs/>
          <w:kern w:val="0"/>
          <w:sz w:val="32"/>
          <w:szCs w:val="32"/>
          <w:highlight w:val="none"/>
          <w:lang w:eastAsia="zh-CN"/>
        </w:rPr>
        <w:t>、下达机关、参公单位2021年下半年公务员医疗补助差额、下达2020年机关事业单位退休人员一次性缴纳医疗保险费预算</w:t>
      </w:r>
      <w:r>
        <w:rPr>
          <w:rFonts w:hint="eastAsia" w:ascii="仿宋_GB2312" w:eastAsia="仿宋_GB2312"/>
          <w:bCs/>
          <w:kern w:val="0"/>
          <w:sz w:val="32"/>
          <w:szCs w:val="32"/>
          <w:highlight w:val="none"/>
        </w:rPr>
        <w:t>等。</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26.63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bCs/>
          <w:kern w:val="0"/>
          <w:sz w:val="32"/>
          <w:szCs w:val="32"/>
          <w:highlight w:val="none"/>
        </w:rPr>
        <w:t>决算数大于预算数的主要原因是年中追加安排财政拨款支出预算，涉及项目有下达</w:t>
      </w:r>
      <w:r>
        <w:rPr>
          <w:rFonts w:hint="eastAsia" w:ascii="仿宋_GB2312" w:eastAsia="仿宋_GB2312"/>
          <w:bCs/>
          <w:kern w:val="0"/>
          <w:sz w:val="32"/>
          <w:szCs w:val="32"/>
          <w:highlight w:val="none"/>
          <w:lang w:val="en-US" w:eastAsia="zh-CN"/>
        </w:rPr>
        <w:t>2021增人增资、交通补贴</w:t>
      </w:r>
      <w:r>
        <w:rPr>
          <w:rFonts w:hint="eastAsia" w:ascii="仿宋_GB2312" w:eastAsia="仿宋_GB2312"/>
          <w:bCs/>
          <w:kern w:val="0"/>
          <w:sz w:val="32"/>
          <w:szCs w:val="32"/>
          <w:highlight w:val="none"/>
          <w:lang w:eastAsia="zh-CN"/>
        </w:rPr>
        <w:t>等。</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kern w:val="0"/>
          <w:sz w:val="32"/>
          <w:szCs w:val="32"/>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）对个人和家庭的补助</w:t>
      </w:r>
      <w:r>
        <w:rPr>
          <w:rFonts w:hint="eastAsia" w:ascii="仿宋_GB2312" w:eastAsia="仿宋_GB2312" w:cs="仿宋_GB2312"/>
          <w:kern w:val="0"/>
          <w:sz w:val="32"/>
          <w:szCs w:val="32"/>
          <w:lang w:val="en-US" w:eastAsia="zh-CN"/>
        </w:rPr>
        <w:t>5.69</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决算数大于预算数的主要原因是年中追加安排财政拨款支出预算，涉及项目有下达2021年退休干部春节慰问金补差、下达2021年增人增资预算（离退休生活补助）等。</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中国农工民主党柳州市委员会</w:t>
      </w:r>
      <w:r>
        <w:rPr>
          <w:rFonts w:hint="eastAsia" w:ascii="仿宋_GB2312" w:eastAsia="仿宋_GB2312" w:cs="仿宋_GB2312"/>
          <w:b w:val="0"/>
          <w:bCs/>
          <w:kern w:val="0"/>
          <w:sz w:val="32"/>
          <w:szCs w:val="32"/>
        </w:rPr>
        <w:t>202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Times New Roman"/>
          <w:b w:val="0"/>
          <w:bCs/>
          <w:kern w:val="0"/>
          <w:sz w:val="32"/>
          <w:szCs w:val="32"/>
          <w:lang w:eastAsia="zh-CN"/>
        </w:rPr>
        <w:t>中国农工民主党柳州市委员会</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w:t>
      </w:r>
      <w:r>
        <w:rPr>
          <w:rFonts w:hint="eastAsia" w:ascii="仿宋_GB2312" w:eastAsia="仿宋_GB2312"/>
          <w:b w:val="0"/>
          <w:bCs/>
          <w:kern w:val="0"/>
          <w:sz w:val="32"/>
          <w:szCs w:val="32"/>
        </w:rPr>
        <w:t>国有资本经营预算财政拨款</w:t>
      </w:r>
      <w:r>
        <w:rPr>
          <w:rFonts w:hint="eastAsia" w:ascii="仿宋_GB2312" w:eastAsia="仿宋_GB2312" w:cs="Times New Roman"/>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Times New Roman"/>
          <w:b w:val="0"/>
          <w:bCs/>
          <w:kern w:val="0"/>
          <w:sz w:val="32"/>
          <w:szCs w:val="32"/>
        </w:rPr>
        <w:t>的支出，故无数据情况说明</w:t>
      </w:r>
      <w:r>
        <w:rPr>
          <w:rFonts w:hint="eastAsia" w:ascii="仿宋_GB2312" w:eastAsia="仿宋_GB2312" w:cs="Times New Roman"/>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0.28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0.01</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经费压减</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0.28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0.28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0.01</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原因是经费压减</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国内公务接待批次</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次，国（境）外公务接待批次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26.63</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4.22</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15.85</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主要原因是：年中追加安排财政拨款支出预算，涉及项目有下达2021年</w:t>
      </w:r>
      <w:r>
        <w:rPr>
          <w:rFonts w:hint="eastAsia" w:ascii="仿宋_GB2312" w:eastAsia="仿宋_GB2312"/>
          <w:bCs/>
          <w:kern w:val="0"/>
          <w:sz w:val="32"/>
          <w:szCs w:val="32"/>
          <w:highlight w:val="none"/>
          <w:lang w:val="en-US" w:eastAsia="zh-CN"/>
        </w:rPr>
        <w:t>增人增资、交通补贴</w:t>
      </w:r>
      <w:r>
        <w:rPr>
          <w:rFonts w:hint="eastAsia" w:ascii="仿宋_GB2312" w:eastAsia="仿宋_GB2312" w:cs="仿宋_GB2312"/>
          <w:kern w:val="0"/>
          <w:sz w:val="32"/>
          <w:szCs w:val="32"/>
          <w:highlight w:val="none"/>
        </w:rPr>
        <w:t>等。</w:t>
      </w:r>
      <w:bookmarkStart w:id="0" w:name="_GoBack"/>
      <w:bookmarkEnd w:id="0"/>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212.25</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0万</w:t>
      </w:r>
      <w:r>
        <w:rPr>
          <w:rFonts w:hint="eastAsia" w:ascii="仿宋_GB2312" w:eastAsia="仿宋_GB2312" w:cs="仿宋_GB2312"/>
          <w:kern w:val="0"/>
          <w:sz w:val="32"/>
          <w:szCs w:val="32"/>
        </w:rPr>
        <w:t>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个部门开展整体支出绩效评价试点，涉及一般公共预算支出</w:t>
      </w:r>
      <w:r>
        <w:rPr>
          <w:rFonts w:hint="eastAsia" w:ascii="仿宋_GB2312" w:eastAsia="仿宋_GB2312" w:cs="仿宋_GB2312"/>
          <w:kern w:val="0"/>
          <w:sz w:val="32"/>
          <w:szCs w:val="32"/>
          <w:lang w:val="en-US" w:eastAsia="zh-CN"/>
        </w:rPr>
        <w:t>212.25</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万元。从评价情况来看，该项目整体按照原预算和计划实施，项目管理规范有序，达到了预期的绩效目标项目绩效情况为“优”。</w:t>
      </w:r>
      <w:r>
        <w:rPr>
          <w:rFonts w:hint="eastAsia" w:ascii="仿宋_GB2312" w:eastAsia="仿宋_GB2312" w:cs="仿宋_GB2312"/>
          <w:kern w:val="0"/>
          <w:sz w:val="32"/>
          <w:szCs w:val="32"/>
          <w:highlight w:val="none"/>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绩效评价结果显示，我单位部门整体支出绩效情况理想，达到部门整体支出申请时设定的各项绩效目标。</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jE3MWZkNmRjY2Q0OTkwNzNmZjA1YzJmYTAxOTkifQ=="/>
  </w:docVars>
  <w:rsids>
    <w:rsidRoot w:val="4C256E3D"/>
    <w:rsid w:val="00066CA3"/>
    <w:rsid w:val="006C1367"/>
    <w:rsid w:val="00715385"/>
    <w:rsid w:val="00EF687D"/>
    <w:rsid w:val="00F66C5B"/>
    <w:rsid w:val="044C054C"/>
    <w:rsid w:val="05352423"/>
    <w:rsid w:val="05ED4716"/>
    <w:rsid w:val="094B45FA"/>
    <w:rsid w:val="0A0C33E4"/>
    <w:rsid w:val="0B424B1D"/>
    <w:rsid w:val="0D5557AF"/>
    <w:rsid w:val="0DA86951"/>
    <w:rsid w:val="0E074DDF"/>
    <w:rsid w:val="0F0F5ED6"/>
    <w:rsid w:val="0F1921F8"/>
    <w:rsid w:val="124204B5"/>
    <w:rsid w:val="14F016D4"/>
    <w:rsid w:val="15823E15"/>
    <w:rsid w:val="1612602D"/>
    <w:rsid w:val="16B90A0F"/>
    <w:rsid w:val="182962AB"/>
    <w:rsid w:val="191848ED"/>
    <w:rsid w:val="19D073EB"/>
    <w:rsid w:val="1A650904"/>
    <w:rsid w:val="1CC31F67"/>
    <w:rsid w:val="2249565E"/>
    <w:rsid w:val="24D337DC"/>
    <w:rsid w:val="252C1BBC"/>
    <w:rsid w:val="26460DBA"/>
    <w:rsid w:val="29A35CA4"/>
    <w:rsid w:val="2B6F74EB"/>
    <w:rsid w:val="2C1F0B15"/>
    <w:rsid w:val="2C4219FE"/>
    <w:rsid w:val="335718FE"/>
    <w:rsid w:val="34020F86"/>
    <w:rsid w:val="341361ED"/>
    <w:rsid w:val="39A63F06"/>
    <w:rsid w:val="3A677174"/>
    <w:rsid w:val="3C017E2C"/>
    <w:rsid w:val="3E6F4772"/>
    <w:rsid w:val="3EA872B2"/>
    <w:rsid w:val="3ED1439F"/>
    <w:rsid w:val="42235D58"/>
    <w:rsid w:val="42B85068"/>
    <w:rsid w:val="44500BF5"/>
    <w:rsid w:val="45035EE4"/>
    <w:rsid w:val="47A53182"/>
    <w:rsid w:val="47F43786"/>
    <w:rsid w:val="48374EDC"/>
    <w:rsid w:val="4B8B39F9"/>
    <w:rsid w:val="4C256E3D"/>
    <w:rsid w:val="4CB52F0F"/>
    <w:rsid w:val="4E2875DF"/>
    <w:rsid w:val="50C04C3A"/>
    <w:rsid w:val="50F35421"/>
    <w:rsid w:val="51F86186"/>
    <w:rsid w:val="532F1F9A"/>
    <w:rsid w:val="54EC75A4"/>
    <w:rsid w:val="5BF14069"/>
    <w:rsid w:val="5DBB25AC"/>
    <w:rsid w:val="5E995A3E"/>
    <w:rsid w:val="5EB76252"/>
    <w:rsid w:val="5F933EA7"/>
    <w:rsid w:val="5F95061E"/>
    <w:rsid w:val="5FC1266C"/>
    <w:rsid w:val="617E254E"/>
    <w:rsid w:val="62163194"/>
    <w:rsid w:val="624D024D"/>
    <w:rsid w:val="650E086A"/>
    <w:rsid w:val="65493030"/>
    <w:rsid w:val="6778592B"/>
    <w:rsid w:val="6BAA0708"/>
    <w:rsid w:val="70046E9D"/>
    <w:rsid w:val="7106424A"/>
    <w:rsid w:val="72231A60"/>
    <w:rsid w:val="743631A3"/>
    <w:rsid w:val="74900066"/>
    <w:rsid w:val="75AF6C8B"/>
    <w:rsid w:val="77474C4B"/>
    <w:rsid w:val="7E4F7BD6"/>
    <w:rsid w:val="7F2C3C6A"/>
    <w:rsid w:val="7F2F12EF"/>
    <w:rsid w:val="7F3A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4889</Words>
  <Characters>5383</Characters>
  <Lines>60</Lines>
  <Paragraphs>17</Paragraphs>
  <TotalTime>1</TotalTime>
  <ScaleCrop>false</ScaleCrop>
  <LinksUpToDate>false</LinksUpToDate>
  <CharactersWithSpaces>5468</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2022-07-27T09:24:41Z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4EDF363095C64860B02ED9BBF17D11EB</vt:lpwstr>
  </property>
</Properties>
</file>