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中国民主建国会柳州市委员会</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中国民主建国会柳州市委员会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中国民主建国会柳州市委员会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中国民主建国会柳州市委员会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中国民主建国会柳州市委员会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中国民主建国会（简称民建）是主要由经济界人士组成的，具有政治联盟特点的、致力于建设中国特色社会主义事业的政党，是中国共产党的多党合作总格局中的参政党。</w:t>
      </w:r>
    </w:p>
    <w:p>
      <w:pPr>
        <w:ind w:firstLine="645"/>
        <w:rPr>
          <w:rFonts w:hint="eastAsia" w:ascii="仿宋_GB2312" w:eastAsia="仿宋_GB2312"/>
          <w:sz w:val="32"/>
          <w:szCs w:val="32"/>
        </w:rPr>
      </w:pPr>
      <w:r>
        <w:rPr>
          <w:rFonts w:hint="eastAsia" w:ascii="仿宋_GB2312" w:eastAsia="仿宋_GB2312"/>
          <w:sz w:val="32"/>
          <w:szCs w:val="32"/>
        </w:rPr>
        <w:t>长期以来，民建柳州市委员会在民建广西区委和中共柳州市委的领导下，充分发扬民建在实践中形成的高举爱国主义和社会主义旗帜、坚持共产党的领导、坚持自我教育的三大优良传统，加强自身建设，积极参政议政，为柳州的建设做贡献。一方面不断加强思想建设，积极开展政治交接教育实践活动，继承和发扬老一辈民建领导人的优良传统和高尚风范，努力提高自身素质，切实加强组织建设，使组织凝聚力得到不断提高。另一方面，紧紧围绕柳州市经济建设中心，围绕社会热点、难点和重大问题积极开展调查研究，充分发挥参政议政、民主监督和社会服务的职能和作用，为促进柳州市经济、政治、文化和社会建设做出了积极贡献。目前，民建柳州市委编制8人，在职实有人数</w:t>
      </w:r>
      <w:r>
        <w:rPr>
          <w:rFonts w:hint="eastAsia" w:ascii="仿宋_GB2312" w:eastAsia="仿宋_GB2312"/>
          <w:sz w:val="32"/>
          <w:szCs w:val="32"/>
          <w:lang w:val="en-US" w:eastAsia="zh-CN"/>
        </w:rPr>
        <w:t>8</w:t>
      </w:r>
      <w:r>
        <w:rPr>
          <w:rFonts w:hint="eastAsia" w:ascii="仿宋_GB2312" w:eastAsia="仿宋_GB2312"/>
          <w:sz w:val="32"/>
          <w:szCs w:val="32"/>
        </w:rPr>
        <w:t>人，下设办公室、组织科、宣传科。</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年度，纳入本部门决算汇编范围的独立核算单位共1个，具体如下：</w:t>
      </w:r>
    </w:p>
    <w:p>
      <w:pPr>
        <w:ind w:firstLine="645"/>
        <w:rPr>
          <w:rFonts w:ascii="仿宋_GB2312" w:eastAsia="仿宋_GB2312"/>
          <w:sz w:val="32"/>
          <w:szCs w:val="32"/>
        </w:rPr>
      </w:pPr>
    </w:p>
    <w:tbl>
      <w:tblPr>
        <w:tblStyle w:val="5"/>
        <w:tblW w:w="0" w:type="auto"/>
        <w:jc w:val="center"/>
        <w:tblLayout w:type="autofit"/>
        <w:tblCellMar>
          <w:top w:w="0" w:type="dxa"/>
          <w:left w:w="0" w:type="dxa"/>
          <w:bottom w:w="0" w:type="dxa"/>
          <w:right w:w="0" w:type="dxa"/>
        </w:tblCellMar>
      </w:tblPr>
      <w:tblGrid>
        <w:gridCol w:w="2610"/>
        <w:gridCol w:w="3060"/>
        <w:gridCol w:w="2835"/>
      </w:tblGrid>
      <w:tr>
        <w:tblPrEx>
          <w:tblCellMar>
            <w:top w:w="0" w:type="dxa"/>
            <w:left w:w="0" w:type="dxa"/>
            <w:bottom w:w="0" w:type="dxa"/>
            <w:right w:w="0" w:type="dxa"/>
          </w:tblCellMar>
        </w:tblPrEx>
        <w:trPr>
          <w:jc w:val="center"/>
        </w:trPr>
        <w:tc>
          <w:tcPr>
            <w:tcW w:w="2610" w:type="dxa"/>
            <w:tcBorders>
              <w:top w:val="single" w:color="000000" w:sz="8" w:space="0"/>
              <w:left w:val="single" w:color="000000" w:sz="8" w:space="0"/>
              <w:bottom w:val="single" w:color="000000" w:sz="8" w:space="0"/>
              <w:right w:val="single" w:color="000000" w:sz="8" w:space="0"/>
            </w:tcBorders>
            <w:noWrap/>
            <w:vAlign w:val="center"/>
          </w:tcPr>
          <w:p>
            <w:pPr>
              <w:ind w:firstLine="645"/>
              <w:rPr>
                <w:rFonts w:ascii="仿宋_GB2312" w:eastAsia="仿宋_GB2312"/>
                <w:sz w:val="32"/>
                <w:szCs w:val="32"/>
              </w:rPr>
            </w:pPr>
            <w:r>
              <w:rPr>
                <w:rFonts w:hint="eastAsia" w:ascii="仿宋_GB2312" w:eastAsia="仿宋_GB2312"/>
                <w:sz w:val="32"/>
                <w:szCs w:val="32"/>
              </w:rPr>
              <w:t>单位名称</w:t>
            </w:r>
          </w:p>
        </w:tc>
        <w:tc>
          <w:tcPr>
            <w:tcW w:w="3060" w:type="dxa"/>
            <w:tcBorders>
              <w:top w:val="single" w:color="000000" w:sz="8" w:space="0"/>
              <w:left w:val="single" w:color="000000" w:sz="8" w:space="0"/>
              <w:bottom w:val="single" w:color="000000" w:sz="8" w:space="0"/>
              <w:right w:val="single" w:color="000000" w:sz="8" w:space="0"/>
            </w:tcBorders>
            <w:noWrap/>
          </w:tcPr>
          <w:p>
            <w:pPr>
              <w:jc w:val="center"/>
              <w:rPr>
                <w:rFonts w:ascii="仿宋_GB2312" w:eastAsia="仿宋_GB2312"/>
                <w:sz w:val="32"/>
                <w:szCs w:val="32"/>
              </w:rPr>
            </w:pPr>
            <w:r>
              <w:rPr>
                <w:rFonts w:hint="eastAsia" w:ascii="仿宋_GB2312" w:eastAsia="仿宋_GB2312"/>
                <w:sz w:val="32"/>
                <w:szCs w:val="32"/>
              </w:rPr>
              <w:t>单位基本性质</w:t>
            </w:r>
          </w:p>
          <w:p>
            <w:pPr>
              <w:jc w:val="center"/>
              <w:rPr>
                <w:rFonts w:ascii="仿宋_GB2312" w:eastAsia="仿宋_GB2312"/>
                <w:sz w:val="32"/>
                <w:szCs w:val="32"/>
              </w:rPr>
            </w:pPr>
            <w:r>
              <w:rPr>
                <w:rFonts w:hint="eastAsia" w:ascii="仿宋_GB2312" w:eastAsia="仿宋_GB2312"/>
                <w:sz w:val="32"/>
                <w:szCs w:val="32"/>
              </w:rPr>
              <w:t>（执行会计制度）</w:t>
            </w:r>
          </w:p>
        </w:tc>
        <w:tc>
          <w:tcPr>
            <w:tcW w:w="2835"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仿宋_GB2312" w:eastAsia="仿宋_GB2312"/>
                <w:sz w:val="32"/>
                <w:szCs w:val="32"/>
              </w:rPr>
            </w:pPr>
            <w:r>
              <w:rPr>
                <w:rFonts w:hint="eastAsia" w:ascii="仿宋_GB2312" w:eastAsia="仿宋_GB2312"/>
                <w:sz w:val="32"/>
                <w:szCs w:val="32"/>
              </w:rPr>
              <w:t>单位预算级次</w:t>
            </w:r>
          </w:p>
        </w:tc>
      </w:tr>
      <w:tr>
        <w:tblPrEx>
          <w:tblCellMar>
            <w:top w:w="0" w:type="dxa"/>
            <w:left w:w="0" w:type="dxa"/>
            <w:bottom w:w="0" w:type="dxa"/>
            <w:right w:w="0" w:type="dxa"/>
          </w:tblCellMar>
        </w:tblPrEx>
        <w:trPr>
          <w:jc w:val="center"/>
        </w:trPr>
        <w:tc>
          <w:tcPr>
            <w:tcW w:w="2610" w:type="dxa"/>
            <w:tcBorders>
              <w:top w:val="single" w:color="000000" w:sz="8" w:space="0"/>
              <w:left w:val="single" w:color="000000" w:sz="8" w:space="0"/>
              <w:bottom w:val="single" w:color="000000" w:sz="8" w:space="0"/>
              <w:right w:val="single" w:color="000000" w:sz="8" w:space="0"/>
            </w:tcBorders>
            <w:noWrap/>
          </w:tcPr>
          <w:p>
            <w:pPr>
              <w:jc w:val="center"/>
              <w:rPr>
                <w:rFonts w:ascii="仿宋_GB2312" w:eastAsia="仿宋_GB2312"/>
                <w:sz w:val="32"/>
                <w:szCs w:val="32"/>
              </w:rPr>
            </w:pPr>
            <w:r>
              <w:rPr>
                <w:rFonts w:hint="eastAsia" w:ascii="仿宋_GB2312" w:eastAsia="仿宋_GB2312"/>
                <w:sz w:val="32"/>
                <w:szCs w:val="32"/>
              </w:rPr>
              <w:t>中国民主建国会柳州市委员会</w:t>
            </w:r>
          </w:p>
        </w:tc>
        <w:tc>
          <w:tcPr>
            <w:tcW w:w="3060"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仿宋_GB2312" w:eastAsia="仿宋_GB2312"/>
                <w:sz w:val="32"/>
                <w:szCs w:val="32"/>
              </w:rPr>
            </w:pPr>
            <w:r>
              <w:rPr>
                <w:rFonts w:hint="eastAsia" w:ascii="仿宋_GB2312" w:hAnsi="仿宋_GB2312" w:eastAsia="仿宋_GB2312"/>
                <w:sz w:val="28"/>
              </w:rPr>
              <w:t>行政</w:t>
            </w:r>
          </w:p>
        </w:tc>
        <w:tc>
          <w:tcPr>
            <w:tcW w:w="2835" w:type="dxa"/>
            <w:tcBorders>
              <w:top w:val="single" w:color="000000" w:sz="8" w:space="0"/>
              <w:left w:val="single" w:color="000000" w:sz="8" w:space="0"/>
              <w:bottom w:val="single" w:color="000000" w:sz="8" w:space="0"/>
              <w:right w:val="single" w:color="000000" w:sz="8" w:space="0"/>
            </w:tcBorders>
            <w:noWrap/>
            <w:vAlign w:val="center"/>
          </w:tcPr>
          <w:p>
            <w:pPr>
              <w:jc w:val="center"/>
              <w:rPr>
                <w:rFonts w:ascii="仿宋_GB2312" w:eastAsia="仿宋_GB2312"/>
                <w:sz w:val="32"/>
                <w:szCs w:val="32"/>
              </w:rPr>
            </w:pPr>
            <w:r>
              <w:rPr>
                <w:rFonts w:hint="eastAsia" w:ascii="仿宋_GB2312" w:eastAsia="仿宋_GB2312"/>
                <w:sz w:val="32"/>
                <w:szCs w:val="32"/>
              </w:rPr>
              <w:t>一级预算单位</w:t>
            </w:r>
          </w:p>
        </w:tc>
      </w:tr>
    </w:tbl>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0"/>
        <w:rPr>
          <w:rFonts w:ascii="仿宋_GB2312" w:eastAsia="仿宋_GB2312"/>
          <w:kern w:val="2"/>
          <w:sz w:val="32"/>
          <w:szCs w:val="32"/>
          <w:lang w:val="en-US"/>
        </w:rPr>
      </w:pP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eastAsia="仿宋_GB2312"/>
          <w:kern w:val="2"/>
          <w:sz w:val="32"/>
          <w:szCs w:val="32"/>
          <w:lang w:val="en-US"/>
        </w:rPr>
      </w:pPr>
      <w:r>
        <w:rPr>
          <w:rFonts w:hint="eastAsia" w:ascii="仿宋_GB2312" w:eastAsia="仿宋_GB2312"/>
          <w:kern w:val="2"/>
          <w:sz w:val="32"/>
          <w:szCs w:val="32"/>
          <w:lang w:val="en-US"/>
        </w:rPr>
        <w:t>本年度机构和人员如下表：</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right="109" w:rightChars="52" w:firstLine="560"/>
        <w:jc w:val="right"/>
        <w:rPr>
          <w:rFonts w:ascii="仿宋_GB2312" w:eastAsia="仿宋_GB2312"/>
          <w:kern w:val="2"/>
          <w:sz w:val="32"/>
          <w:szCs w:val="32"/>
          <w:lang w:val="en-US"/>
        </w:rPr>
      </w:pPr>
      <w:r>
        <w:rPr>
          <w:rFonts w:hint="eastAsia" w:ascii="仿宋_GB2312" w:eastAsia="仿宋_GB2312"/>
          <w:kern w:val="2"/>
          <w:sz w:val="32"/>
          <w:szCs w:val="32"/>
          <w:lang w:val="en-US"/>
        </w:rPr>
        <w:t xml:space="preserve">                                 单位：人</w:t>
      </w:r>
    </w:p>
    <w:tbl>
      <w:tblPr>
        <w:tblStyle w:val="5"/>
        <w:tblW w:w="0" w:type="auto"/>
        <w:tblInd w:w="20" w:type="dxa"/>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20" w:type="dxa"/>
          <w:left w:w="20" w:type="dxa"/>
          <w:bottom w:w="0" w:type="dxa"/>
          <w:right w:w="20" w:type="dxa"/>
        </w:tblCellMar>
      </w:tblPr>
      <w:tblGrid>
        <w:gridCol w:w="2694"/>
        <w:gridCol w:w="747"/>
        <w:gridCol w:w="812"/>
        <w:gridCol w:w="1134"/>
        <w:gridCol w:w="992"/>
        <w:gridCol w:w="1199"/>
        <w:gridCol w:w="1208"/>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PrEx>
        <w:trPr>
          <w:cantSplit/>
          <w:trHeight w:val="735" w:hRule="atLeast"/>
        </w:trPr>
        <w:tc>
          <w:tcPr>
            <w:tcW w:w="2694"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项    目</w:t>
            </w:r>
          </w:p>
        </w:tc>
        <w:tc>
          <w:tcPr>
            <w:tcW w:w="747"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合计</w:t>
            </w:r>
          </w:p>
        </w:tc>
        <w:tc>
          <w:tcPr>
            <w:tcW w:w="812"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行政</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单位</w:t>
            </w:r>
          </w:p>
        </w:tc>
        <w:tc>
          <w:tcPr>
            <w:tcW w:w="2126" w:type="dxa"/>
            <w:gridSpan w:val="2"/>
            <w:tcBorders>
              <w:top w:val="single" w:color="auto" w:sz="4" w:space="0"/>
              <w:left w:val="nil"/>
              <w:bottom w:val="single" w:color="auto" w:sz="4" w:space="0"/>
              <w:right w:val="single" w:color="auto" w:sz="4" w:space="0"/>
            </w:tcBorders>
            <w:tcMar>
              <w:top w:w="0" w:type="dxa"/>
              <w:left w:w="0" w:type="dxa"/>
              <w:right w:w="0" w:type="dxa"/>
            </w:tcMar>
          </w:tcPr>
          <w:tbl>
            <w:tblPr>
              <w:tblStyle w:val="5"/>
              <w:tblW w:w="0" w:type="auto"/>
              <w:tblInd w:w="0" w:type="dxa"/>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fixed"/>
              <w:tblCellMar>
                <w:top w:w="20" w:type="dxa"/>
                <w:left w:w="20" w:type="dxa"/>
                <w:bottom w:w="0" w:type="dxa"/>
                <w:right w:w="20" w:type="dxa"/>
              </w:tblCellMar>
            </w:tblPr>
            <w:tblGrid>
              <w:gridCol w:w="1134"/>
              <w:gridCol w:w="992"/>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CellMar>
                  <w:top w:w="20" w:type="dxa"/>
                  <w:left w:w="20" w:type="dxa"/>
                  <w:bottom w:w="0" w:type="dxa"/>
                  <w:right w:w="20" w:type="dxa"/>
                </w:tblCellMar>
              </w:tblPrEx>
              <w:trPr>
                <w:cantSplit/>
                <w:trHeight w:val="735" w:hRule="atLeast"/>
              </w:trPr>
              <w:tc>
                <w:tcPr>
                  <w:tcW w:w="2126" w:type="dxa"/>
                  <w:gridSpan w:val="2"/>
                  <w:tcBorders>
                    <w:top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财政拨款事业单位</w:t>
                  </w:r>
                </w:p>
              </w:tc>
            </w:tr>
            <w:tr>
              <w:tblPrEx>
                <w:tblBorders>
                  <w:top w:val="single" w:color="auto" w:sz="4" w:space="0"/>
                  <w:left w:val="none" w:color="auto" w:sz="0" w:space="0"/>
                  <w:bottom w:val="none" w:color="auto" w:sz="0" w:space="0"/>
                  <w:right w:val="single" w:color="auto" w:sz="4" w:space="0"/>
                  <w:insideH w:val="none" w:color="auto" w:sz="0" w:space="0"/>
                  <w:insideV w:val="single" w:color="auto" w:sz="4" w:space="0"/>
                </w:tblBorders>
                <w:tblCellMar>
                  <w:top w:w="20" w:type="dxa"/>
                  <w:left w:w="20" w:type="dxa"/>
                  <w:bottom w:w="0" w:type="dxa"/>
                  <w:right w:w="20" w:type="dxa"/>
                </w:tblCellMar>
              </w:tblPrEx>
              <w:trPr>
                <w:cantSplit/>
                <w:trHeight w:val="1111" w:hRule="atLeast"/>
              </w:trPr>
              <w:tc>
                <w:tcPr>
                  <w:tcW w:w="1134" w:type="dxa"/>
                  <w:tcBorders>
                    <w:top w:val="single" w:color="auto" w:sz="4" w:space="0"/>
                    <w:left w:val="nil"/>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参公</w:t>
                  </w:r>
                </w:p>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管理</w:t>
                  </w:r>
                </w:p>
              </w:tc>
              <w:tc>
                <w:tcPr>
                  <w:tcW w:w="992" w:type="dxa"/>
                  <w:tcBorders>
                    <w:top w:val="single" w:color="auto" w:sz="4" w:space="0"/>
                    <w:left w:val="nil"/>
                    <w:bottom w:val="nil"/>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其他</w:t>
                  </w:r>
                </w:p>
              </w:tc>
            </w:tr>
          </w:tbl>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1199"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财政补助事业单位</w:t>
            </w:r>
          </w:p>
        </w:tc>
        <w:tc>
          <w:tcPr>
            <w:tcW w:w="1208"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编制数</w:t>
            </w:r>
          </w:p>
        </w:tc>
        <w:tc>
          <w:tcPr>
            <w:tcW w:w="747"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single" w:color="auto" w:sz="4" w:space="0"/>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实有人数</w:t>
            </w:r>
          </w:p>
        </w:tc>
        <w:tc>
          <w:tcPr>
            <w:tcW w:w="747"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sz w:val="28"/>
                <w:lang w:eastAsia="zh-CN"/>
              </w:rPr>
            </w:pPr>
            <w:r>
              <w:rPr>
                <w:rFonts w:hint="eastAsia" w:ascii="仿宋_GB2312" w:hAnsi="仿宋_GB2312" w:eastAsia="仿宋_GB2312"/>
                <w:sz w:val="28"/>
                <w:lang w:val="en-US" w:eastAsia="zh-CN"/>
              </w:rPr>
              <w:t>8</w:t>
            </w:r>
          </w:p>
        </w:tc>
        <w:tc>
          <w:tcPr>
            <w:tcW w:w="81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sz w:val="28"/>
                <w:lang w:val="en-US" w:eastAsia="zh-CN"/>
              </w:rPr>
            </w:pPr>
            <w:r>
              <w:rPr>
                <w:rFonts w:hint="eastAsia" w:ascii="仿宋_GB2312" w:hAnsi="仿宋_GB2312" w:eastAsia="仿宋_GB2312"/>
                <w:sz w:val="28"/>
                <w:lang w:val="en-US" w:eastAsia="zh-CN"/>
              </w:rPr>
              <w:t>8</w:t>
            </w:r>
          </w:p>
        </w:tc>
        <w:tc>
          <w:tcPr>
            <w:tcW w:w="1134"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在职人数</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sz w:val="28"/>
                <w:lang w:eastAsia="zh-CN"/>
              </w:rPr>
            </w:pPr>
            <w:r>
              <w:rPr>
                <w:rFonts w:hint="eastAsia" w:ascii="仿宋_GB2312" w:hAnsi="仿宋_GB2312" w:eastAsia="仿宋_GB2312"/>
                <w:sz w:val="28"/>
                <w:lang w:val="en-US" w:eastAsia="zh-CN"/>
              </w:rPr>
              <w:t>8</w:t>
            </w: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sz w:val="28"/>
                <w:lang w:eastAsia="zh-CN"/>
              </w:rPr>
            </w:pPr>
            <w:r>
              <w:rPr>
                <w:rFonts w:hint="eastAsia" w:ascii="仿宋_GB2312" w:hAnsi="仿宋_GB2312" w:eastAsia="仿宋_GB2312"/>
                <w:sz w:val="28"/>
                <w:lang w:val="en-US" w:eastAsia="zh-CN"/>
              </w:rPr>
              <w:t>8</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其中：在岗在编人数</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sz w:val="28"/>
                <w:lang w:eastAsia="zh-CN"/>
              </w:rPr>
            </w:pPr>
            <w:r>
              <w:rPr>
                <w:rFonts w:hint="eastAsia" w:ascii="仿宋_GB2312" w:hAnsi="仿宋_GB2312" w:eastAsia="仿宋_GB2312"/>
                <w:sz w:val="28"/>
                <w:lang w:val="en-US" w:eastAsia="zh-CN"/>
              </w:rPr>
              <w:t>8</w:t>
            </w: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sz w:val="28"/>
                <w:lang w:eastAsia="zh-CN"/>
              </w:rPr>
            </w:pPr>
            <w:r>
              <w:rPr>
                <w:rFonts w:hint="eastAsia" w:ascii="仿宋_GB2312" w:hAnsi="仿宋_GB2312" w:eastAsia="仿宋_GB2312"/>
                <w:sz w:val="28"/>
                <w:lang w:val="en-US" w:eastAsia="zh-CN"/>
              </w:rPr>
              <w:t>8</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在岗超编人数</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离退休人数</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hAnsi="仿宋_GB2312" w:eastAsia="仿宋_GB2312"/>
                <w:sz w:val="28"/>
              </w:rPr>
            </w:pPr>
            <w:r>
              <w:rPr>
                <w:rFonts w:hint="eastAsia" w:ascii="仿宋_GB2312" w:hAnsi="仿宋_GB2312" w:eastAsia="仿宋_GB2312"/>
                <w:sz w:val="28"/>
              </w:rPr>
              <w:t>5</w:t>
            </w: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hAnsi="仿宋_GB2312" w:eastAsia="仿宋_GB2312"/>
                <w:sz w:val="28"/>
              </w:rPr>
            </w:pPr>
            <w:r>
              <w:rPr>
                <w:rFonts w:hint="eastAsia" w:ascii="仿宋_GB2312" w:hAnsi="仿宋_GB2312" w:eastAsia="仿宋_GB2312"/>
                <w:sz w:val="28"/>
              </w:rPr>
              <w:t>5</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其中：离休人数</w:t>
            </w:r>
          </w:p>
        </w:tc>
        <w:tc>
          <w:tcPr>
            <w:tcW w:w="747"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退休人数</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hAnsi="仿宋_GB2312" w:eastAsia="仿宋_GB2312"/>
                <w:sz w:val="28"/>
              </w:rPr>
            </w:pPr>
            <w:r>
              <w:rPr>
                <w:rFonts w:hint="eastAsia" w:ascii="仿宋_GB2312" w:hAnsi="仿宋_GB2312" w:eastAsia="仿宋_GB2312"/>
                <w:sz w:val="28"/>
              </w:rPr>
              <w:t>5</w:t>
            </w: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仿宋_GB2312" w:hAnsi="仿宋_GB2312" w:eastAsia="仿宋_GB2312"/>
                <w:sz w:val="28"/>
              </w:rPr>
            </w:pPr>
            <w:r>
              <w:rPr>
                <w:rFonts w:hint="eastAsia" w:ascii="仿宋_GB2312" w:hAnsi="仿宋_GB2312" w:eastAsia="仿宋_GB2312"/>
                <w:sz w:val="28"/>
              </w:rPr>
              <w:t>5</w:t>
            </w: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1400" w:firstLineChars="500"/>
              <w:rPr>
                <w:rFonts w:ascii="仿宋_GB2312" w:hAnsi="仿宋_GB2312" w:eastAsia="仿宋_GB2312"/>
                <w:sz w:val="28"/>
              </w:rPr>
            </w:pPr>
            <w:r>
              <w:rPr>
                <w:rFonts w:ascii="仿宋_GB2312" w:hAnsi="仿宋_GB2312" w:eastAsia="仿宋_GB2312"/>
                <w:sz w:val="28"/>
              </w:rPr>
              <w:t>遗属</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编外长期聘用人员</w:t>
            </w:r>
          </w:p>
        </w:tc>
        <w:tc>
          <w:tcPr>
            <w:tcW w:w="747"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bl>
    <w:p>
      <w:pPr>
        <w:ind w:firstLine="0"/>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中国民主建国会柳州市委员会</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firstLine="440" w:firstLineChars="200"/>
      </w:pPr>
      <w:r>
        <w:rPr>
          <w:rFonts w:hint="eastAsia"/>
          <w:sz w:val="22"/>
          <w:szCs w:val="22"/>
        </w:rPr>
        <w:t xml:space="preserve">                   </w:t>
      </w:r>
    </w:p>
    <w:p>
      <w:pPr>
        <w:ind w:firstLine="640" w:firstLineChars="200"/>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(此部分另附表格，详见附件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000000"/>
          <w:sz w:val="32"/>
          <w:szCs w:val="32"/>
          <w:u w:val="none"/>
        </w:rPr>
        <w:t>中国民主建国会柳州市委员会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年度部门决算公开表)</w:t>
      </w:r>
    </w:p>
    <w:p>
      <w:pPr>
        <w:spacing w:line="58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中国民主建国会柳州市委员会</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191.62</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185.9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13.89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6.76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bookmarkStart w:id="0" w:name="_GoBack"/>
      <w:bookmarkEnd w:id="0"/>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185.9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19.61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9.54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：经费压减。</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bCs/>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bCs/>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5.72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5.72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val="en-US" w:eastAsia="zh-CN"/>
        </w:rPr>
        <w:t>2020</w:t>
      </w:r>
      <w:r>
        <w:rPr>
          <w:rFonts w:hint="eastAsia" w:ascii="仿宋_GB2312" w:eastAsia="仿宋_GB2312" w:cs="仿宋_GB2312"/>
          <w:kern w:val="0"/>
          <w:sz w:val="32"/>
          <w:szCs w:val="32"/>
        </w:rPr>
        <w:t>年度支出预算因客观条件变化未执行完毕、结转到</w:t>
      </w:r>
      <w:r>
        <w:rPr>
          <w:rFonts w:hint="eastAsia" w:ascii="仿宋_GB2312" w:eastAsia="仿宋_GB2312" w:cs="仿宋_GB2312"/>
          <w:kern w:val="0"/>
          <w:sz w:val="32"/>
          <w:szCs w:val="32"/>
          <w:lang w:val="en-US" w:eastAsia="zh-CN"/>
        </w:rPr>
        <w:t>2021年度。</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191.62</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191.62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13.89</w:t>
      </w:r>
      <w:r>
        <w:rPr>
          <w:rFonts w:hint="eastAsia" w:ascii="仿宋_GB2312" w:hAnsi="黑体" w:eastAsia="仿宋_GB2312" w:cs="仿宋_GB2312"/>
          <w:kern w:val="0"/>
          <w:sz w:val="32"/>
          <w:szCs w:val="32"/>
        </w:rPr>
        <w:t>万元，下</w:t>
      </w:r>
      <w:r>
        <w:rPr>
          <w:rFonts w:hint="eastAsia" w:ascii="仿宋_GB2312" w:hAnsi="黑体" w:eastAsia="仿宋_GB2312" w:cs="仿宋_GB2312"/>
          <w:kern w:val="0"/>
          <w:sz w:val="32"/>
          <w:szCs w:val="32"/>
          <w:lang w:eastAsia="zh-CN"/>
        </w:rPr>
        <w:t>降</w:t>
      </w:r>
      <w:r>
        <w:rPr>
          <w:rFonts w:hint="eastAsia" w:ascii="仿宋_GB2312" w:hAnsi="黑体" w:eastAsia="仿宋_GB2312" w:cs="仿宋_GB2312"/>
          <w:kern w:val="0"/>
          <w:sz w:val="32"/>
          <w:szCs w:val="32"/>
          <w:lang w:val="en-US" w:eastAsia="zh-CN"/>
        </w:rPr>
        <w:t>6.76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147.75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行政运行、参政议政，</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9.27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：经费压减。</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24.33</w:t>
      </w:r>
      <w:r>
        <w:rPr>
          <w:rFonts w:hint="eastAsia" w:ascii="仿宋_GB2312" w:eastAsia="仿宋_GB2312" w:cs="仿宋_GB2312"/>
          <w:kern w:val="0"/>
          <w:sz w:val="32"/>
          <w:szCs w:val="32"/>
        </w:rPr>
        <w:t>万元：主要用于行政单位离退休</w:t>
      </w:r>
      <w:r>
        <w:rPr>
          <w:rFonts w:hint="eastAsia" w:ascii="仿宋_GB2312" w:eastAsia="仿宋_GB2312" w:cs="仿宋_GB2312"/>
          <w:kern w:val="0"/>
          <w:sz w:val="32"/>
          <w:szCs w:val="32"/>
          <w:lang w:eastAsia="zh-CN"/>
        </w:rPr>
        <w:t>、机关事业单位基本养老保险缴费支出、机关事业单位职业年金缴费支出，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2.56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经费压减。</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.卫生健康支出</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万元：主要用于行政单位医疗</w:t>
      </w:r>
      <w:r>
        <w:rPr>
          <w:rFonts w:hint="eastAsia" w:ascii="仿宋_GB2312" w:eastAsia="仿宋_GB2312" w:cs="仿宋_GB2312"/>
          <w:kern w:val="0"/>
          <w:sz w:val="32"/>
          <w:szCs w:val="32"/>
          <w:lang w:eastAsia="zh-CN"/>
        </w:rPr>
        <w:t>、公务员医疗补助，</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经费压减。</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9.54</w:t>
      </w:r>
      <w:r>
        <w:rPr>
          <w:rFonts w:hint="eastAsia" w:ascii="仿宋_GB2312" w:eastAsia="仿宋_GB2312" w:cs="仿宋_GB2312"/>
          <w:kern w:val="0"/>
          <w:sz w:val="32"/>
          <w:szCs w:val="32"/>
        </w:rPr>
        <w:t>万元：主要用于住房公积金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0.42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4.22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经费压减。</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191.62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13.89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6.76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162.42</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29.21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147.22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191.62</w:t>
      </w:r>
      <w:r>
        <w:rPr>
          <w:rFonts w:hint="eastAsia" w:ascii="仿宋_GB2312" w:hAnsi="黑体" w:eastAsia="仿宋_GB2312" w:cs="仿宋_GB2312"/>
          <w:kern w:val="0"/>
          <w:sz w:val="32"/>
          <w:szCs w:val="32"/>
        </w:rPr>
        <w:t>万元，完成年初预</w:t>
      </w:r>
      <w:r>
        <w:rPr>
          <w:rFonts w:hint="eastAsia" w:ascii="仿宋_GB2312" w:hAnsi="黑体" w:eastAsia="仿宋_GB2312" w:cs="仿宋_GB2312"/>
          <w:kern w:val="0"/>
          <w:sz w:val="32"/>
          <w:szCs w:val="32"/>
          <w:lang w:eastAsia="zh-CN"/>
        </w:rPr>
        <w:t>算</w:t>
      </w:r>
      <w:r>
        <w:rPr>
          <w:rFonts w:hint="eastAsia" w:ascii="仿宋_GB2312" w:hAnsi="黑体" w:eastAsia="仿宋_GB2312" w:cs="仿宋_GB2312"/>
          <w:kern w:val="0"/>
          <w:sz w:val="32"/>
          <w:szCs w:val="32"/>
        </w:rPr>
        <w:t>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hAnsi="黑体" w:eastAsia="仿宋_GB2312" w:cs="仿宋_GB2312"/>
          <w:bCs w:val="0"/>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（类）民主党派及工商联事务（款）行政运行（项）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84.05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118.54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主要原因是年中追加安排财政拨款支出预算，涉及项目有补发20</w:t>
      </w:r>
      <w:r>
        <w:rPr>
          <w:rFonts w:hint="eastAsia" w:ascii="仿宋_GB2312" w:hAnsi="黑体" w:eastAsia="仿宋_GB2312" w:cs="仿宋_GB2312"/>
          <w:b w:val="0"/>
          <w:bCs w:val="0"/>
          <w:kern w:val="0"/>
          <w:sz w:val="32"/>
          <w:szCs w:val="32"/>
          <w:lang w:val="en-US" w:eastAsia="zh-CN"/>
        </w:rPr>
        <w:t>20</w:t>
      </w:r>
      <w:r>
        <w:rPr>
          <w:rFonts w:hint="eastAsia" w:ascii="仿宋_GB2312" w:hAnsi="黑体" w:eastAsia="仿宋_GB2312" w:cs="仿宋_GB2312"/>
          <w:b w:val="0"/>
          <w:bCs w:val="0"/>
          <w:kern w:val="0"/>
          <w:sz w:val="32"/>
          <w:szCs w:val="32"/>
        </w:rPr>
        <w:t>年度绩效考评奖励、预发202</w:t>
      </w:r>
      <w:r>
        <w:rPr>
          <w:rFonts w:hint="eastAsia" w:ascii="仿宋_GB2312" w:hAnsi="黑体" w:eastAsia="仿宋_GB2312" w:cs="仿宋_GB2312"/>
          <w:b w:val="0"/>
          <w:bCs w:val="0"/>
          <w:kern w:val="0"/>
          <w:sz w:val="32"/>
          <w:szCs w:val="32"/>
          <w:lang w:val="en-US" w:eastAsia="zh-CN"/>
        </w:rPr>
        <w:t>1</w:t>
      </w:r>
      <w:r>
        <w:rPr>
          <w:rFonts w:hint="eastAsia" w:ascii="仿宋_GB2312" w:hAnsi="黑体" w:eastAsia="仿宋_GB2312" w:cs="仿宋_GB2312"/>
          <w:b w:val="0"/>
          <w:bCs w:val="0"/>
          <w:kern w:val="0"/>
          <w:sz w:val="32"/>
          <w:szCs w:val="32"/>
        </w:rPr>
        <w:t>年度绩效考评奖励（增补）、预发202</w:t>
      </w:r>
      <w:r>
        <w:rPr>
          <w:rFonts w:hint="eastAsia" w:ascii="仿宋_GB2312" w:hAnsi="黑体" w:eastAsia="仿宋_GB2312" w:cs="仿宋_GB2312"/>
          <w:b w:val="0"/>
          <w:bCs w:val="0"/>
          <w:kern w:val="0"/>
          <w:sz w:val="32"/>
          <w:szCs w:val="32"/>
          <w:lang w:val="en-US" w:eastAsia="zh-CN"/>
        </w:rPr>
        <w:t>1</w:t>
      </w:r>
      <w:r>
        <w:rPr>
          <w:rFonts w:hint="eastAsia" w:ascii="仿宋_GB2312" w:hAnsi="黑体" w:eastAsia="仿宋_GB2312" w:cs="仿宋_GB2312"/>
          <w:b w:val="0"/>
          <w:bCs w:val="0"/>
          <w:kern w:val="0"/>
          <w:sz w:val="32"/>
          <w:szCs w:val="32"/>
        </w:rPr>
        <w:t>年度绩效考评奖励（补差）、20</w:t>
      </w:r>
      <w:r>
        <w:rPr>
          <w:rFonts w:hint="eastAsia" w:ascii="仿宋_GB2312" w:hAnsi="黑体" w:eastAsia="仿宋_GB2312" w:cs="仿宋_GB2312"/>
          <w:b w:val="0"/>
          <w:bCs w:val="0"/>
          <w:kern w:val="0"/>
          <w:sz w:val="32"/>
          <w:szCs w:val="32"/>
          <w:lang w:val="en-US" w:eastAsia="zh-CN"/>
        </w:rPr>
        <w:t>20</w:t>
      </w:r>
      <w:r>
        <w:rPr>
          <w:rFonts w:hint="eastAsia" w:ascii="仿宋_GB2312" w:hAnsi="黑体" w:eastAsia="仿宋_GB2312" w:cs="仿宋_GB2312"/>
          <w:b w:val="0"/>
          <w:bCs w:val="0"/>
          <w:kern w:val="0"/>
          <w:sz w:val="32"/>
          <w:szCs w:val="32"/>
        </w:rPr>
        <w:t>年度考核优秀奖励</w:t>
      </w:r>
      <w:r>
        <w:rPr>
          <w:rFonts w:hint="eastAsia" w:ascii="仿宋_GB2312" w:hAnsi="黑体" w:eastAsia="仿宋_GB2312" w:cs="仿宋_GB2312"/>
          <w:b w:val="0"/>
          <w:bCs w:val="0"/>
          <w:kern w:val="0"/>
          <w:sz w:val="32"/>
          <w:szCs w:val="32"/>
          <w:lang w:eastAsia="zh-CN"/>
        </w:rPr>
        <w:t>、下达2021年柳州市本级机关事业单位职工福利费、下达2021年关事业单位伙食补助费、下达2021年考核优秀、下达公务交通补贴等</w:t>
      </w:r>
      <w:r>
        <w:rPr>
          <w:rFonts w:hint="eastAsia" w:ascii="仿宋_GB2312" w:hAnsi="黑体" w:eastAsia="仿宋_GB2312" w:cs="仿宋_GB2312"/>
          <w:b w:val="0"/>
          <w:bCs w:val="0"/>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一般公共服务支出（类）民主党派及工商联事务（款）参政议政（项）。年初预算为</w:t>
      </w:r>
      <w:r>
        <w:rPr>
          <w:rFonts w:hint="eastAsia" w:ascii="仿宋_GB2312" w:eastAsia="仿宋_GB2312" w:cs="仿宋_GB2312"/>
          <w:bCs/>
          <w:kern w:val="0"/>
          <w:sz w:val="32"/>
          <w:szCs w:val="32"/>
          <w:lang w:val="en-US" w:eastAsia="zh-CN"/>
        </w:rPr>
        <w:t>21.38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29.21</w:t>
      </w:r>
      <w:r>
        <w:rPr>
          <w:rFonts w:hint="eastAsia" w:ascii="仿宋_GB2312" w:eastAsia="仿宋_GB2312" w:cs="仿宋_GB2312"/>
          <w:bCs/>
          <w:kern w:val="0"/>
          <w:sz w:val="32"/>
          <w:szCs w:val="32"/>
        </w:rPr>
        <w:t>万元，完成年初预算的100%。主要原因是2020年度支出预算因客观条件变化未执行完毕、结转到2021年度</w:t>
      </w:r>
      <w:r>
        <w:rPr>
          <w:rFonts w:hint="eastAsia" w:ascii="仿宋_GB2312" w:eastAsia="仿宋_GB2312" w:cs="仿宋_GB2312"/>
          <w:bCs/>
          <w:kern w:val="0"/>
          <w:sz w:val="32"/>
          <w:szCs w:val="32"/>
          <w:lang w:eastAsia="zh-CN"/>
        </w:rPr>
        <w:t>，下达2021年机关事业单位培训预算</w:t>
      </w:r>
      <w:r>
        <w:rPr>
          <w:rFonts w:hint="eastAsia" w:ascii="仿宋_GB2312" w:eastAsia="仿宋_GB2312" w:cs="仿宋_GB2312"/>
          <w:bCs/>
          <w:kern w:val="0"/>
          <w:sz w:val="32"/>
          <w:szCs w:val="32"/>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社会保障和就业支出（类）行政事业单位养老支出（款）行政单位离退休（项）。年初预算为</w:t>
      </w:r>
      <w:r>
        <w:rPr>
          <w:rFonts w:hint="eastAsia" w:ascii="仿宋_GB2312" w:eastAsia="仿宋_GB2312" w:cs="仿宋_GB2312"/>
          <w:kern w:val="0"/>
          <w:sz w:val="32"/>
          <w:szCs w:val="32"/>
          <w:lang w:val="en-US" w:eastAsia="zh-CN"/>
        </w:rPr>
        <w:t>4.66</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5.26</w:t>
      </w:r>
      <w:r>
        <w:rPr>
          <w:rFonts w:hint="eastAsia" w:ascii="仿宋_GB2312" w:eastAsia="仿宋_GB2312" w:cs="仿宋_GB2312"/>
          <w:kern w:val="0"/>
          <w:sz w:val="32"/>
          <w:szCs w:val="32"/>
        </w:rPr>
        <w:t>万元，完成年初预算的100%。主要原因是</w:t>
      </w:r>
      <w:r>
        <w:rPr>
          <w:rFonts w:hint="eastAsia" w:ascii="仿宋_GB2312" w:eastAsia="仿宋_GB2312" w:cs="仿宋_GB2312"/>
          <w:kern w:val="0"/>
          <w:sz w:val="32"/>
          <w:szCs w:val="32"/>
          <w:lang w:eastAsia="zh-CN"/>
        </w:rPr>
        <w:t>下达</w:t>
      </w:r>
      <w:r>
        <w:rPr>
          <w:rFonts w:hint="eastAsia" w:ascii="仿宋_GB2312" w:eastAsia="仿宋_GB2312" w:cs="仿宋_GB2312"/>
          <w:kern w:val="0"/>
          <w:sz w:val="32"/>
          <w:szCs w:val="32"/>
        </w:rPr>
        <w:t>2021年退休干部春节慰问金补差。</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hint="eastAsia" w:ascii="仿宋_GB2312" w:eastAsia="仿宋_GB2312" w:cs="仿宋_GB2312"/>
          <w:kern w:val="0"/>
          <w:sz w:val="32"/>
          <w:szCs w:val="32"/>
          <w:lang w:val="en-US" w:eastAsia="zh-CN"/>
        </w:rPr>
        <w:t>12.72</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12.72</w:t>
      </w:r>
      <w:r>
        <w:rPr>
          <w:rFonts w:hint="eastAsia" w:ascii="仿宋_GB2312" w:eastAsia="仿宋_GB2312" w:cs="仿宋_GB2312"/>
          <w:kern w:val="0"/>
          <w:sz w:val="32"/>
          <w:szCs w:val="32"/>
        </w:rPr>
        <w:t>万元，完成年初预算的100%。决算数与</w:t>
      </w:r>
      <w:r>
        <w:rPr>
          <w:rFonts w:hint="eastAsia" w:ascii="仿宋_GB2312" w:eastAsia="仿宋_GB2312" w:cs="仿宋_GB2312"/>
          <w:kern w:val="0"/>
          <w:sz w:val="32"/>
          <w:szCs w:val="32"/>
          <w:lang w:eastAsia="zh-CN"/>
        </w:rPr>
        <w:t>年初</w:t>
      </w:r>
      <w:r>
        <w:rPr>
          <w:rFonts w:hint="eastAsia" w:ascii="仿宋_GB2312" w:eastAsia="仿宋_GB2312" w:cs="仿宋_GB2312"/>
          <w:kern w:val="0"/>
          <w:sz w:val="32"/>
          <w:szCs w:val="32"/>
        </w:rPr>
        <w:t>预算数无差异。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）社会保障和就业支出（类）行政事业单位养老支出（款）机关事业单位职业年金缴费支出（项）。年初预算为</w:t>
      </w:r>
      <w:r>
        <w:rPr>
          <w:rFonts w:hint="eastAsia" w:ascii="仿宋_GB2312" w:eastAsia="仿宋_GB2312" w:cs="仿宋_GB2312"/>
          <w:kern w:val="0"/>
          <w:sz w:val="32"/>
          <w:szCs w:val="32"/>
          <w:lang w:val="en-US" w:eastAsia="zh-CN"/>
        </w:rPr>
        <w:t>6.36</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6.36</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）卫生健康支出（类）行政事业单位医疗（款）行政单位医疗（项）。年初预算为</w:t>
      </w:r>
      <w:r>
        <w:rPr>
          <w:rFonts w:hint="eastAsia" w:ascii="仿宋_GB2312" w:eastAsia="仿宋_GB2312" w:cs="仿宋_GB2312"/>
          <w:kern w:val="0"/>
          <w:sz w:val="32"/>
          <w:szCs w:val="32"/>
          <w:lang w:val="en-US" w:eastAsia="zh-CN"/>
        </w:rPr>
        <w:t>6.2</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6.2</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七</w:t>
      </w:r>
      <w:r>
        <w:rPr>
          <w:rFonts w:hint="eastAsia" w:ascii="仿宋_GB2312" w:eastAsia="仿宋_GB2312" w:cs="仿宋_GB2312"/>
          <w:kern w:val="0"/>
          <w:sz w:val="32"/>
          <w:szCs w:val="32"/>
        </w:rPr>
        <w:t>）卫生健康支出（类）行政事业单位医疗（款）公务员医疗补助（项）。年初预算为</w:t>
      </w:r>
      <w:r>
        <w:rPr>
          <w:rFonts w:hint="eastAsia" w:ascii="仿宋_GB2312" w:eastAsia="仿宋_GB2312" w:cs="仿宋_GB2312"/>
          <w:kern w:val="0"/>
          <w:sz w:val="32"/>
          <w:szCs w:val="32"/>
          <w:lang w:val="en-US" w:eastAsia="zh-CN"/>
        </w:rPr>
        <w:t>2.32</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3.8</w:t>
      </w:r>
      <w:r>
        <w:rPr>
          <w:rFonts w:hint="eastAsia" w:ascii="仿宋_GB2312" w:eastAsia="仿宋_GB2312" w:cs="仿宋_GB2312"/>
          <w:kern w:val="0"/>
          <w:sz w:val="32"/>
          <w:szCs w:val="32"/>
        </w:rPr>
        <w:t>万元，完成年初预算的100%。主要原因是</w:t>
      </w:r>
      <w:r>
        <w:rPr>
          <w:rFonts w:hint="eastAsia" w:ascii="仿宋_GB2312" w:eastAsia="仿宋_GB2312" w:cs="仿宋_GB2312"/>
          <w:kern w:val="0"/>
          <w:sz w:val="32"/>
          <w:szCs w:val="32"/>
          <w:lang w:eastAsia="zh-CN"/>
        </w:rPr>
        <w:t>下达</w:t>
      </w:r>
      <w:r>
        <w:rPr>
          <w:rFonts w:hint="eastAsia" w:ascii="仿宋_GB2312" w:eastAsia="仿宋_GB2312" w:cs="仿宋_GB2312"/>
          <w:kern w:val="0"/>
          <w:sz w:val="32"/>
          <w:szCs w:val="32"/>
        </w:rPr>
        <w:t>2021年下半年公务员医疗补助差额。</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）住房保障支出（类）住房改革支出（款）住房公积金（项）。年初预算为</w:t>
      </w:r>
      <w:r>
        <w:rPr>
          <w:rFonts w:hint="eastAsia" w:ascii="仿宋_GB2312" w:eastAsia="仿宋_GB2312" w:cs="仿宋_GB2312"/>
          <w:kern w:val="0"/>
          <w:sz w:val="32"/>
          <w:szCs w:val="32"/>
          <w:lang w:val="en-US" w:eastAsia="zh-CN"/>
        </w:rPr>
        <w:t>9.54</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9.54</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w:t>
      </w:r>
      <w:r>
        <w:rPr>
          <w:rFonts w:hint="eastAsia" w:ascii="仿宋_GB2312" w:eastAsia="仿宋_GB2312" w:cs="仿宋_GB2312"/>
          <w:kern w:val="0"/>
          <w:sz w:val="32"/>
          <w:szCs w:val="32"/>
          <w:lang w:eastAsia="zh-CN"/>
        </w:rPr>
        <w:t>出</w:t>
      </w:r>
      <w:r>
        <w:rPr>
          <w:rFonts w:hint="eastAsia" w:ascii="仿宋_GB2312" w:eastAsia="仿宋_GB2312" w:cs="仿宋_GB2312"/>
          <w:kern w:val="0"/>
          <w:sz w:val="32"/>
          <w:szCs w:val="32"/>
          <w:lang w:val="en-US" w:eastAsia="zh-CN"/>
        </w:rPr>
        <w:t>162.42万</w:t>
      </w:r>
      <w:r>
        <w:rPr>
          <w:rFonts w:hint="eastAsia" w:ascii="仿宋_GB2312" w:eastAsia="仿宋_GB2312" w:cs="仿宋_GB2312"/>
          <w:kern w:val="0"/>
          <w:sz w:val="32"/>
          <w:szCs w:val="32"/>
        </w:rPr>
        <w:t>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135.86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决算数大于预算数的主要原因是年中追加安排财政拨款支出预算，涉及项目有补发2020年度绩效考评奖励、预发2021年度绩效考评奖励（增补）、预发2021年度绩效考评奖励（补差）、2020年度考核优秀奖励、下达2021年关事业单位伙食补助费、下达2021年考核优秀</w:t>
      </w:r>
      <w:r>
        <w:rPr>
          <w:rFonts w:hint="eastAsia" w:ascii="仿宋_GB2312" w:eastAsia="仿宋_GB2312"/>
          <w:bCs/>
          <w:kern w:val="0"/>
          <w:sz w:val="32"/>
          <w:szCs w:val="32"/>
          <w:lang w:eastAsia="zh-CN"/>
        </w:rPr>
        <w:t>、下达2021年下半年公务员医疗补助差额</w:t>
      </w:r>
      <w:r>
        <w:rPr>
          <w:rFonts w:hint="eastAsia" w:ascii="仿宋_GB2312" w:eastAsia="仿宋_GB2312"/>
          <w:bCs/>
          <w:kern w:val="0"/>
          <w:sz w:val="32"/>
          <w:szCs w:val="32"/>
        </w:rPr>
        <w:t>等。</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22.55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%。决算数大于预算数的主要原因是年中追加安排财政拨款支出预算，涉及项目有下达2021年柳州市本级机关事业单位职工福利费、</w:t>
      </w:r>
      <w:r>
        <w:rPr>
          <w:rFonts w:hint="eastAsia" w:ascii="仿宋_GB2312" w:eastAsia="仿宋_GB2312"/>
          <w:bCs/>
          <w:kern w:val="0"/>
          <w:sz w:val="32"/>
          <w:szCs w:val="32"/>
          <w:lang w:eastAsia="zh-CN"/>
        </w:rPr>
        <w:t>下达</w:t>
      </w:r>
      <w:r>
        <w:rPr>
          <w:rFonts w:hint="eastAsia" w:ascii="仿宋_GB2312" w:eastAsia="仿宋_GB2312"/>
          <w:bCs/>
          <w:kern w:val="0"/>
          <w:sz w:val="32"/>
          <w:szCs w:val="32"/>
        </w:rPr>
        <w:t>公务交通补贴</w:t>
      </w:r>
      <w:r>
        <w:rPr>
          <w:rFonts w:hint="eastAsia" w:ascii="仿宋_GB2312" w:eastAsia="仿宋_GB2312"/>
          <w:bCs/>
          <w:kern w:val="0"/>
          <w:sz w:val="32"/>
          <w:szCs w:val="32"/>
          <w:lang w:eastAsia="zh-CN"/>
        </w:rPr>
        <w:t>等。</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kern w:val="0"/>
          <w:sz w:val="32"/>
          <w:szCs w:val="32"/>
        </w:rPr>
        <w:t xml:space="preserve"> </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）对个人和家庭的补助</w:t>
      </w:r>
      <w:r>
        <w:rPr>
          <w:rFonts w:hint="eastAsia" w:ascii="仿宋_GB2312" w:eastAsia="仿宋_GB2312" w:cs="仿宋_GB2312"/>
          <w:kern w:val="0"/>
          <w:sz w:val="32"/>
          <w:szCs w:val="32"/>
          <w:lang w:val="en-US" w:eastAsia="zh-CN"/>
        </w:rPr>
        <w:t>4.01</w:t>
      </w:r>
      <w:r>
        <w:rPr>
          <w:rFonts w:hint="eastAsia" w:ascii="仿宋_GB2312" w:eastAsia="仿宋_GB2312" w:cs="仿宋_GB2312"/>
          <w:kern w:val="0"/>
          <w:sz w:val="32"/>
          <w:szCs w:val="32"/>
        </w:rPr>
        <w:t>万元，完成年初预算的100%。决算数与年初预算数无差异。</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中国民主建国会柳州市委员会202</w:t>
      </w:r>
      <w:r>
        <w:rPr>
          <w:rFonts w:hint="eastAsia" w:ascii="仿宋_GB2312" w:eastAsia="仿宋_GB2312" w:cs="仿宋_GB2312"/>
          <w:b w:val="0"/>
          <w:bCs/>
          <w:kern w:val="0"/>
          <w:sz w:val="32"/>
          <w:szCs w:val="32"/>
          <w:lang w:val="en-US" w:eastAsia="zh-CN"/>
        </w:rPr>
        <w:t>1</w:t>
      </w:r>
      <w:r>
        <w:rPr>
          <w:rFonts w:hint="eastAsia" w:ascii="仿宋_GB2312" w:eastAsia="仿宋_GB2312" w:cs="仿宋_GB2312"/>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Times New Roman"/>
          <w:b w:val="0"/>
          <w:bCs/>
          <w:kern w:val="0"/>
          <w:sz w:val="32"/>
          <w:szCs w:val="32"/>
        </w:rPr>
        <w:t>中国民主建国会柳州市委员会202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w:t>
      </w:r>
      <w:r>
        <w:rPr>
          <w:rFonts w:hint="eastAsia" w:ascii="仿宋_GB2312" w:eastAsia="仿宋_GB2312"/>
          <w:b w:val="0"/>
          <w:bCs/>
          <w:kern w:val="0"/>
          <w:sz w:val="32"/>
          <w:szCs w:val="32"/>
        </w:rPr>
        <w:t>国有资本经营预算财政拨款</w:t>
      </w:r>
      <w:r>
        <w:rPr>
          <w:rFonts w:hint="eastAsia" w:ascii="仿宋_GB2312" w:eastAsia="仿宋_GB2312" w:cs="Times New Roman"/>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Times New Roman"/>
          <w:b w:val="0"/>
          <w:bCs/>
          <w:kern w:val="0"/>
          <w:sz w:val="32"/>
          <w:szCs w:val="32"/>
        </w:rPr>
        <w:t>的支出，故无数据情况说明</w:t>
      </w:r>
      <w:r>
        <w:rPr>
          <w:rFonts w:hint="eastAsia" w:ascii="仿宋_GB2312" w:eastAsia="仿宋_GB2312" w:cs="Times New Roman"/>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经费压减</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万元，原因是经费压减。国内公务接待批次</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 xml:space="preserve"> 次，人次</w:t>
      </w:r>
      <w:r>
        <w:rPr>
          <w:rFonts w:hint="eastAsia" w:ascii="仿宋_GB2312" w:eastAsia="仿宋_GB2312" w:cs="仿宋_GB2312"/>
          <w:kern w:val="0"/>
          <w:sz w:val="32"/>
          <w:szCs w:val="32"/>
          <w:lang w:val="en-US" w:eastAsia="zh-CN"/>
        </w:rPr>
        <w:t>35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22.55</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2.87</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13</w:t>
      </w:r>
      <w:r>
        <w:rPr>
          <w:rFonts w:hint="eastAsia" w:ascii="仿宋_GB2312" w:eastAsia="仿宋_GB2312" w:cs="仿宋_GB2312"/>
          <w:kern w:val="0"/>
          <w:sz w:val="32"/>
          <w:szCs w:val="32"/>
        </w:rPr>
        <w:t>%。主要原因是：年中追加安排财政拨款支出预算，涉及项目有下达2021年柳州市本级机关事业单位职工福利费、下达公务交通补贴等。</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191.62</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0万</w:t>
      </w:r>
      <w:r>
        <w:rPr>
          <w:rFonts w:hint="eastAsia" w:ascii="仿宋_GB2312" w:eastAsia="仿宋_GB2312" w:cs="仿宋_GB2312"/>
          <w:kern w:val="0"/>
          <w:sz w:val="32"/>
          <w:szCs w:val="32"/>
        </w:rPr>
        <w:t>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个部门开展整体支出绩效评价试点，涉及一般公共预算支出</w:t>
      </w:r>
      <w:r>
        <w:rPr>
          <w:rFonts w:hint="eastAsia" w:ascii="仿宋_GB2312" w:eastAsia="仿宋_GB2312" w:cs="仿宋_GB2312"/>
          <w:kern w:val="0"/>
          <w:sz w:val="32"/>
          <w:szCs w:val="32"/>
          <w:lang w:val="en-US" w:eastAsia="zh-CN"/>
        </w:rPr>
        <w:t>191.62</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万元。从评价情况来看，该项目整体按照原预算和计划实施，项目管理规范有序，达到了预期的绩效目标项目绩效情况为“优”。</w:t>
      </w:r>
      <w:r>
        <w:rPr>
          <w:rFonts w:hint="eastAsia" w:ascii="仿宋_GB2312" w:eastAsia="仿宋_GB2312" w:cs="仿宋_GB2312"/>
          <w:kern w:val="0"/>
          <w:sz w:val="32"/>
          <w:szCs w:val="32"/>
          <w:highlight w:val="none"/>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整体</w:t>
      </w:r>
      <w:r>
        <w:rPr>
          <w:rFonts w:hint="eastAsia" w:ascii="仿宋_GB2312" w:eastAsia="仿宋_GB2312" w:cs="仿宋_GB2312"/>
          <w:kern w:val="0"/>
          <w:sz w:val="32"/>
          <w:szCs w:val="32"/>
          <w:highlight w:val="none"/>
        </w:rPr>
        <w:t>绩效目标基本按照计划如期进行，项目经费均按预算合理使用，组织实施情况良好，顺利完成全年任务，资金使用率100%。</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jE3MWZkNmRjY2Q0OTkwNzNmZjA1YzJmYTAxOTkifQ=="/>
  </w:docVars>
  <w:rsids>
    <w:rsidRoot w:val="4C256E3D"/>
    <w:rsid w:val="00066CA3"/>
    <w:rsid w:val="006C1367"/>
    <w:rsid w:val="00715385"/>
    <w:rsid w:val="00F66C5B"/>
    <w:rsid w:val="044C054C"/>
    <w:rsid w:val="05352423"/>
    <w:rsid w:val="05ED4716"/>
    <w:rsid w:val="094B45FA"/>
    <w:rsid w:val="0A0C33E4"/>
    <w:rsid w:val="0B424B1D"/>
    <w:rsid w:val="0D5557AF"/>
    <w:rsid w:val="0DA86951"/>
    <w:rsid w:val="0E074DDF"/>
    <w:rsid w:val="0F0F5ED6"/>
    <w:rsid w:val="0F1921F8"/>
    <w:rsid w:val="10243B43"/>
    <w:rsid w:val="124204B5"/>
    <w:rsid w:val="143841D0"/>
    <w:rsid w:val="14F016D4"/>
    <w:rsid w:val="15823E15"/>
    <w:rsid w:val="1612602D"/>
    <w:rsid w:val="16B90A0F"/>
    <w:rsid w:val="182962AB"/>
    <w:rsid w:val="19D073EB"/>
    <w:rsid w:val="1A650904"/>
    <w:rsid w:val="1CC31F67"/>
    <w:rsid w:val="2249565E"/>
    <w:rsid w:val="24D337DC"/>
    <w:rsid w:val="26460DBA"/>
    <w:rsid w:val="29A35CA4"/>
    <w:rsid w:val="2B6F74EB"/>
    <w:rsid w:val="2C1F0B15"/>
    <w:rsid w:val="2C4219FE"/>
    <w:rsid w:val="335718FE"/>
    <w:rsid w:val="34020F86"/>
    <w:rsid w:val="341361ED"/>
    <w:rsid w:val="39A63F06"/>
    <w:rsid w:val="3A677174"/>
    <w:rsid w:val="3C017E2C"/>
    <w:rsid w:val="3E6F4772"/>
    <w:rsid w:val="3EA872B2"/>
    <w:rsid w:val="3ED1439F"/>
    <w:rsid w:val="42235D58"/>
    <w:rsid w:val="42B85068"/>
    <w:rsid w:val="44500BF5"/>
    <w:rsid w:val="47A53182"/>
    <w:rsid w:val="47F43786"/>
    <w:rsid w:val="48374EDC"/>
    <w:rsid w:val="4B8B39F9"/>
    <w:rsid w:val="4C256E3D"/>
    <w:rsid w:val="4CB52F0F"/>
    <w:rsid w:val="4E2875DF"/>
    <w:rsid w:val="50C04C3A"/>
    <w:rsid w:val="50F35421"/>
    <w:rsid w:val="532F1F9A"/>
    <w:rsid w:val="54EC75A4"/>
    <w:rsid w:val="5BF14069"/>
    <w:rsid w:val="5DBB25AC"/>
    <w:rsid w:val="5E995A3E"/>
    <w:rsid w:val="5F933EA7"/>
    <w:rsid w:val="5F95061E"/>
    <w:rsid w:val="5FC1266C"/>
    <w:rsid w:val="617E254E"/>
    <w:rsid w:val="62163194"/>
    <w:rsid w:val="624D024D"/>
    <w:rsid w:val="650E086A"/>
    <w:rsid w:val="65493030"/>
    <w:rsid w:val="6778592B"/>
    <w:rsid w:val="6BAA0708"/>
    <w:rsid w:val="70046E9D"/>
    <w:rsid w:val="72231A60"/>
    <w:rsid w:val="743631A3"/>
    <w:rsid w:val="74900066"/>
    <w:rsid w:val="75AF6C8B"/>
    <w:rsid w:val="77474C4B"/>
    <w:rsid w:val="7F2C3C6A"/>
    <w:rsid w:val="7F2F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4954</Words>
  <Characters>5452</Characters>
  <Lines>60</Lines>
  <Paragraphs>17</Paragraphs>
  <TotalTime>145</TotalTime>
  <ScaleCrop>false</ScaleCrop>
  <LinksUpToDate>false</LinksUpToDate>
  <CharactersWithSpaces>5537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XiaoXiao</cp:lastModifiedBy>
  <cp:lastPrinted>2021-07-07T01:10:00Z</cp:lastPrinted>
  <dcterms:modified xsi:type="dcterms:W3CDTF">2022-08-01T09:12:58Z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4EDF363095C64860B02ED9BBF17D11EB</vt:lpwstr>
  </property>
</Properties>
</file>