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03" w:rsidRDefault="00E46B03">
      <w:pPr>
        <w:rPr>
          <w:rFonts w:ascii="仿宋_GB2312" w:eastAsia="仿宋_GB2312" w:cs="ArialUnicodeMS"/>
          <w:kern w:val="0"/>
          <w:sz w:val="32"/>
          <w:szCs w:val="32"/>
        </w:rPr>
      </w:pPr>
    </w:p>
    <w:p w:rsidR="00E46B03" w:rsidRDefault="00E46B03">
      <w:pPr>
        <w:rPr>
          <w:rFonts w:ascii="黑体" w:eastAsia="黑体" w:cs="ArialUnicodeMS"/>
          <w:kern w:val="0"/>
          <w:sz w:val="72"/>
          <w:szCs w:val="72"/>
        </w:rPr>
      </w:pPr>
    </w:p>
    <w:p w:rsidR="00E46B03" w:rsidRDefault="00E46B03">
      <w:pPr>
        <w:rPr>
          <w:rFonts w:ascii="黑体" w:eastAsia="黑体" w:cs="ArialUnicodeMS"/>
          <w:kern w:val="0"/>
          <w:sz w:val="72"/>
          <w:szCs w:val="72"/>
        </w:rPr>
      </w:pPr>
    </w:p>
    <w:p w:rsidR="002D7160" w:rsidRDefault="002D7160" w:rsidP="002D7160">
      <w:pPr>
        <w:jc w:val="center"/>
        <w:rPr>
          <w:rFonts w:ascii="黑体" w:eastAsia="黑体" w:cs="ArialUnicodeMS"/>
          <w:kern w:val="0"/>
          <w:sz w:val="52"/>
          <w:szCs w:val="52"/>
        </w:rPr>
      </w:pPr>
      <w:r>
        <w:rPr>
          <w:rFonts w:ascii="黑体" w:eastAsia="黑体" w:cs="ArialUnicodeMS" w:hint="eastAsia"/>
          <w:kern w:val="0"/>
          <w:sz w:val="52"/>
          <w:szCs w:val="52"/>
        </w:rPr>
        <w:t>中国民主同盟柳州市委员会</w:t>
      </w:r>
    </w:p>
    <w:p w:rsidR="00E46B03" w:rsidRDefault="00F02304">
      <w:pPr>
        <w:jc w:val="center"/>
        <w:rPr>
          <w:rFonts w:ascii="黑体" w:eastAsia="黑体" w:cs="ArialUnicodeMS"/>
          <w:kern w:val="0"/>
          <w:sz w:val="52"/>
          <w:szCs w:val="52"/>
        </w:rPr>
      </w:pPr>
      <w:r>
        <w:rPr>
          <w:rFonts w:ascii="黑体" w:eastAsia="黑体" w:hint="eastAsia"/>
          <w:kern w:val="0"/>
          <w:sz w:val="52"/>
          <w:szCs w:val="52"/>
        </w:rPr>
        <w:t>20</w:t>
      </w:r>
      <w:r w:rsidR="002470DC">
        <w:rPr>
          <w:rFonts w:ascii="黑体" w:eastAsia="黑体" w:hint="eastAsia"/>
          <w:kern w:val="0"/>
          <w:sz w:val="52"/>
          <w:szCs w:val="52"/>
        </w:rPr>
        <w:t>21</w:t>
      </w:r>
      <w:r>
        <w:rPr>
          <w:rFonts w:ascii="黑体" w:eastAsia="黑体" w:cs="ArialUnicodeMS" w:hint="eastAsia"/>
          <w:kern w:val="0"/>
          <w:sz w:val="52"/>
          <w:szCs w:val="52"/>
        </w:rPr>
        <w:t>年度部门决算</w:t>
      </w:r>
    </w:p>
    <w:p w:rsidR="00E46B03" w:rsidRDefault="00E46B03">
      <w:pPr>
        <w:rPr>
          <w:rFonts w:ascii="ArialUnicodeMS" w:eastAsia="ArialUnicodeMS" w:cs="ArialUnicodeMS"/>
          <w:kern w:val="0"/>
          <w:sz w:val="84"/>
          <w:szCs w:val="84"/>
        </w:rPr>
      </w:pPr>
    </w:p>
    <w:p w:rsidR="00E46B03" w:rsidRDefault="00E46B03">
      <w:pPr>
        <w:rPr>
          <w:rFonts w:ascii="ArialUnicodeMS" w:eastAsia="ArialUnicodeMS" w:cs="ArialUnicodeMS"/>
          <w:kern w:val="0"/>
          <w:sz w:val="84"/>
          <w:szCs w:val="84"/>
        </w:rPr>
      </w:pPr>
    </w:p>
    <w:p w:rsidR="00E46B03" w:rsidRDefault="00E46B03">
      <w:pPr>
        <w:rPr>
          <w:rFonts w:ascii="ArialUnicodeMS" w:eastAsia="ArialUnicodeMS" w:cs="ArialUnicodeMS"/>
          <w:kern w:val="0"/>
          <w:sz w:val="84"/>
          <w:szCs w:val="84"/>
        </w:rPr>
      </w:pPr>
    </w:p>
    <w:p w:rsidR="00E46B03" w:rsidRDefault="00E46B03">
      <w:pPr>
        <w:rPr>
          <w:rFonts w:ascii="ArialUnicodeMS" w:eastAsia="ArialUnicodeMS" w:cs="ArialUnicodeMS"/>
          <w:kern w:val="0"/>
          <w:sz w:val="84"/>
          <w:szCs w:val="84"/>
        </w:rPr>
      </w:pPr>
    </w:p>
    <w:p w:rsidR="00E46B03" w:rsidRDefault="00E46B03">
      <w:pPr>
        <w:rPr>
          <w:rFonts w:ascii="ArialUnicodeMS" w:eastAsia="ArialUnicodeMS" w:cs="ArialUnicodeMS"/>
          <w:kern w:val="0"/>
          <w:sz w:val="84"/>
          <w:szCs w:val="84"/>
        </w:rPr>
      </w:pPr>
    </w:p>
    <w:p w:rsidR="00E46B03" w:rsidRDefault="00E46B03">
      <w:pPr>
        <w:rPr>
          <w:rFonts w:ascii="ArialUnicodeMS" w:eastAsia="ArialUnicodeMS" w:cs="ArialUnicodeMS"/>
          <w:kern w:val="0"/>
          <w:sz w:val="84"/>
          <w:szCs w:val="84"/>
        </w:rPr>
      </w:pPr>
    </w:p>
    <w:p w:rsidR="008E5063" w:rsidRDefault="008E5063">
      <w:pPr>
        <w:rPr>
          <w:rFonts w:ascii="ArialUnicodeMS" w:eastAsia="ArialUnicodeMS" w:cs="ArialUnicodeMS"/>
          <w:kern w:val="0"/>
          <w:sz w:val="84"/>
          <w:szCs w:val="84"/>
        </w:rPr>
      </w:pPr>
    </w:p>
    <w:p w:rsidR="008E5063" w:rsidRDefault="008E5063">
      <w:pPr>
        <w:ind w:firstLine="646"/>
        <w:jc w:val="center"/>
        <w:rPr>
          <w:rFonts w:ascii="方正小标宋简体" w:eastAsia="方正小标宋简体"/>
          <w:b/>
          <w:sz w:val="44"/>
          <w:szCs w:val="44"/>
        </w:rPr>
      </w:pPr>
    </w:p>
    <w:p w:rsidR="00E46B03" w:rsidRDefault="00F02304">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E46B03" w:rsidRDefault="00F02304">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中国民主同盟柳州市委员会</w:t>
      </w:r>
      <w:r>
        <w:rPr>
          <w:rFonts w:ascii="仿宋_GB2312" w:eastAsia="仿宋_GB2312" w:hint="eastAsia"/>
          <w:b/>
          <w:sz w:val="32"/>
          <w:szCs w:val="32"/>
        </w:rPr>
        <w:t>概况</w:t>
      </w:r>
    </w:p>
    <w:p w:rsidR="00E46B03" w:rsidRDefault="00F02304">
      <w:pPr>
        <w:ind w:firstLine="645"/>
        <w:rPr>
          <w:rFonts w:ascii="仿宋_GB2312" w:eastAsia="仿宋_GB2312"/>
          <w:sz w:val="32"/>
          <w:szCs w:val="32"/>
        </w:rPr>
      </w:pPr>
      <w:r>
        <w:rPr>
          <w:rFonts w:ascii="仿宋_GB2312" w:eastAsia="仿宋_GB2312" w:hint="eastAsia"/>
          <w:sz w:val="32"/>
          <w:szCs w:val="32"/>
        </w:rPr>
        <w:t>一、主要职能</w:t>
      </w:r>
    </w:p>
    <w:p w:rsidR="00E46B03" w:rsidRDefault="00F02304">
      <w:pPr>
        <w:ind w:firstLine="645"/>
        <w:rPr>
          <w:rFonts w:ascii="仿宋_GB2312" w:eastAsia="仿宋_GB2312"/>
          <w:sz w:val="32"/>
          <w:szCs w:val="32"/>
        </w:rPr>
      </w:pPr>
      <w:r>
        <w:rPr>
          <w:rFonts w:ascii="仿宋_GB2312" w:eastAsia="仿宋_GB2312" w:hint="eastAsia"/>
          <w:sz w:val="32"/>
          <w:szCs w:val="32"/>
        </w:rPr>
        <w:t>二、部门决算单位构成</w:t>
      </w:r>
    </w:p>
    <w:p w:rsidR="00E46B03" w:rsidRDefault="00F02304">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中国民主同盟柳州市委员会</w:t>
      </w:r>
      <w:r>
        <w:rPr>
          <w:rFonts w:ascii="仿宋_GB2312" w:eastAsia="仿宋_GB2312" w:hint="eastAsia"/>
          <w:b/>
          <w:sz w:val="32"/>
          <w:szCs w:val="32"/>
        </w:rPr>
        <w:t>20</w:t>
      </w:r>
      <w:r w:rsidR="002470DC">
        <w:rPr>
          <w:rFonts w:ascii="仿宋_GB2312" w:eastAsia="仿宋_GB2312" w:hint="eastAsia"/>
          <w:b/>
          <w:sz w:val="32"/>
          <w:szCs w:val="32"/>
        </w:rPr>
        <w:t>21</w:t>
      </w:r>
      <w:r>
        <w:rPr>
          <w:rFonts w:ascii="仿宋_GB2312" w:eastAsia="仿宋_GB2312" w:hint="eastAsia"/>
          <w:b/>
          <w:sz w:val="32"/>
          <w:szCs w:val="32"/>
        </w:rPr>
        <w:t>年部门决算报表</w:t>
      </w:r>
    </w:p>
    <w:p w:rsidR="00E46B03" w:rsidRDefault="00F02304">
      <w:pPr>
        <w:ind w:left="645"/>
        <w:rPr>
          <w:rFonts w:ascii="仿宋_GB2312" w:eastAsia="仿宋_GB2312"/>
          <w:sz w:val="32"/>
          <w:szCs w:val="32"/>
        </w:rPr>
      </w:pPr>
      <w:r>
        <w:rPr>
          <w:rFonts w:ascii="仿宋_GB2312" w:eastAsia="仿宋_GB2312" w:hint="eastAsia"/>
          <w:sz w:val="32"/>
          <w:szCs w:val="32"/>
        </w:rPr>
        <w:t>表一：收入支出决算总表</w:t>
      </w:r>
    </w:p>
    <w:p w:rsidR="00E46B03" w:rsidRDefault="00F02304">
      <w:pPr>
        <w:ind w:left="645"/>
        <w:rPr>
          <w:rFonts w:ascii="仿宋_GB2312" w:eastAsia="仿宋_GB2312"/>
          <w:sz w:val="32"/>
          <w:szCs w:val="32"/>
        </w:rPr>
      </w:pPr>
      <w:r>
        <w:rPr>
          <w:rFonts w:ascii="仿宋_GB2312" w:eastAsia="仿宋_GB2312" w:hint="eastAsia"/>
          <w:sz w:val="32"/>
          <w:szCs w:val="32"/>
        </w:rPr>
        <w:t>表二：收入决算表</w:t>
      </w:r>
    </w:p>
    <w:p w:rsidR="00E46B03" w:rsidRDefault="00F02304">
      <w:pPr>
        <w:ind w:left="645"/>
        <w:rPr>
          <w:rFonts w:ascii="仿宋_GB2312" w:eastAsia="仿宋_GB2312"/>
          <w:sz w:val="32"/>
          <w:szCs w:val="32"/>
        </w:rPr>
      </w:pPr>
      <w:r>
        <w:rPr>
          <w:rFonts w:ascii="仿宋_GB2312" w:eastAsia="仿宋_GB2312" w:hint="eastAsia"/>
          <w:sz w:val="32"/>
          <w:szCs w:val="32"/>
        </w:rPr>
        <w:t>表三：支出决算表</w:t>
      </w:r>
    </w:p>
    <w:p w:rsidR="00E46B03" w:rsidRDefault="00F02304">
      <w:pPr>
        <w:ind w:left="645"/>
        <w:rPr>
          <w:rFonts w:ascii="仿宋_GB2312" w:eastAsia="仿宋_GB2312"/>
          <w:sz w:val="32"/>
          <w:szCs w:val="32"/>
        </w:rPr>
      </w:pPr>
      <w:r>
        <w:rPr>
          <w:rFonts w:ascii="仿宋_GB2312" w:eastAsia="仿宋_GB2312" w:hint="eastAsia"/>
          <w:sz w:val="32"/>
          <w:szCs w:val="32"/>
        </w:rPr>
        <w:t>表四：财政拨款收入支出决算总表</w:t>
      </w:r>
    </w:p>
    <w:p w:rsidR="00E46B03" w:rsidRDefault="00F02304">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E46B03" w:rsidRDefault="00F02304">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E46B03" w:rsidRDefault="00F02304">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E46B03" w:rsidRDefault="00F02304">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2470DC" w:rsidRDefault="002470DC" w:rsidP="002470DC">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E46B03" w:rsidRDefault="00F02304">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中国民主同盟柳州市委员会</w:t>
      </w:r>
      <w:r>
        <w:rPr>
          <w:rFonts w:ascii="仿宋_GB2312" w:eastAsia="仿宋_GB2312" w:hint="eastAsia"/>
          <w:b/>
          <w:sz w:val="32"/>
          <w:szCs w:val="32"/>
        </w:rPr>
        <w:t>20</w:t>
      </w:r>
      <w:r w:rsidR="002470DC">
        <w:rPr>
          <w:rFonts w:ascii="仿宋_GB2312" w:eastAsia="仿宋_GB2312" w:hint="eastAsia"/>
          <w:b/>
          <w:sz w:val="32"/>
          <w:szCs w:val="32"/>
        </w:rPr>
        <w:t>21</w:t>
      </w:r>
      <w:r>
        <w:rPr>
          <w:rFonts w:ascii="仿宋_GB2312" w:eastAsia="仿宋_GB2312" w:hint="eastAsia"/>
          <w:b/>
          <w:sz w:val="32"/>
          <w:szCs w:val="32"/>
        </w:rPr>
        <w:t>年度部门决算情况说明</w:t>
      </w:r>
    </w:p>
    <w:p w:rsidR="00E46B03" w:rsidRDefault="00F023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w:t>
      </w:r>
      <w:r w:rsidR="002470DC">
        <w:rPr>
          <w:rFonts w:eastAsia="仿宋_GB2312" w:hint="eastAsia"/>
          <w:kern w:val="0"/>
          <w:sz w:val="32"/>
          <w:szCs w:val="32"/>
        </w:rPr>
        <w:t>21</w:t>
      </w:r>
      <w:r w:rsidR="004821E5">
        <w:rPr>
          <w:rFonts w:ascii="仿宋_GB2312" w:eastAsia="仿宋_GB2312" w:cs="仿宋_GB2312" w:hint="eastAsia"/>
          <w:kern w:val="0"/>
          <w:sz w:val="32"/>
          <w:szCs w:val="32"/>
        </w:rPr>
        <w:t>年度收入支出决算总体情况</w:t>
      </w:r>
    </w:p>
    <w:p w:rsidR="00E46B03" w:rsidRDefault="00F023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w:t>
      </w:r>
      <w:r w:rsidR="002470DC">
        <w:rPr>
          <w:rFonts w:eastAsia="仿宋_GB2312" w:hint="eastAsia"/>
          <w:kern w:val="0"/>
          <w:sz w:val="32"/>
          <w:szCs w:val="32"/>
        </w:rPr>
        <w:t>21</w:t>
      </w:r>
      <w:r w:rsidR="002470DC">
        <w:rPr>
          <w:rFonts w:ascii="仿宋_GB2312" w:eastAsia="仿宋_GB2312" w:cs="仿宋_GB2312" w:hint="eastAsia"/>
          <w:kern w:val="0"/>
          <w:sz w:val="32"/>
          <w:szCs w:val="32"/>
        </w:rPr>
        <w:t>年度</w:t>
      </w:r>
      <w:r w:rsidR="002470DC">
        <w:rPr>
          <w:rFonts w:ascii="仿宋_GB2312" w:eastAsia="仿宋_GB2312" w:hint="eastAsia"/>
          <w:sz w:val="32"/>
          <w:szCs w:val="32"/>
        </w:rPr>
        <w:t>一般</w:t>
      </w:r>
      <w:r w:rsidR="002470DC">
        <w:rPr>
          <w:rFonts w:ascii="仿宋_GB2312" w:eastAsia="仿宋_GB2312" w:cs="仿宋_GB2312" w:hint="eastAsia"/>
          <w:kern w:val="0"/>
          <w:sz w:val="32"/>
          <w:szCs w:val="32"/>
        </w:rPr>
        <w:t>公共预算财政拨款支出决算情况</w:t>
      </w:r>
    </w:p>
    <w:p w:rsidR="00E46B03" w:rsidRPr="002470DC" w:rsidRDefault="00F02304" w:rsidP="002470D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w:t>
      </w:r>
      <w:r w:rsidR="002470DC">
        <w:rPr>
          <w:rFonts w:eastAsia="仿宋_GB2312" w:hint="eastAsia"/>
          <w:kern w:val="0"/>
          <w:sz w:val="32"/>
          <w:szCs w:val="32"/>
        </w:rPr>
        <w:t>21</w:t>
      </w:r>
      <w:r w:rsidR="002470DC">
        <w:rPr>
          <w:rFonts w:ascii="仿宋_GB2312" w:eastAsia="仿宋_GB2312" w:cs="仿宋_GB2312" w:hint="eastAsia"/>
          <w:kern w:val="0"/>
          <w:sz w:val="32"/>
          <w:szCs w:val="32"/>
        </w:rPr>
        <w:t>年度一般公共预算财政拨款基本支出决算情况</w:t>
      </w:r>
      <w:r w:rsidR="002470DC">
        <w:rPr>
          <w:rFonts w:ascii="仿宋_GB2312" w:eastAsia="仿宋_GB2312" w:cs="仿宋_GB2312" w:hint="eastAsia"/>
          <w:kern w:val="0"/>
          <w:sz w:val="32"/>
          <w:szCs w:val="32"/>
        </w:rPr>
        <w:lastRenderedPageBreak/>
        <w:t>说明</w:t>
      </w:r>
    </w:p>
    <w:p w:rsidR="00E46B03" w:rsidRDefault="00F023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w:t>
      </w:r>
      <w:r w:rsidR="002470DC">
        <w:rPr>
          <w:rFonts w:eastAsia="仿宋_GB2312" w:hint="eastAsia"/>
          <w:kern w:val="0"/>
          <w:sz w:val="32"/>
          <w:szCs w:val="32"/>
        </w:rPr>
        <w:t>21</w:t>
      </w:r>
      <w:r w:rsidR="002470DC">
        <w:rPr>
          <w:rFonts w:ascii="仿宋_GB2312" w:eastAsia="仿宋_GB2312" w:cs="仿宋_GB2312" w:hint="eastAsia"/>
          <w:kern w:val="0"/>
          <w:sz w:val="32"/>
          <w:szCs w:val="32"/>
        </w:rPr>
        <w:t>年度政府性基金支出决算情况</w:t>
      </w:r>
    </w:p>
    <w:p w:rsidR="00E46B03" w:rsidRDefault="00F023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sidR="002470DC">
        <w:rPr>
          <w:rFonts w:ascii="仿宋_GB2312" w:eastAsia="仿宋_GB2312" w:cs="仿宋_GB2312" w:hint="eastAsia"/>
          <w:kern w:val="0"/>
          <w:sz w:val="32"/>
          <w:szCs w:val="32"/>
        </w:rPr>
        <w:t>2021年度国有资本经营预算支出决算情况</w:t>
      </w:r>
    </w:p>
    <w:p w:rsidR="00E46B03" w:rsidRPr="002470DC" w:rsidRDefault="00F023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sidR="002470DC">
        <w:rPr>
          <w:rFonts w:ascii="仿宋_GB2312" w:eastAsia="仿宋_GB2312" w:hint="eastAsia"/>
          <w:sz w:val="32"/>
          <w:szCs w:val="32"/>
        </w:rPr>
        <w:t>一般</w:t>
      </w:r>
      <w:r w:rsidR="002470DC">
        <w:rPr>
          <w:rFonts w:ascii="仿宋_GB2312" w:eastAsia="仿宋_GB2312" w:cs="仿宋_GB2312" w:hint="eastAsia"/>
          <w:kern w:val="0"/>
          <w:sz w:val="32"/>
          <w:szCs w:val="32"/>
        </w:rPr>
        <w:t>公共预算财政拨款安排的“三公”经费支出决算情况说明。</w:t>
      </w:r>
    </w:p>
    <w:p w:rsidR="00E46B03" w:rsidRDefault="00F02304" w:rsidP="002470D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sidR="002470DC">
        <w:rPr>
          <w:rFonts w:ascii="仿宋_GB2312" w:eastAsia="仿宋_GB2312" w:cs="仿宋_GB2312" w:hint="eastAsia"/>
          <w:kern w:val="0"/>
          <w:sz w:val="32"/>
          <w:szCs w:val="32"/>
        </w:rPr>
        <w:t>其他重要事项情况说明。</w:t>
      </w:r>
    </w:p>
    <w:p w:rsidR="00E46B03" w:rsidRDefault="00F02304">
      <w:pPr>
        <w:ind w:firstLine="645"/>
        <w:rPr>
          <w:rFonts w:ascii="仿宋_GB2312" w:eastAsia="仿宋_GB2312"/>
          <w:b/>
          <w:sz w:val="32"/>
          <w:szCs w:val="32"/>
        </w:rPr>
      </w:pPr>
      <w:r>
        <w:rPr>
          <w:rFonts w:ascii="仿宋_GB2312" w:eastAsia="仿宋_GB2312" w:hint="eastAsia"/>
          <w:b/>
          <w:sz w:val="32"/>
          <w:szCs w:val="32"/>
        </w:rPr>
        <w:t>第四部分：名词解释</w:t>
      </w:r>
    </w:p>
    <w:p w:rsidR="00E46B03" w:rsidRDefault="00F02304">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中国民主同盟柳州市委员会</w:t>
      </w:r>
      <w:r>
        <w:rPr>
          <w:rFonts w:ascii="仿宋_GB2312" w:eastAsia="仿宋_GB2312" w:hint="eastAsia"/>
          <w:b/>
          <w:sz w:val="32"/>
          <w:szCs w:val="32"/>
        </w:rPr>
        <w:t>概况</w:t>
      </w:r>
    </w:p>
    <w:p w:rsidR="00E46B03" w:rsidRDefault="00F02304">
      <w:pPr>
        <w:ind w:firstLine="646"/>
        <w:rPr>
          <w:rFonts w:ascii="仿宋_GB2312" w:eastAsia="仿宋_GB2312"/>
          <w:sz w:val="32"/>
          <w:szCs w:val="32"/>
        </w:rPr>
      </w:pPr>
      <w:r>
        <w:rPr>
          <w:rFonts w:ascii="仿宋_GB2312" w:eastAsia="仿宋_GB2312" w:hint="eastAsia"/>
          <w:sz w:val="32"/>
          <w:szCs w:val="32"/>
        </w:rPr>
        <w:t>一、主要职能</w:t>
      </w:r>
    </w:p>
    <w:p w:rsidR="00F02304" w:rsidRDefault="004821E5" w:rsidP="00F02304">
      <w:pPr>
        <w:ind w:firstLineChars="200" w:firstLine="64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中国民主同盟是主要由从事文化教育以及科学技术工作的高、中级知识分子组成的，具有政治联盟特点的，接受中国共产党领导、同中国共产党通力合作，进步性与广泛性相统一的中国特色社会主义参政党</w:t>
      </w:r>
      <w:r w:rsidR="00F02304">
        <w:rPr>
          <w:rFonts w:ascii="仿宋_GB2312" w:eastAsia="仿宋_GB2312" w:cs="仿宋_GB2312"/>
          <w:sz w:val="32"/>
          <w:szCs w:val="32"/>
          <w:shd w:val="clear" w:color="auto" w:fill="FFFFFF"/>
        </w:rPr>
        <w:t>。民盟柳州市委是中国共产党领导的多党合作和政治协商制度的组成部分，其主要职能是：参政议政，民主监督，</w:t>
      </w:r>
      <w:r>
        <w:rPr>
          <w:rFonts w:ascii="仿宋_GB2312" w:eastAsia="仿宋_GB2312" w:cs="仿宋_GB2312" w:hint="eastAsia"/>
          <w:sz w:val="32"/>
          <w:szCs w:val="32"/>
          <w:shd w:val="clear" w:color="auto" w:fill="FFFFFF"/>
        </w:rPr>
        <w:t>参加中国共产党领导的政治协商以及</w:t>
      </w:r>
      <w:r w:rsidR="00F02304">
        <w:rPr>
          <w:rFonts w:ascii="仿宋_GB2312" w:eastAsia="仿宋_GB2312" w:cs="仿宋_GB2312"/>
          <w:sz w:val="32"/>
          <w:szCs w:val="32"/>
          <w:shd w:val="clear" w:color="auto" w:fill="FFFFFF"/>
        </w:rPr>
        <w:t>社会服务等，并通过调查研究向党委、政府提出意见和建议。在加强自身思想建</w:t>
      </w:r>
      <w:r>
        <w:rPr>
          <w:rFonts w:ascii="仿宋_GB2312" w:eastAsia="仿宋_GB2312" w:cs="仿宋_GB2312"/>
          <w:sz w:val="32"/>
          <w:szCs w:val="32"/>
          <w:shd w:val="clear" w:color="auto" w:fill="FFFFFF"/>
        </w:rPr>
        <w:t>设和组织建设的同时，开展参政议政调研、民主监督、社会服务及民盟</w:t>
      </w:r>
      <w:r>
        <w:rPr>
          <w:rFonts w:ascii="仿宋_GB2312" w:eastAsia="仿宋_GB2312" w:cs="仿宋_GB2312" w:hint="eastAsia"/>
          <w:sz w:val="32"/>
          <w:szCs w:val="32"/>
          <w:shd w:val="clear" w:color="auto" w:fill="FFFFFF"/>
        </w:rPr>
        <w:t>盟</w:t>
      </w:r>
      <w:r w:rsidR="00F02304">
        <w:rPr>
          <w:rFonts w:ascii="仿宋_GB2312" w:eastAsia="仿宋_GB2312" w:cs="仿宋_GB2312"/>
          <w:sz w:val="32"/>
          <w:szCs w:val="32"/>
          <w:shd w:val="clear" w:color="auto" w:fill="FFFFFF"/>
        </w:rPr>
        <w:t>务工作。</w:t>
      </w:r>
    </w:p>
    <w:p w:rsidR="00E46B03" w:rsidRDefault="00F02304">
      <w:pPr>
        <w:ind w:firstLine="646"/>
        <w:rPr>
          <w:rFonts w:ascii="仿宋_GB2312" w:eastAsia="仿宋_GB2312"/>
          <w:sz w:val="32"/>
          <w:szCs w:val="32"/>
        </w:rPr>
      </w:pPr>
      <w:r>
        <w:rPr>
          <w:rFonts w:ascii="仿宋_GB2312" w:eastAsia="仿宋_GB2312" w:hint="eastAsia"/>
          <w:sz w:val="32"/>
          <w:szCs w:val="32"/>
        </w:rPr>
        <w:t>二、部门决算单位构成</w:t>
      </w:r>
    </w:p>
    <w:p w:rsidR="00F02304" w:rsidRDefault="00F02304" w:rsidP="00F02304">
      <w:pPr>
        <w:ind w:firstLineChars="200" w:firstLine="640"/>
      </w:pPr>
      <w:r>
        <w:rPr>
          <w:rFonts w:ascii="仿宋_GB2312" w:eastAsia="仿宋_GB2312" w:cs="仿宋_GB2312"/>
          <w:sz w:val="32"/>
          <w:szCs w:val="32"/>
          <w:shd w:val="clear" w:color="auto" w:fill="FFFFFF"/>
        </w:rPr>
        <w:t>中国民主同盟柳州市委员会（简称</w:t>
      </w:r>
      <w:r>
        <w:rPr>
          <w:rFonts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民盟柳州市委</w:t>
      </w:r>
      <w:r>
        <w:rPr>
          <w:rFonts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）成立于1951年8月。目前，盟市委共设置</w:t>
      </w:r>
      <w:r>
        <w:rPr>
          <w:rFonts w:ascii="仿宋_GB2312" w:eastAsia="仿宋_GB2312" w:hAnsi="宋体" w:cs="仿宋_GB2312"/>
          <w:kern w:val="0"/>
          <w:sz w:val="32"/>
          <w:szCs w:val="32"/>
          <w:shd w:val="clear" w:color="auto" w:fill="FFFFFF"/>
        </w:rPr>
        <w:t>3个职能科室，具体为：办公室、组织科、宣传科。现有编制数14名。单位在职职工实际使用编制数为1</w:t>
      </w:r>
      <w:r w:rsidR="00DE0B3C">
        <w:rPr>
          <w:rFonts w:ascii="仿宋_GB2312" w:eastAsia="仿宋_GB2312" w:hAnsi="宋体" w:cs="仿宋_GB2312" w:hint="eastAsia"/>
          <w:kern w:val="0"/>
          <w:sz w:val="32"/>
          <w:szCs w:val="32"/>
          <w:shd w:val="clear" w:color="auto" w:fill="FFFFFF"/>
        </w:rPr>
        <w:t>3</w:t>
      </w:r>
      <w:r>
        <w:rPr>
          <w:rFonts w:ascii="仿宋_GB2312" w:eastAsia="仿宋_GB2312" w:hAnsi="宋体" w:cs="仿宋_GB2312"/>
          <w:kern w:val="0"/>
          <w:sz w:val="32"/>
          <w:szCs w:val="32"/>
          <w:shd w:val="clear" w:color="auto" w:fill="FFFFFF"/>
        </w:rPr>
        <w:t>人，离退休职工实际使用编制数为</w:t>
      </w:r>
      <w:r w:rsidR="00894293">
        <w:rPr>
          <w:rFonts w:ascii="仿宋_GB2312" w:eastAsia="仿宋_GB2312" w:hAnsi="宋体" w:cs="仿宋_GB2312" w:hint="eastAsia"/>
          <w:kern w:val="0"/>
          <w:sz w:val="32"/>
          <w:szCs w:val="32"/>
          <w:shd w:val="clear" w:color="auto" w:fill="FFFFFF"/>
        </w:rPr>
        <w:t>7</w:t>
      </w:r>
      <w:r>
        <w:rPr>
          <w:rFonts w:ascii="仿宋_GB2312" w:eastAsia="仿宋_GB2312" w:hAnsi="宋体" w:cs="仿宋_GB2312"/>
          <w:kern w:val="0"/>
          <w:sz w:val="32"/>
          <w:szCs w:val="32"/>
          <w:shd w:val="clear" w:color="auto" w:fill="FFFFFF"/>
        </w:rPr>
        <w:t>人。</w:t>
      </w:r>
    </w:p>
    <w:p w:rsidR="004821E5" w:rsidRPr="00F02304" w:rsidRDefault="004821E5">
      <w:pPr>
        <w:ind w:firstLine="645"/>
        <w:rPr>
          <w:rFonts w:ascii="仿宋_GB2312" w:eastAsia="仿宋_GB2312"/>
          <w:sz w:val="32"/>
          <w:szCs w:val="32"/>
        </w:rPr>
      </w:pPr>
    </w:p>
    <w:p w:rsidR="00E46B03" w:rsidRDefault="00F02304" w:rsidP="002C26C3">
      <w:r>
        <w:rPr>
          <w:rFonts w:ascii="仿宋_GB2312" w:eastAsia="仿宋_GB2312" w:hint="eastAsia"/>
          <w:b/>
          <w:sz w:val="32"/>
          <w:szCs w:val="32"/>
        </w:rPr>
        <w:t>第二部分：</w:t>
      </w:r>
      <w:r>
        <w:rPr>
          <w:rFonts w:ascii="仿宋_GB2312" w:eastAsia="仿宋_GB2312" w:hAnsi="黑体" w:hint="eastAsia"/>
          <w:b/>
          <w:bCs/>
          <w:color w:val="000000"/>
          <w:sz w:val="32"/>
          <w:szCs w:val="32"/>
        </w:rPr>
        <w:t>中国民主同盟柳州市委员会</w:t>
      </w:r>
      <w:r>
        <w:rPr>
          <w:rFonts w:ascii="仿宋_GB2312" w:eastAsia="仿宋_GB2312" w:hint="eastAsia"/>
          <w:b/>
          <w:sz w:val="32"/>
          <w:szCs w:val="32"/>
        </w:rPr>
        <w:t>20</w:t>
      </w:r>
      <w:r w:rsidR="002C26C3">
        <w:rPr>
          <w:rFonts w:ascii="仿宋_GB2312" w:eastAsia="仿宋_GB2312" w:hint="eastAsia"/>
          <w:b/>
          <w:sz w:val="32"/>
          <w:szCs w:val="32"/>
        </w:rPr>
        <w:t>21</w:t>
      </w:r>
      <w:r>
        <w:rPr>
          <w:rFonts w:ascii="仿宋_GB2312" w:eastAsia="仿宋_GB2312" w:hint="eastAsia"/>
          <w:b/>
          <w:sz w:val="32"/>
          <w:szCs w:val="32"/>
        </w:rPr>
        <w:t>年部门决算报表</w:t>
      </w:r>
    </w:p>
    <w:p w:rsidR="00E46B03" w:rsidRDefault="002C26C3">
      <w:r>
        <w:rPr>
          <w:rFonts w:ascii="仿宋_GB2312" w:eastAsia="仿宋_GB2312" w:hAnsi="仿宋_GB2312" w:cs="仿宋_GB2312" w:hint="eastAsia"/>
          <w:sz w:val="32"/>
          <w:szCs w:val="32"/>
        </w:rPr>
        <w:t>(此部分另附表格，详见附件1：</w:t>
      </w:r>
      <w:r>
        <w:rPr>
          <w:rFonts w:ascii="仿宋_GB2312" w:eastAsia="仿宋_GB2312" w:hAnsi="仿宋_GB2312" w:cs="仿宋_GB2312" w:hint="eastAsia"/>
          <w:color w:val="000000"/>
          <w:sz w:val="32"/>
          <w:szCs w:val="32"/>
        </w:rPr>
        <w:t>中国民主同盟柳州市委员会</w:t>
      </w:r>
      <w:r>
        <w:rPr>
          <w:rFonts w:ascii="仿宋_GB2312" w:eastAsia="仿宋_GB2312" w:hAnsi="仿宋_GB2312" w:cs="仿宋_GB2312" w:hint="eastAsia"/>
          <w:sz w:val="32"/>
          <w:szCs w:val="32"/>
        </w:rPr>
        <w:t>2021年度部门决算公开表)</w:t>
      </w:r>
    </w:p>
    <w:p w:rsidR="00E46B03" w:rsidRDefault="00F02304">
      <w:pPr>
        <w:spacing w:line="560" w:lineRule="exact"/>
        <w:rPr>
          <w:rFonts w:ascii="仿宋_GB2312" w:eastAsia="仿宋_GB2312"/>
          <w:b/>
          <w:sz w:val="32"/>
          <w:szCs w:val="32"/>
        </w:rPr>
      </w:pPr>
      <w:r>
        <w:rPr>
          <w:rFonts w:ascii="仿宋_GB2312" w:eastAsia="仿宋_GB2312" w:hint="eastAsia"/>
          <w:b/>
          <w:sz w:val="32"/>
          <w:szCs w:val="32"/>
        </w:rPr>
        <w:lastRenderedPageBreak/>
        <w:t>第三部分：</w:t>
      </w:r>
      <w:r w:rsidR="008413AE">
        <w:rPr>
          <w:rFonts w:ascii="仿宋_GB2312" w:eastAsia="仿宋_GB2312" w:hAnsi="黑体" w:hint="eastAsia"/>
          <w:b/>
          <w:bCs/>
          <w:color w:val="000000"/>
          <w:sz w:val="32"/>
          <w:szCs w:val="32"/>
        </w:rPr>
        <w:t>中国民主同盟柳州市委员会</w:t>
      </w:r>
      <w:r>
        <w:rPr>
          <w:rFonts w:ascii="仿宋_GB2312" w:eastAsia="仿宋_GB2312" w:hint="eastAsia"/>
          <w:b/>
          <w:sz w:val="32"/>
          <w:szCs w:val="32"/>
        </w:rPr>
        <w:t>20</w:t>
      </w:r>
      <w:r w:rsidR="002C26C3">
        <w:rPr>
          <w:rFonts w:ascii="仿宋_GB2312" w:eastAsia="仿宋_GB2312" w:hint="eastAsia"/>
          <w:b/>
          <w:sz w:val="32"/>
          <w:szCs w:val="32"/>
        </w:rPr>
        <w:t>21</w:t>
      </w:r>
      <w:r>
        <w:rPr>
          <w:rFonts w:ascii="仿宋_GB2312" w:eastAsia="仿宋_GB2312" w:hint="eastAsia"/>
          <w:b/>
          <w:sz w:val="32"/>
          <w:szCs w:val="32"/>
        </w:rPr>
        <w:t>年度部门决算情况说明</w:t>
      </w:r>
    </w:p>
    <w:p w:rsidR="00E46B03" w:rsidRPr="002C26C3" w:rsidRDefault="00F02304" w:rsidP="002C26C3">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2C26C3">
        <w:rPr>
          <w:rFonts w:ascii="黑体" w:eastAsia="黑体" w:hAnsi="黑体" w:cs="仿宋_GB2312" w:hint="eastAsia"/>
          <w:kern w:val="0"/>
          <w:sz w:val="32"/>
          <w:szCs w:val="32"/>
        </w:rPr>
        <w:t>一、</w:t>
      </w:r>
      <w:r w:rsidRPr="002C26C3">
        <w:rPr>
          <w:rFonts w:ascii="黑体" w:eastAsia="黑体" w:hAnsi="黑体" w:hint="eastAsia"/>
          <w:kern w:val="0"/>
          <w:sz w:val="32"/>
          <w:szCs w:val="32"/>
        </w:rPr>
        <w:t>20</w:t>
      </w:r>
      <w:r w:rsidR="009641B7">
        <w:rPr>
          <w:rFonts w:ascii="黑体" w:eastAsia="黑体" w:hAnsi="黑体" w:hint="eastAsia"/>
          <w:kern w:val="0"/>
          <w:sz w:val="32"/>
          <w:szCs w:val="32"/>
        </w:rPr>
        <w:t>21</w:t>
      </w:r>
      <w:r w:rsidRPr="002C26C3">
        <w:rPr>
          <w:rFonts w:ascii="黑体" w:eastAsia="黑体" w:hAnsi="黑体" w:cs="仿宋_GB2312" w:hint="eastAsia"/>
          <w:kern w:val="0"/>
          <w:sz w:val="32"/>
          <w:szCs w:val="32"/>
        </w:rPr>
        <w:t>年度收入支出决算总体情况</w:t>
      </w:r>
    </w:p>
    <w:p w:rsidR="00E46B03" w:rsidRDefault="000D150F" w:rsidP="002C26C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sidR="00F02304" w:rsidRPr="009641B7">
        <w:rPr>
          <w:rFonts w:ascii="仿宋_GB2312" w:eastAsia="仿宋_GB2312" w:hAnsi="黑体" w:cs="仿宋_GB2312" w:hint="eastAsia"/>
          <w:bCs/>
          <w:kern w:val="0"/>
          <w:sz w:val="32"/>
          <w:szCs w:val="32"/>
        </w:rPr>
        <w:t>20</w:t>
      </w:r>
      <w:r w:rsidR="009641B7" w:rsidRPr="009641B7">
        <w:rPr>
          <w:rFonts w:ascii="仿宋_GB2312" w:eastAsia="仿宋_GB2312" w:hAnsi="黑体" w:cs="仿宋_GB2312" w:hint="eastAsia"/>
          <w:bCs/>
          <w:kern w:val="0"/>
          <w:sz w:val="32"/>
          <w:szCs w:val="32"/>
        </w:rPr>
        <w:t>21</w:t>
      </w:r>
      <w:r w:rsidR="00F02304" w:rsidRPr="009641B7">
        <w:rPr>
          <w:rFonts w:ascii="仿宋_GB2312" w:eastAsia="仿宋_GB2312" w:hAnsi="黑体" w:cs="仿宋_GB2312" w:hint="eastAsia"/>
          <w:bCs/>
          <w:kern w:val="0"/>
          <w:sz w:val="32"/>
          <w:szCs w:val="32"/>
        </w:rPr>
        <w:t>年度收入总计</w:t>
      </w:r>
      <w:r w:rsidR="009641B7">
        <w:rPr>
          <w:rFonts w:ascii="仿宋_GB2312" w:eastAsia="仿宋_GB2312" w:hAnsi="黑体" w:cs="仿宋_GB2312" w:hint="eastAsia"/>
          <w:bCs/>
          <w:kern w:val="0"/>
          <w:sz w:val="32"/>
          <w:szCs w:val="32"/>
        </w:rPr>
        <w:t>336.29</w:t>
      </w:r>
      <w:r w:rsidR="00F02304" w:rsidRPr="009641B7">
        <w:rPr>
          <w:rFonts w:ascii="仿宋_GB2312" w:eastAsia="仿宋_GB2312" w:hAnsi="黑体" w:cs="仿宋_GB2312" w:hint="eastAsia"/>
          <w:bCs/>
          <w:kern w:val="0"/>
          <w:sz w:val="32"/>
          <w:szCs w:val="32"/>
        </w:rPr>
        <w:t>万元，</w:t>
      </w:r>
      <w:r w:rsidR="009641B7">
        <w:rPr>
          <w:rFonts w:ascii="仿宋_GB2312" w:eastAsia="仿宋_GB2312" w:cs="仿宋_GB2312" w:hint="eastAsia"/>
          <w:kern w:val="0"/>
          <w:sz w:val="32"/>
          <w:szCs w:val="32"/>
        </w:rPr>
        <w:t>其中本年收入331.92万元,</w:t>
      </w:r>
      <w:r w:rsidR="00F02304" w:rsidRPr="009641B7">
        <w:rPr>
          <w:rFonts w:ascii="仿宋_GB2312" w:eastAsia="仿宋_GB2312" w:hAnsi="黑体" w:cs="仿宋_GB2312" w:hint="eastAsia"/>
          <w:bCs/>
          <w:kern w:val="0"/>
          <w:sz w:val="32"/>
          <w:szCs w:val="32"/>
        </w:rPr>
        <w:t>支出总计</w:t>
      </w:r>
      <w:r w:rsidR="009641B7">
        <w:rPr>
          <w:rFonts w:ascii="仿宋_GB2312" w:eastAsia="仿宋_GB2312" w:hAnsi="黑体" w:cs="仿宋_GB2312" w:hint="eastAsia"/>
          <w:bCs/>
          <w:kern w:val="0"/>
          <w:sz w:val="32"/>
          <w:szCs w:val="32"/>
        </w:rPr>
        <w:t>336.29</w:t>
      </w:r>
      <w:r w:rsidR="00F02304" w:rsidRPr="009641B7">
        <w:rPr>
          <w:rFonts w:ascii="仿宋_GB2312" w:eastAsia="仿宋_GB2312" w:hAnsi="黑体" w:cs="仿宋_GB2312" w:hint="eastAsia"/>
          <w:bCs/>
          <w:kern w:val="0"/>
          <w:sz w:val="32"/>
          <w:szCs w:val="32"/>
        </w:rPr>
        <w:t>万元，</w:t>
      </w:r>
      <w:r w:rsidR="009641B7">
        <w:rPr>
          <w:rFonts w:ascii="仿宋_GB2312" w:eastAsia="仿宋_GB2312" w:hAnsi="黑体" w:cs="仿宋_GB2312" w:hint="eastAsia"/>
          <w:kern w:val="0"/>
          <w:sz w:val="32"/>
          <w:szCs w:val="32"/>
        </w:rPr>
        <w:t>较2020年度决算数</w:t>
      </w:r>
      <w:r w:rsidR="009641B7">
        <w:rPr>
          <w:rFonts w:ascii="仿宋_GB2312" w:eastAsia="仿宋_GB2312" w:hAnsi="黑体" w:cs="仿宋_GB2312" w:hint="eastAsia"/>
          <w:bCs/>
          <w:kern w:val="0"/>
          <w:sz w:val="32"/>
          <w:szCs w:val="32"/>
        </w:rPr>
        <w:t>减少10.44</w:t>
      </w:r>
      <w:r w:rsidR="008413AE" w:rsidRPr="009641B7">
        <w:rPr>
          <w:rFonts w:ascii="仿宋_GB2312" w:eastAsia="仿宋_GB2312" w:hAnsi="黑体" w:cs="仿宋_GB2312" w:hint="eastAsia"/>
          <w:bCs/>
          <w:kern w:val="0"/>
          <w:sz w:val="32"/>
          <w:szCs w:val="32"/>
        </w:rPr>
        <w:t>万元，</w:t>
      </w:r>
      <w:r w:rsidR="009641B7">
        <w:rPr>
          <w:rFonts w:ascii="仿宋_GB2312" w:eastAsia="仿宋_GB2312" w:hAnsi="黑体" w:cs="仿宋_GB2312" w:hint="eastAsia"/>
          <w:bCs/>
          <w:kern w:val="0"/>
          <w:sz w:val="32"/>
          <w:szCs w:val="32"/>
        </w:rPr>
        <w:t>下降3.01</w:t>
      </w:r>
      <w:r w:rsidR="008413AE" w:rsidRPr="009641B7">
        <w:rPr>
          <w:rFonts w:ascii="仿宋_GB2312" w:eastAsia="仿宋_GB2312" w:hAnsi="黑体" w:cs="仿宋_GB2312" w:hint="eastAsia"/>
          <w:bCs/>
          <w:kern w:val="0"/>
          <w:sz w:val="32"/>
          <w:szCs w:val="32"/>
        </w:rPr>
        <w:t>%；</w:t>
      </w:r>
      <w:r w:rsidR="00704D76">
        <w:rPr>
          <w:rFonts w:ascii="仿宋_GB2312" w:eastAsia="仿宋_GB2312" w:cs="仿宋_GB2312" w:hint="eastAsia"/>
          <w:kern w:val="0"/>
          <w:sz w:val="32"/>
          <w:szCs w:val="32"/>
        </w:rPr>
        <w:t>收入具体情况如下：</w:t>
      </w:r>
    </w:p>
    <w:p w:rsidR="00704D76" w:rsidRDefault="00704D76" w:rsidP="00704D76">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Pr>
          <w:rFonts w:ascii="仿宋_GB2312" w:eastAsia="仿宋_GB2312" w:hAnsi="黑体" w:cs="仿宋_GB2312" w:hint="eastAsia"/>
          <w:bCs/>
          <w:kern w:val="0"/>
          <w:sz w:val="32"/>
          <w:szCs w:val="32"/>
        </w:rPr>
        <w:t>336.29</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较2020年度决算数减少10.44万元，下降3.01%，主要原因是：经费压减。</w:t>
      </w:r>
    </w:p>
    <w:p w:rsidR="00704D76" w:rsidRDefault="00704D76" w:rsidP="00704D76">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cs="仿宋_GB2312" w:hint="eastAsia"/>
          <w:kern w:val="0"/>
          <w:sz w:val="32"/>
          <w:szCs w:val="32"/>
        </w:rPr>
        <w:t>2.政府性基金预算财政拨款收入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w:t>
      </w:r>
      <w:r>
        <w:rPr>
          <w:rFonts w:ascii="仿宋_GB2312" w:eastAsia="仿宋_GB2312" w:hint="eastAsia"/>
          <w:bCs/>
          <w:kern w:val="0"/>
          <w:sz w:val="32"/>
          <w:szCs w:val="32"/>
        </w:rPr>
        <w:t>。</w:t>
      </w:r>
    </w:p>
    <w:p w:rsidR="00704D76" w:rsidRDefault="00704D76" w:rsidP="00704D7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704D76" w:rsidRDefault="00704D76" w:rsidP="00704D76">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cs="仿宋_GB2312" w:hint="eastAsia"/>
          <w:kern w:val="0"/>
          <w:sz w:val="32"/>
          <w:szCs w:val="32"/>
        </w:rPr>
        <w:t>4.事业收入</w:t>
      </w:r>
      <w:r>
        <w:rPr>
          <w:rFonts w:ascii="仿宋_GB2312" w:eastAsia="仿宋_GB2312" w:hint="eastAsia"/>
          <w:kern w:val="0"/>
          <w:sz w:val="32"/>
          <w:szCs w:val="32"/>
        </w:rPr>
        <w:t>0</w:t>
      </w:r>
      <w:r>
        <w:rPr>
          <w:rFonts w:ascii="仿宋_GB2312" w:eastAsia="仿宋_GB2312" w:cs="仿宋_GB2312" w:hint="eastAsia"/>
          <w:kern w:val="0"/>
          <w:sz w:val="32"/>
          <w:szCs w:val="32"/>
        </w:rPr>
        <w:t>万元</w:t>
      </w:r>
      <w:r>
        <w:rPr>
          <w:rFonts w:ascii="仿宋_GB2312" w:eastAsia="仿宋_GB2312" w:hint="eastAsia"/>
          <w:bCs/>
          <w:kern w:val="0"/>
          <w:sz w:val="32"/>
          <w:szCs w:val="32"/>
        </w:rPr>
        <w:t>。</w:t>
      </w:r>
    </w:p>
    <w:p w:rsidR="00704D76" w:rsidRDefault="00704D76" w:rsidP="00704D7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704D76" w:rsidRDefault="00704D76" w:rsidP="00704D7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704D76" w:rsidRDefault="00704D76" w:rsidP="00704D76">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704D76" w:rsidRDefault="00704D76" w:rsidP="00704D7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.上年结转和结余4.37万元，为以前年度支出预算因客观条件变化未执行完毕、结转到本年度按有关规定继续使用的资金。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较2020年度决算数增加4.37万元，增长100%，主要原因是：</w:t>
      </w:r>
      <w:r>
        <w:rPr>
          <w:rFonts w:ascii="仿宋_GB2312" w:eastAsia="仿宋_GB2312" w:cs="仿宋_GB2312" w:hint="eastAsia"/>
          <w:kern w:val="0"/>
          <w:sz w:val="32"/>
          <w:szCs w:val="32"/>
        </w:rPr>
        <w:t>2020年度支出预算因客观条件变化未执行完毕、结转到2021年度。</w:t>
      </w:r>
    </w:p>
    <w:p w:rsidR="00704D76" w:rsidRDefault="00704D76" w:rsidP="00704D7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（二）本部门2021年度总支出336.29万元，其中本年支出336.29万元, </w:t>
      </w:r>
      <w:r>
        <w:rPr>
          <w:rFonts w:ascii="仿宋_GB2312" w:eastAsia="仿宋_GB2312" w:hAnsi="黑体" w:cs="仿宋_GB2312" w:hint="eastAsia"/>
          <w:kern w:val="0"/>
          <w:sz w:val="32"/>
          <w:szCs w:val="32"/>
        </w:rPr>
        <w:t>较2020年度决算数减少10.44万元，下降3.01%。</w:t>
      </w:r>
      <w:r>
        <w:rPr>
          <w:rFonts w:ascii="仿宋_GB2312" w:eastAsia="仿宋_GB2312" w:cs="仿宋_GB2312" w:hint="eastAsia"/>
          <w:kern w:val="0"/>
          <w:sz w:val="32"/>
          <w:szCs w:val="32"/>
        </w:rPr>
        <w:t>支出具体情况如下：</w:t>
      </w:r>
    </w:p>
    <w:p w:rsidR="00DF1B27" w:rsidRDefault="00704D76" w:rsidP="00DF1B27">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w:t>
      </w:r>
      <w:r w:rsidR="00DF1B27">
        <w:rPr>
          <w:rFonts w:ascii="仿宋_GB2312" w:eastAsia="仿宋_GB2312" w:cs="仿宋_GB2312" w:hint="eastAsia"/>
          <w:kern w:val="0"/>
          <w:sz w:val="32"/>
          <w:szCs w:val="32"/>
        </w:rPr>
        <w:t>一般公共服务支出209.85</w:t>
      </w:r>
      <w:r>
        <w:rPr>
          <w:rFonts w:ascii="仿宋_GB2312" w:eastAsia="仿宋_GB2312" w:cs="仿宋_GB2312" w:hint="eastAsia"/>
          <w:kern w:val="0"/>
          <w:sz w:val="32"/>
          <w:szCs w:val="32"/>
        </w:rPr>
        <w:t>万元：主要用于</w:t>
      </w:r>
      <w:r w:rsidR="00DF1B27">
        <w:rPr>
          <w:rFonts w:ascii="仿宋_GB2312" w:eastAsia="仿宋_GB2312" w:cs="仿宋_GB2312" w:hint="eastAsia"/>
          <w:kern w:val="0"/>
          <w:sz w:val="32"/>
          <w:szCs w:val="32"/>
        </w:rPr>
        <w:t>行政运行、</w:t>
      </w:r>
      <w:r w:rsidR="00DF1B27">
        <w:rPr>
          <w:rFonts w:ascii="仿宋_GB2312" w:eastAsia="仿宋_GB2312" w:cs="仿宋_GB2312" w:hint="eastAsia"/>
          <w:kern w:val="0"/>
          <w:sz w:val="32"/>
          <w:szCs w:val="32"/>
        </w:rPr>
        <w:lastRenderedPageBreak/>
        <w:t>参政议政，</w:t>
      </w:r>
      <w:r w:rsidR="00CD0E5B">
        <w:rPr>
          <w:rFonts w:ascii="仿宋_GB2312" w:eastAsia="仿宋_GB2312" w:hint="eastAsia"/>
          <w:color w:val="000000"/>
          <w:sz w:val="32"/>
          <w:szCs w:val="32"/>
        </w:rPr>
        <w:t>在职人员工资发放、办公费、水电费、差旅费、公务接待费等日常行政运行方面的基本支出和用于调研经费、办公设备购置费用、节日慰问费、专项业务费等方面的项目支出。</w:t>
      </w:r>
      <w:r w:rsidR="00DF1B27">
        <w:rPr>
          <w:rFonts w:ascii="仿宋_GB2312" w:eastAsia="仿宋_GB2312" w:hAnsi="黑体" w:cs="仿宋_GB2312" w:hint="eastAsia"/>
          <w:kern w:val="0"/>
          <w:sz w:val="32"/>
          <w:szCs w:val="32"/>
        </w:rPr>
        <w:t>较2020</w:t>
      </w:r>
      <w:r w:rsidR="00CD0E5B">
        <w:rPr>
          <w:rFonts w:ascii="仿宋_GB2312" w:eastAsia="仿宋_GB2312" w:hAnsi="黑体" w:cs="仿宋_GB2312" w:hint="eastAsia"/>
          <w:kern w:val="0"/>
          <w:sz w:val="32"/>
          <w:szCs w:val="32"/>
        </w:rPr>
        <w:t>年度决算数减少25.93万元，下降10.10%</w:t>
      </w:r>
      <w:r w:rsidR="00DF1B27">
        <w:rPr>
          <w:rFonts w:ascii="仿宋_GB2312" w:eastAsia="仿宋_GB2312" w:hAnsi="黑体" w:cs="仿宋_GB2312" w:hint="eastAsia"/>
          <w:kern w:val="0"/>
          <w:sz w:val="32"/>
          <w:szCs w:val="32"/>
        </w:rPr>
        <w:t>，主要原因是：经费压减。</w:t>
      </w:r>
    </w:p>
    <w:p w:rsidR="00CD0E5B" w:rsidRDefault="00CD0E5B" w:rsidP="00CD0E5B">
      <w:pPr>
        <w:autoSpaceDE w:val="0"/>
        <w:autoSpaceDN w:val="0"/>
        <w:adjustRightInd w:val="0"/>
        <w:spacing w:line="560" w:lineRule="exact"/>
        <w:ind w:firstLineChars="200" w:firstLine="640"/>
        <w:jc w:val="left"/>
        <w:rPr>
          <w:rFonts w:ascii="仿宋_GB2312" w:eastAsia="仿宋_GB2312"/>
          <w:color w:val="000000"/>
          <w:sz w:val="32"/>
          <w:szCs w:val="32"/>
        </w:rPr>
      </w:pPr>
      <w:r>
        <w:rPr>
          <w:rFonts w:ascii="仿宋_GB2312" w:eastAsia="仿宋_GB2312" w:cs="仿宋_GB2312" w:hint="eastAsia"/>
          <w:bCs/>
          <w:kern w:val="0"/>
          <w:sz w:val="32"/>
          <w:szCs w:val="32"/>
        </w:rPr>
        <w:t>2.社会保障和就业支出88.98万元：主要用于</w:t>
      </w:r>
      <w:r>
        <w:rPr>
          <w:rFonts w:ascii="仿宋_GB2312" w:eastAsia="仿宋_GB2312" w:cs="仿宋_GB2312" w:hint="eastAsia"/>
          <w:kern w:val="0"/>
          <w:sz w:val="32"/>
          <w:szCs w:val="32"/>
        </w:rPr>
        <w:t>行政事业单位养老支出和行政单位离退休支出。</w:t>
      </w:r>
      <w:r>
        <w:rPr>
          <w:rFonts w:ascii="仿宋_GB2312" w:eastAsia="仿宋_GB2312" w:hAnsi="黑体" w:cs="仿宋_GB2312" w:hint="eastAsia"/>
          <w:kern w:val="0"/>
          <w:sz w:val="32"/>
          <w:szCs w:val="32"/>
        </w:rPr>
        <w:t>较2020年度决算数增加28.81万元，增长47.88%，主要原因是：</w:t>
      </w:r>
      <w:r>
        <w:rPr>
          <w:rFonts w:ascii="仿宋_GB2312" w:eastAsia="仿宋_GB2312" w:hint="eastAsia"/>
          <w:color w:val="000000"/>
          <w:sz w:val="32"/>
          <w:szCs w:val="32"/>
        </w:rPr>
        <w:t>2021年机关事业单位养老保险缴费、职业年金缴费、基本医疗保险缴费、其他各项社会保障缴费、住房公积金等费用的计提基数全部按照工资总额全口径计算，因此机关事业单位基本养老保险缴费、职业年金缴费等人员经费预算比上年增加。</w:t>
      </w:r>
    </w:p>
    <w:p w:rsidR="00CD0E5B" w:rsidRDefault="00CD0E5B" w:rsidP="00CD0E5B">
      <w:pPr>
        <w:autoSpaceDE w:val="0"/>
        <w:autoSpaceDN w:val="0"/>
        <w:adjustRightInd w:val="0"/>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3.</w:t>
      </w:r>
      <w:r w:rsidRPr="00E83D42">
        <w:rPr>
          <w:rFonts w:ascii="仿宋_GB2312" w:eastAsia="仿宋_GB2312" w:hint="eastAsia"/>
          <w:color w:val="000000"/>
          <w:sz w:val="32"/>
          <w:szCs w:val="32"/>
        </w:rPr>
        <w:t xml:space="preserve"> </w:t>
      </w:r>
      <w:r>
        <w:rPr>
          <w:rFonts w:ascii="仿宋_GB2312" w:eastAsia="仿宋_GB2312" w:hint="eastAsia"/>
          <w:color w:val="000000"/>
          <w:sz w:val="32"/>
          <w:szCs w:val="32"/>
        </w:rPr>
        <w:t>卫生健康支出23.57万元，主要用于按照国家政策规定由单位缴纳的基本医疗保险缴费支出和公务员医疗补助经费支出。较2020年度决算数减少7.47万元，下降24.07%，</w:t>
      </w:r>
      <w:r>
        <w:rPr>
          <w:rFonts w:ascii="仿宋_GB2312" w:eastAsia="仿宋_GB2312" w:hAnsi="黑体" w:cs="仿宋_GB2312" w:hint="eastAsia"/>
          <w:kern w:val="0"/>
          <w:sz w:val="32"/>
          <w:szCs w:val="32"/>
        </w:rPr>
        <w:t>主要原因是：</w:t>
      </w:r>
      <w:r>
        <w:rPr>
          <w:rFonts w:ascii="仿宋_GB2312" w:eastAsia="仿宋_GB2312" w:hint="eastAsia"/>
          <w:color w:val="000000"/>
          <w:sz w:val="32"/>
          <w:szCs w:val="32"/>
        </w:rPr>
        <w:t>经费压减。</w:t>
      </w:r>
    </w:p>
    <w:p w:rsidR="00CD0E5B" w:rsidRDefault="00CD0E5B" w:rsidP="00CD0E5B">
      <w:pPr>
        <w:autoSpaceDE w:val="0"/>
        <w:autoSpaceDN w:val="0"/>
        <w:adjustRightInd w:val="0"/>
        <w:spacing w:line="560" w:lineRule="exact"/>
        <w:ind w:firstLineChars="200" w:firstLine="640"/>
        <w:jc w:val="left"/>
        <w:rPr>
          <w:rFonts w:ascii="仿宋_GB2312" w:eastAsia="仿宋_GB2312"/>
          <w:color w:val="000000"/>
          <w:sz w:val="32"/>
          <w:szCs w:val="32"/>
          <w:shd w:val="clear" w:color="auto" w:fill="FFFFFF"/>
        </w:rPr>
      </w:pPr>
      <w:r>
        <w:rPr>
          <w:rFonts w:ascii="仿宋_GB2312" w:eastAsia="仿宋_GB2312" w:hint="eastAsia"/>
          <w:color w:val="000000"/>
          <w:sz w:val="32"/>
          <w:szCs w:val="32"/>
        </w:rPr>
        <w:t>4.</w:t>
      </w:r>
      <w:r w:rsidRPr="00E83D42">
        <w:rPr>
          <w:rFonts w:ascii="仿宋_GB2312" w:eastAsia="仿宋_GB2312" w:hint="eastAsia"/>
          <w:color w:val="000000"/>
          <w:sz w:val="32"/>
          <w:szCs w:val="32"/>
        </w:rPr>
        <w:t xml:space="preserve"> </w:t>
      </w:r>
      <w:r>
        <w:rPr>
          <w:rFonts w:ascii="仿宋_GB2312" w:eastAsia="仿宋_GB2312" w:hint="eastAsia"/>
          <w:color w:val="000000"/>
          <w:sz w:val="32"/>
          <w:szCs w:val="32"/>
        </w:rPr>
        <w:t>住房保障支出13.89万元，主要用于按照国家政策规定由单位为职工缴纳的住房公积金等住房改革方面的支出。较2020年度决算数减少5.85万元，下降29.64%，</w:t>
      </w:r>
      <w:r>
        <w:rPr>
          <w:rFonts w:ascii="仿宋_GB2312" w:eastAsia="仿宋_GB2312" w:hAnsi="黑体" w:cs="仿宋_GB2312" w:hint="eastAsia"/>
          <w:kern w:val="0"/>
          <w:sz w:val="32"/>
          <w:szCs w:val="32"/>
        </w:rPr>
        <w:t>主要原因是：2021年</w:t>
      </w:r>
      <w:r>
        <w:rPr>
          <w:rFonts w:ascii="仿宋_GB2312" w:eastAsia="仿宋_GB2312" w:hint="eastAsia"/>
          <w:color w:val="000000"/>
          <w:sz w:val="32"/>
          <w:szCs w:val="32"/>
          <w:shd w:val="clear" w:color="auto" w:fill="FFFFFF"/>
        </w:rPr>
        <w:t>住房公积金未支付完，需转到下年转出。</w:t>
      </w:r>
    </w:p>
    <w:p w:rsidR="00CD0E5B" w:rsidRDefault="00CD0E5B" w:rsidP="00CD0E5B">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.结余分配</w:t>
      </w:r>
      <w:r>
        <w:rPr>
          <w:rFonts w:ascii="仿宋_GB2312" w:eastAsia="仿宋_GB2312" w:hint="eastAsia"/>
          <w:kern w:val="0"/>
          <w:sz w:val="32"/>
          <w:szCs w:val="32"/>
        </w:rPr>
        <w:t>0</w:t>
      </w:r>
      <w:r>
        <w:rPr>
          <w:rFonts w:ascii="仿宋_GB2312" w:eastAsia="仿宋_GB2312" w:cs="仿宋_GB2312" w:hint="eastAsia"/>
          <w:kern w:val="0"/>
          <w:sz w:val="32"/>
          <w:szCs w:val="32"/>
        </w:rPr>
        <w:t>万元。</w:t>
      </w:r>
    </w:p>
    <w:p w:rsidR="00CD0E5B" w:rsidRDefault="00CD0E5B" w:rsidP="00CD0E5B">
      <w:pPr>
        <w:pStyle w:val="a6"/>
        <w:spacing w:before="0" w:beforeAutospacing="0" w:after="0" w:afterAutospacing="0" w:line="555" w:lineRule="atLeast"/>
        <w:ind w:firstLine="645"/>
        <w:rPr>
          <w:rFonts w:ascii="仿宋_GB2312" w:eastAsia="仿宋_GB2312" w:cs="仿宋_GB2312"/>
          <w:sz w:val="32"/>
          <w:szCs w:val="32"/>
        </w:rPr>
      </w:pPr>
      <w:r>
        <w:rPr>
          <w:rFonts w:ascii="仿宋_GB2312" w:eastAsia="仿宋_GB2312" w:hint="eastAsia"/>
          <w:color w:val="000000"/>
          <w:sz w:val="32"/>
          <w:szCs w:val="32"/>
        </w:rPr>
        <w:t>6.年末结转和结余4.37万元，为本年度或以前年度预算安排、因客观条件发生变化无法按原计划实施，需要延迟到以后年度按有关规定继续使用的资金。较2020年度决算数</w:t>
      </w:r>
      <w:r>
        <w:rPr>
          <w:rFonts w:ascii="仿宋_GB2312" w:eastAsia="仿宋_GB2312" w:hAnsi="黑体" w:cs="仿宋_GB2312" w:hint="eastAsia"/>
          <w:sz w:val="32"/>
          <w:szCs w:val="32"/>
        </w:rPr>
        <w:lastRenderedPageBreak/>
        <w:t>增加4.37万元，增长100%，主要原因是：</w:t>
      </w:r>
      <w:r>
        <w:rPr>
          <w:rFonts w:ascii="仿宋_GB2312" w:eastAsia="仿宋_GB2312" w:cs="仿宋_GB2312" w:hint="eastAsia"/>
          <w:sz w:val="32"/>
          <w:szCs w:val="32"/>
        </w:rPr>
        <w:t>2020年度支出预算因客观条件变化未执行完毕、结转到2021年度支出。</w:t>
      </w:r>
    </w:p>
    <w:p w:rsidR="00DF1B27" w:rsidRDefault="00DF1B27" w:rsidP="00DF1B27">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DF1B27" w:rsidRDefault="00DF1B27" w:rsidP="00DF1B27">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sidR="00D32846">
        <w:rPr>
          <w:rFonts w:ascii="仿宋_GB2312" w:eastAsia="仿宋_GB2312" w:hint="eastAsia"/>
          <w:kern w:val="0"/>
          <w:sz w:val="32"/>
          <w:szCs w:val="32"/>
        </w:rPr>
        <w:t>33</w:t>
      </w:r>
      <w:r w:rsidR="00A40A83">
        <w:rPr>
          <w:rFonts w:ascii="仿宋_GB2312" w:eastAsia="仿宋_GB2312" w:hint="eastAsia"/>
          <w:kern w:val="0"/>
          <w:sz w:val="32"/>
          <w:szCs w:val="32"/>
        </w:rPr>
        <w:t>6.29</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较2020年度决算数减少</w:t>
      </w:r>
      <w:r w:rsidR="00D32846">
        <w:rPr>
          <w:rFonts w:ascii="仿宋_GB2312" w:eastAsia="仿宋_GB2312" w:hAnsi="黑体" w:cs="仿宋_GB2312" w:hint="eastAsia"/>
          <w:kern w:val="0"/>
          <w:sz w:val="32"/>
          <w:szCs w:val="32"/>
        </w:rPr>
        <w:t>10.44</w:t>
      </w:r>
      <w:r>
        <w:rPr>
          <w:rFonts w:ascii="仿宋_GB2312" w:eastAsia="仿宋_GB2312" w:hAnsi="黑体" w:cs="仿宋_GB2312" w:hint="eastAsia"/>
          <w:kern w:val="0"/>
          <w:sz w:val="32"/>
          <w:szCs w:val="32"/>
        </w:rPr>
        <w:t>万元，下降</w:t>
      </w:r>
      <w:r w:rsidR="00D32846">
        <w:rPr>
          <w:rFonts w:ascii="仿宋_GB2312" w:eastAsia="仿宋_GB2312" w:hAnsi="黑体" w:cs="仿宋_GB2312" w:hint="eastAsia"/>
          <w:kern w:val="0"/>
          <w:sz w:val="32"/>
          <w:szCs w:val="32"/>
        </w:rPr>
        <w:t>3.01</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sidR="00D32846">
        <w:rPr>
          <w:rFonts w:ascii="仿宋_GB2312" w:eastAsia="仿宋_GB2312" w:hint="eastAsia"/>
          <w:kern w:val="0"/>
          <w:sz w:val="32"/>
          <w:szCs w:val="32"/>
        </w:rPr>
        <w:t>314.08</w:t>
      </w:r>
      <w:r>
        <w:rPr>
          <w:rFonts w:ascii="仿宋_GB2312" w:eastAsia="仿宋_GB2312" w:cs="仿宋_GB2312" w:hint="eastAsia"/>
          <w:kern w:val="0"/>
          <w:sz w:val="32"/>
          <w:szCs w:val="32"/>
        </w:rPr>
        <w:t>万元，项目支出</w:t>
      </w:r>
      <w:r w:rsidR="00D32846">
        <w:rPr>
          <w:rFonts w:ascii="仿宋_GB2312" w:eastAsia="仿宋_GB2312" w:hint="eastAsia"/>
          <w:kern w:val="0"/>
          <w:sz w:val="32"/>
          <w:szCs w:val="32"/>
        </w:rPr>
        <w:t>22.20</w:t>
      </w:r>
      <w:r>
        <w:rPr>
          <w:rFonts w:ascii="仿宋_GB2312" w:eastAsia="仿宋_GB2312" w:cs="仿宋_GB2312" w:hint="eastAsia"/>
          <w:kern w:val="0"/>
          <w:sz w:val="32"/>
          <w:szCs w:val="32"/>
        </w:rPr>
        <w:t>万元。</w:t>
      </w:r>
    </w:p>
    <w:p w:rsidR="00DF1B27" w:rsidRDefault="00DF1B27" w:rsidP="00DF1B27">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sidR="00A40A83">
        <w:rPr>
          <w:rFonts w:ascii="仿宋_GB2312" w:eastAsia="仿宋_GB2312" w:hAnsi="黑体" w:cs="仿宋_GB2312" w:hint="eastAsia"/>
          <w:kern w:val="0"/>
          <w:sz w:val="32"/>
          <w:szCs w:val="32"/>
        </w:rPr>
        <w:t>282.73</w:t>
      </w:r>
      <w:r>
        <w:rPr>
          <w:rFonts w:ascii="仿宋_GB2312" w:eastAsia="仿宋_GB2312" w:hAnsi="黑体" w:cs="仿宋_GB2312" w:hint="eastAsia"/>
          <w:kern w:val="0"/>
          <w:sz w:val="32"/>
          <w:szCs w:val="32"/>
        </w:rPr>
        <w:t>万元，支出决算为</w:t>
      </w:r>
      <w:r w:rsidR="00A40A83">
        <w:rPr>
          <w:rFonts w:ascii="仿宋_GB2312" w:eastAsia="仿宋_GB2312" w:hAnsi="黑体" w:cs="仿宋_GB2312" w:hint="eastAsia"/>
          <w:kern w:val="0"/>
          <w:sz w:val="32"/>
          <w:szCs w:val="32"/>
        </w:rPr>
        <w:t>336.29</w:t>
      </w:r>
      <w:r>
        <w:rPr>
          <w:rFonts w:ascii="仿宋_GB2312" w:eastAsia="仿宋_GB2312" w:hAnsi="黑体" w:cs="仿宋_GB2312" w:hint="eastAsia"/>
          <w:kern w:val="0"/>
          <w:sz w:val="32"/>
          <w:szCs w:val="32"/>
        </w:rPr>
        <w:t>万元，完成年初预算的1</w:t>
      </w:r>
      <w:r w:rsidR="00A40A83">
        <w:rPr>
          <w:rFonts w:ascii="仿宋_GB2312" w:eastAsia="仿宋_GB2312" w:hAnsi="黑体" w:cs="仿宋_GB2312" w:hint="eastAsia"/>
          <w:kern w:val="0"/>
          <w:sz w:val="32"/>
          <w:szCs w:val="32"/>
        </w:rPr>
        <w:t>18.94</w:t>
      </w:r>
      <w:r>
        <w:rPr>
          <w:rFonts w:ascii="仿宋_GB2312" w:eastAsia="仿宋_GB2312" w:hAnsi="黑体" w:cs="仿宋_GB2312" w:hint="eastAsia"/>
          <w:kern w:val="0"/>
          <w:sz w:val="32"/>
          <w:szCs w:val="32"/>
        </w:rPr>
        <w:t>%。其中：</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（一）一般公共服务（类）民主党派及工商联事务（款）行政运行（项）。年初预算为1</w:t>
      </w:r>
      <w:r w:rsidR="005B3686">
        <w:rPr>
          <w:rFonts w:ascii="仿宋_GB2312" w:eastAsia="仿宋_GB2312" w:hAnsi="Tahoma" w:cs="Tahoma" w:hint="eastAsia"/>
          <w:color w:val="000000"/>
          <w:sz w:val="32"/>
          <w:szCs w:val="32"/>
        </w:rPr>
        <w:t>68.65</w:t>
      </w:r>
      <w:r>
        <w:rPr>
          <w:rFonts w:ascii="仿宋_GB2312" w:eastAsia="仿宋_GB2312" w:hAnsi="Tahoma" w:cs="Tahoma" w:hint="eastAsia"/>
          <w:color w:val="000000"/>
          <w:sz w:val="32"/>
          <w:szCs w:val="32"/>
        </w:rPr>
        <w:t>万元，支出决算为</w:t>
      </w:r>
      <w:r w:rsidR="00197B0B">
        <w:rPr>
          <w:rFonts w:ascii="仿宋_GB2312" w:eastAsia="仿宋_GB2312" w:hAnsi="Tahoma" w:cs="Tahoma" w:hint="eastAsia"/>
          <w:color w:val="000000"/>
          <w:sz w:val="32"/>
          <w:szCs w:val="32"/>
        </w:rPr>
        <w:t>196.15</w:t>
      </w:r>
      <w:r>
        <w:rPr>
          <w:rFonts w:ascii="仿宋_GB2312" w:eastAsia="仿宋_GB2312" w:hAnsi="Tahoma" w:cs="Tahoma" w:hint="eastAsia"/>
          <w:color w:val="000000"/>
          <w:sz w:val="32"/>
          <w:szCs w:val="32"/>
        </w:rPr>
        <w:t>万元，完成年初预算的1</w:t>
      </w:r>
      <w:r w:rsidR="005B3686">
        <w:rPr>
          <w:rFonts w:ascii="仿宋_GB2312" w:eastAsia="仿宋_GB2312" w:hAnsi="Tahoma" w:cs="Tahoma" w:hint="eastAsia"/>
          <w:color w:val="000000"/>
          <w:sz w:val="32"/>
          <w:szCs w:val="32"/>
        </w:rPr>
        <w:t>16.31</w:t>
      </w:r>
      <w:r>
        <w:rPr>
          <w:rFonts w:ascii="仿宋_GB2312" w:eastAsia="仿宋_GB2312" w:hAnsi="Tahoma" w:cs="Tahoma" w:hint="eastAsia"/>
          <w:color w:val="000000"/>
          <w:sz w:val="32"/>
          <w:szCs w:val="32"/>
        </w:rPr>
        <w:t>%。预决算差异的主要原因是：年中追加安排财政拨款支出预算，涉及项目有2021年增人增资、2020年度奖励性补贴、下达2021年职工福利费等。</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（二）一般公共服务（类）民主党派及工商联事务（款）参政议政（项）。年初预算为</w:t>
      </w:r>
      <w:r w:rsidR="005B3686">
        <w:rPr>
          <w:rFonts w:ascii="仿宋_GB2312" w:eastAsia="仿宋_GB2312" w:hAnsi="Tahoma" w:cs="Tahoma" w:hint="eastAsia"/>
          <w:color w:val="000000"/>
          <w:sz w:val="32"/>
          <w:szCs w:val="32"/>
        </w:rPr>
        <w:t>12.88</w:t>
      </w:r>
      <w:r>
        <w:rPr>
          <w:rFonts w:ascii="仿宋_GB2312" w:eastAsia="仿宋_GB2312" w:hAnsi="Tahoma" w:cs="Tahoma" w:hint="eastAsia"/>
          <w:color w:val="000000"/>
          <w:sz w:val="32"/>
          <w:szCs w:val="32"/>
        </w:rPr>
        <w:t>万元，支出决算为</w:t>
      </w:r>
      <w:r w:rsidR="00197B0B">
        <w:rPr>
          <w:rFonts w:ascii="仿宋_GB2312" w:eastAsia="仿宋_GB2312" w:hAnsi="Tahoma" w:cs="Tahoma" w:hint="eastAsia"/>
          <w:color w:val="000000"/>
          <w:sz w:val="32"/>
          <w:szCs w:val="32"/>
        </w:rPr>
        <w:t>13.70</w:t>
      </w:r>
      <w:r>
        <w:rPr>
          <w:rFonts w:ascii="仿宋_GB2312" w:eastAsia="仿宋_GB2312" w:hAnsi="Tahoma" w:cs="Tahoma" w:hint="eastAsia"/>
          <w:color w:val="000000"/>
          <w:sz w:val="32"/>
          <w:szCs w:val="32"/>
        </w:rPr>
        <w:t>万元，完成年初预算的</w:t>
      </w:r>
      <w:r w:rsidR="005B3686">
        <w:rPr>
          <w:rFonts w:ascii="仿宋_GB2312" w:eastAsia="仿宋_GB2312" w:hAnsi="Tahoma" w:cs="Tahoma" w:hint="eastAsia"/>
          <w:color w:val="000000"/>
          <w:sz w:val="32"/>
          <w:szCs w:val="32"/>
        </w:rPr>
        <w:t>106.37</w:t>
      </w:r>
      <w:r>
        <w:rPr>
          <w:rFonts w:ascii="仿宋_GB2312" w:eastAsia="仿宋_GB2312" w:hAnsi="Tahoma" w:cs="Tahoma" w:hint="eastAsia"/>
          <w:color w:val="000000"/>
          <w:sz w:val="32"/>
          <w:szCs w:val="32"/>
        </w:rPr>
        <w:t>%。预决算差异的主</w:t>
      </w:r>
      <w:r w:rsidR="00197B0B">
        <w:rPr>
          <w:rFonts w:ascii="仿宋_GB2312" w:eastAsia="仿宋_GB2312" w:hAnsi="Tahoma" w:cs="Tahoma" w:hint="eastAsia"/>
          <w:color w:val="000000"/>
          <w:sz w:val="32"/>
          <w:szCs w:val="32"/>
        </w:rPr>
        <w:t>要原因：</w:t>
      </w:r>
      <w:r w:rsidR="005B3686">
        <w:rPr>
          <w:rFonts w:ascii="仿宋_GB2312" w:eastAsia="仿宋_GB2312" w:hAnsi="Tahoma" w:cs="Tahoma" w:hint="eastAsia"/>
          <w:color w:val="000000"/>
          <w:sz w:val="32"/>
          <w:szCs w:val="32"/>
        </w:rPr>
        <w:t>上年度结转下来的参政议政经费在今年支付</w:t>
      </w:r>
      <w:r>
        <w:rPr>
          <w:rFonts w:ascii="仿宋_GB2312" w:eastAsia="仿宋_GB2312" w:hAnsi="Tahoma" w:cs="Tahoma" w:hint="eastAsia"/>
          <w:color w:val="000000"/>
          <w:sz w:val="32"/>
          <w:szCs w:val="32"/>
        </w:rPr>
        <w:t>。</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（三）社会保障和就业（类）行政事业单位养老支出（款）行政单位离退休（项）。年初预算为</w:t>
      </w:r>
      <w:r w:rsidR="005B3686">
        <w:rPr>
          <w:rFonts w:ascii="仿宋_GB2312" w:eastAsia="仿宋_GB2312" w:hAnsi="Tahoma" w:cs="Tahoma" w:hint="eastAsia"/>
          <w:color w:val="000000"/>
          <w:sz w:val="32"/>
          <w:szCs w:val="32"/>
        </w:rPr>
        <w:t>25.03</w:t>
      </w:r>
      <w:r>
        <w:rPr>
          <w:rFonts w:ascii="仿宋_GB2312" w:eastAsia="仿宋_GB2312" w:hAnsi="Tahoma" w:cs="Tahoma" w:hint="eastAsia"/>
          <w:color w:val="000000"/>
          <w:sz w:val="32"/>
          <w:szCs w:val="32"/>
        </w:rPr>
        <w:t>万元，支出决算为</w:t>
      </w:r>
      <w:r w:rsidR="00197B0B">
        <w:rPr>
          <w:rFonts w:ascii="仿宋_GB2312" w:eastAsia="仿宋_GB2312" w:hAnsi="Tahoma" w:cs="Tahoma" w:hint="eastAsia"/>
          <w:color w:val="000000"/>
          <w:sz w:val="32"/>
          <w:szCs w:val="32"/>
        </w:rPr>
        <w:t>51.82</w:t>
      </w:r>
      <w:r>
        <w:rPr>
          <w:rFonts w:ascii="仿宋_GB2312" w:eastAsia="仿宋_GB2312" w:hAnsi="Tahoma" w:cs="Tahoma" w:hint="eastAsia"/>
          <w:color w:val="000000"/>
          <w:sz w:val="32"/>
          <w:szCs w:val="32"/>
        </w:rPr>
        <w:t>万元，完成年初预算的</w:t>
      </w:r>
      <w:r w:rsidR="005B3686">
        <w:rPr>
          <w:rFonts w:ascii="仿宋_GB2312" w:eastAsia="仿宋_GB2312" w:hAnsi="Tahoma" w:cs="Tahoma" w:hint="eastAsia"/>
          <w:color w:val="000000"/>
          <w:sz w:val="32"/>
          <w:szCs w:val="32"/>
        </w:rPr>
        <w:t>207.03</w:t>
      </w:r>
      <w:r>
        <w:rPr>
          <w:rFonts w:ascii="仿宋_GB2312" w:eastAsia="仿宋_GB2312" w:hAnsi="Tahoma" w:cs="Tahoma" w:hint="eastAsia"/>
          <w:color w:val="000000"/>
          <w:sz w:val="32"/>
          <w:szCs w:val="32"/>
        </w:rPr>
        <w:t>%。预决算差异的主要原因是：年中追加安排财政拨款支出预算，涉及项目有</w:t>
      </w:r>
      <w:r>
        <w:rPr>
          <w:rFonts w:ascii="仿宋_GB2312" w:eastAsia="仿宋_GB2312" w:hAnsi="Tahoma" w:cs="Tahoma" w:hint="eastAsia"/>
          <w:color w:val="000000"/>
          <w:sz w:val="32"/>
          <w:szCs w:val="32"/>
        </w:rPr>
        <w:lastRenderedPageBreak/>
        <w:t>2021年退休干部春节慰问金补差、</w:t>
      </w:r>
      <w:r w:rsidR="005B3686">
        <w:rPr>
          <w:rFonts w:ascii="仿宋_GB2312" w:eastAsia="仿宋_GB2312" w:hAnsi="Tahoma" w:cs="Tahoma" w:hint="eastAsia"/>
          <w:color w:val="000000"/>
          <w:sz w:val="32"/>
          <w:szCs w:val="32"/>
        </w:rPr>
        <w:t>以为离休人员的过世抚恤金、</w:t>
      </w:r>
      <w:r>
        <w:rPr>
          <w:rFonts w:ascii="仿宋_GB2312" w:eastAsia="仿宋_GB2312" w:hAnsi="Tahoma" w:cs="Tahoma" w:hint="eastAsia"/>
          <w:color w:val="000000"/>
          <w:sz w:val="32"/>
          <w:szCs w:val="32"/>
        </w:rPr>
        <w:t>2021年增人增资——离退休生活补助。</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（四）社会保障和就业（类）行政事业单位养老支出（款）机关事业单位基本养老保险缴费支出（项）。年初预算为</w:t>
      </w:r>
      <w:r w:rsidR="00C57F13">
        <w:rPr>
          <w:rFonts w:ascii="仿宋_GB2312" w:eastAsia="仿宋_GB2312" w:hAnsi="Tahoma" w:cs="Tahoma" w:hint="eastAsia"/>
          <w:color w:val="000000"/>
          <w:sz w:val="32"/>
          <w:szCs w:val="32"/>
        </w:rPr>
        <w:t>24.19</w:t>
      </w:r>
      <w:r>
        <w:rPr>
          <w:rFonts w:ascii="仿宋_GB2312" w:eastAsia="仿宋_GB2312" w:hAnsi="Tahoma" w:cs="Tahoma" w:hint="eastAsia"/>
          <w:color w:val="000000"/>
          <w:sz w:val="32"/>
          <w:szCs w:val="32"/>
        </w:rPr>
        <w:t>万元，支出决算为</w:t>
      </w:r>
      <w:r w:rsidR="00197B0B">
        <w:rPr>
          <w:rFonts w:ascii="仿宋_GB2312" w:eastAsia="仿宋_GB2312" w:hAnsi="Tahoma" w:cs="Tahoma" w:hint="eastAsia"/>
          <w:color w:val="000000"/>
          <w:sz w:val="32"/>
          <w:szCs w:val="32"/>
        </w:rPr>
        <w:t>24.78</w:t>
      </w:r>
      <w:r>
        <w:rPr>
          <w:rFonts w:ascii="仿宋_GB2312" w:eastAsia="仿宋_GB2312" w:hAnsi="Tahoma" w:cs="Tahoma" w:hint="eastAsia"/>
          <w:color w:val="000000"/>
          <w:sz w:val="32"/>
          <w:szCs w:val="32"/>
        </w:rPr>
        <w:t>万元，完成年初预算的1</w:t>
      </w:r>
      <w:r w:rsidR="00C57F13">
        <w:rPr>
          <w:rFonts w:ascii="仿宋_GB2312" w:eastAsia="仿宋_GB2312" w:hAnsi="Tahoma" w:cs="Tahoma" w:hint="eastAsia"/>
          <w:color w:val="000000"/>
          <w:sz w:val="32"/>
          <w:szCs w:val="32"/>
        </w:rPr>
        <w:t>02.44</w:t>
      </w:r>
      <w:r>
        <w:rPr>
          <w:rFonts w:ascii="仿宋_GB2312" w:eastAsia="仿宋_GB2312" w:hAnsi="Tahoma" w:cs="Tahoma" w:hint="eastAsia"/>
          <w:color w:val="000000"/>
          <w:sz w:val="32"/>
          <w:szCs w:val="32"/>
        </w:rPr>
        <w:t>%。预决算差异的主要原因是：年中追加安排财政拨款支出预算，涉及项目有补202</w:t>
      </w:r>
      <w:r w:rsidR="00197B0B">
        <w:rPr>
          <w:rFonts w:ascii="仿宋_GB2312" w:eastAsia="仿宋_GB2312" w:hAnsi="Tahoma" w:cs="Tahoma" w:hint="eastAsia"/>
          <w:color w:val="000000"/>
          <w:sz w:val="32"/>
          <w:szCs w:val="32"/>
        </w:rPr>
        <w:t>0</w:t>
      </w:r>
      <w:r>
        <w:rPr>
          <w:rFonts w:ascii="仿宋_GB2312" w:eastAsia="仿宋_GB2312" w:hAnsi="Tahoma" w:cs="Tahoma" w:hint="eastAsia"/>
          <w:color w:val="000000"/>
          <w:sz w:val="32"/>
          <w:szCs w:val="32"/>
        </w:rPr>
        <w:t>年增人增资——养老保险。</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（五）社会保障和就业（类）行政事业单位养老支出（款）机关事业单位职业年金缴费支出（项）。年初预算为</w:t>
      </w:r>
      <w:r w:rsidR="00C57F13">
        <w:rPr>
          <w:rFonts w:ascii="仿宋_GB2312" w:eastAsia="仿宋_GB2312" w:hAnsi="Tahoma" w:cs="Tahoma" w:hint="eastAsia"/>
          <w:color w:val="000000"/>
          <w:sz w:val="32"/>
          <w:szCs w:val="32"/>
        </w:rPr>
        <w:t>12.10</w:t>
      </w:r>
      <w:r>
        <w:rPr>
          <w:rFonts w:ascii="仿宋_GB2312" w:eastAsia="仿宋_GB2312" w:hAnsi="Tahoma" w:cs="Tahoma" w:hint="eastAsia"/>
          <w:color w:val="000000"/>
          <w:sz w:val="32"/>
          <w:szCs w:val="32"/>
        </w:rPr>
        <w:t>万元，支出决算为</w:t>
      </w:r>
      <w:r w:rsidR="00197B0B">
        <w:rPr>
          <w:rFonts w:ascii="仿宋_GB2312" w:eastAsia="仿宋_GB2312" w:hAnsi="Tahoma" w:cs="Tahoma" w:hint="eastAsia"/>
          <w:color w:val="000000"/>
          <w:sz w:val="32"/>
          <w:szCs w:val="32"/>
        </w:rPr>
        <w:t>12.39</w:t>
      </w:r>
      <w:r>
        <w:rPr>
          <w:rFonts w:ascii="仿宋_GB2312" w:eastAsia="仿宋_GB2312" w:hAnsi="Tahoma" w:cs="Tahoma" w:hint="eastAsia"/>
          <w:color w:val="000000"/>
          <w:sz w:val="32"/>
          <w:szCs w:val="32"/>
        </w:rPr>
        <w:t>万元，完成年初预算的1</w:t>
      </w:r>
      <w:r w:rsidR="00C57F13">
        <w:rPr>
          <w:rFonts w:ascii="仿宋_GB2312" w:eastAsia="仿宋_GB2312" w:hAnsi="Tahoma" w:cs="Tahoma" w:hint="eastAsia"/>
          <w:color w:val="000000"/>
          <w:sz w:val="32"/>
          <w:szCs w:val="32"/>
        </w:rPr>
        <w:t>02.40</w:t>
      </w:r>
      <w:r>
        <w:rPr>
          <w:rFonts w:ascii="仿宋_GB2312" w:eastAsia="仿宋_GB2312" w:hAnsi="Tahoma" w:cs="Tahoma" w:hint="eastAsia"/>
          <w:color w:val="000000"/>
          <w:sz w:val="32"/>
          <w:szCs w:val="32"/>
        </w:rPr>
        <w:t>%。预决算差异的主要原因是：年中追加安排财政拨款支出预算，涉及项目有补202</w:t>
      </w:r>
      <w:r w:rsidR="00197B0B">
        <w:rPr>
          <w:rFonts w:ascii="仿宋_GB2312" w:eastAsia="仿宋_GB2312" w:hAnsi="Tahoma" w:cs="Tahoma" w:hint="eastAsia"/>
          <w:color w:val="000000"/>
          <w:sz w:val="32"/>
          <w:szCs w:val="32"/>
        </w:rPr>
        <w:t>0</w:t>
      </w:r>
      <w:r>
        <w:rPr>
          <w:rFonts w:ascii="仿宋_GB2312" w:eastAsia="仿宋_GB2312" w:hAnsi="Tahoma" w:cs="Tahoma" w:hint="eastAsia"/>
          <w:color w:val="000000"/>
          <w:sz w:val="32"/>
          <w:szCs w:val="32"/>
        </w:rPr>
        <w:t>年增人增资——职业年金。</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（六）卫生健康（类）行政事业单位医疗（款）行政单位医疗（项）。年初预算为</w:t>
      </w:r>
      <w:r w:rsidR="00C57F13">
        <w:rPr>
          <w:rFonts w:ascii="仿宋_GB2312" w:eastAsia="仿宋_GB2312" w:hAnsi="Tahoma" w:cs="Tahoma" w:hint="eastAsia"/>
          <w:color w:val="000000"/>
          <w:sz w:val="32"/>
          <w:szCs w:val="32"/>
        </w:rPr>
        <w:t>16.59</w:t>
      </w:r>
      <w:r>
        <w:rPr>
          <w:rFonts w:ascii="仿宋_GB2312" w:eastAsia="仿宋_GB2312" w:hAnsi="Tahoma" w:cs="Tahoma" w:hint="eastAsia"/>
          <w:color w:val="000000"/>
          <w:sz w:val="32"/>
          <w:szCs w:val="32"/>
        </w:rPr>
        <w:t>万元，支出决算为</w:t>
      </w:r>
      <w:r w:rsidR="00197B0B">
        <w:rPr>
          <w:rFonts w:ascii="仿宋_GB2312" w:eastAsia="仿宋_GB2312" w:hAnsi="Tahoma" w:cs="Tahoma" w:hint="eastAsia"/>
          <w:color w:val="000000"/>
          <w:sz w:val="32"/>
          <w:szCs w:val="32"/>
        </w:rPr>
        <w:t>18.08</w:t>
      </w:r>
      <w:r>
        <w:rPr>
          <w:rFonts w:ascii="仿宋_GB2312" w:eastAsia="仿宋_GB2312" w:hAnsi="Tahoma" w:cs="Tahoma" w:hint="eastAsia"/>
          <w:color w:val="000000"/>
          <w:sz w:val="32"/>
          <w:szCs w:val="32"/>
        </w:rPr>
        <w:t>万元，完成年初预算的1</w:t>
      </w:r>
      <w:r w:rsidR="00C57F13">
        <w:rPr>
          <w:rFonts w:ascii="仿宋_GB2312" w:eastAsia="仿宋_GB2312" w:hAnsi="Tahoma" w:cs="Tahoma" w:hint="eastAsia"/>
          <w:color w:val="000000"/>
          <w:sz w:val="32"/>
          <w:szCs w:val="32"/>
        </w:rPr>
        <w:t>08.98</w:t>
      </w:r>
      <w:r>
        <w:rPr>
          <w:rFonts w:ascii="仿宋_GB2312" w:eastAsia="仿宋_GB2312" w:hAnsi="Tahoma" w:cs="Tahoma" w:hint="eastAsia"/>
          <w:color w:val="000000"/>
          <w:sz w:val="32"/>
          <w:szCs w:val="32"/>
        </w:rPr>
        <w:t>%。预决算差异的主要原因是：年中追加安排财政拨款支出预算，涉及项目有补2020年增人增资——医疗保险。</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t>（七）卫生健康（类）行政事业单位医疗（款）公务员医疗补助（项）。年初预算为</w:t>
      </w:r>
      <w:r w:rsidR="00C57F13">
        <w:rPr>
          <w:rFonts w:ascii="仿宋_GB2312" w:eastAsia="仿宋_GB2312" w:hAnsi="Tahoma" w:cs="Tahoma" w:hint="eastAsia"/>
          <w:color w:val="000000"/>
          <w:sz w:val="32"/>
          <w:szCs w:val="32"/>
        </w:rPr>
        <w:t>5.16</w:t>
      </w:r>
      <w:r>
        <w:rPr>
          <w:rFonts w:ascii="仿宋_GB2312" w:eastAsia="仿宋_GB2312" w:hAnsi="Tahoma" w:cs="Tahoma" w:hint="eastAsia"/>
          <w:color w:val="000000"/>
          <w:sz w:val="32"/>
          <w:szCs w:val="32"/>
        </w:rPr>
        <w:t>万元，支出决算为5.</w:t>
      </w:r>
      <w:r w:rsidR="00197B0B">
        <w:rPr>
          <w:rFonts w:ascii="仿宋_GB2312" w:eastAsia="仿宋_GB2312" w:hAnsi="Tahoma" w:cs="Tahoma" w:hint="eastAsia"/>
          <w:color w:val="000000"/>
          <w:sz w:val="32"/>
          <w:szCs w:val="32"/>
        </w:rPr>
        <w:t>49</w:t>
      </w:r>
      <w:r>
        <w:rPr>
          <w:rFonts w:ascii="仿宋_GB2312" w:eastAsia="仿宋_GB2312" w:hAnsi="Tahoma" w:cs="Tahoma" w:hint="eastAsia"/>
          <w:color w:val="000000"/>
          <w:sz w:val="32"/>
          <w:szCs w:val="32"/>
        </w:rPr>
        <w:t>万元，完成年初预算的10</w:t>
      </w:r>
      <w:r w:rsidR="00C57F13">
        <w:rPr>
          <w:rFonts w:ascii="仿宋_GB2312" w:eastAsia="仿宋_GB2312" w:hAnsi="Tahoma" w:cs="Tahoma" w:hint="eastAsia"/>
          <w:color w:val="000000"/>
          <w:sz w:val="32"/>
          <w:szCs w:val="32"/>
        </w:rPr>
        <w:t>6.40</w:t>
      </w:r>
      <w:r>
        <w:rPr>
          <w:rFonts w:ascii="仿宋_GB2312" w:eastAsia="仿宋_GB2312" w:hAnsi="Tahoma" w:cs="Tahoma" w:hint="eastAsia"/>
          <w:color w:val="000000"/>
          <w:sz w:val="32"/>
          <w:szCs w:val="32"/>
        </w:rPr>
        <w:t>%。预决算差异的主要原因是：年中追加安排财政拨款支出预算，涉及项目有下达机关单位2021年下半年公务员医疗补助差额。</w:t>
      </w:r>
    </w:p>
    <w:p w:rsidR="00CD0E5B" w:rsidRDefault="00CD0E5B" w:rsidP="00CD0E5B">
      <w:pPr>
        <w:pStyle w:val="a6"/>
        <w:spacing w:before="0" w:beforeAutospacing="0" w:after="0" w:afterAutospacing="0" w:line="555" w:lineRule="atLeast"/>
        <w:ind w:firstLine="630"/>
        <w:jc w:val="both"/>
        <w:rPr>
          <w:rFonts w:ascii="Tahoma" w:hAnsi="Tahoma" w:cs="Tahoma"/>
          <w:color w:val="000000"/>
          <w:sz w:val="18"/>
          <w:szCs w:val="18"/>
        </w:rPr>
      </w:pPr>
      <w:r>
        <w:rPr>
          <w:rFonts w:ascii="仿宋_GB2312" w:eastAsia="仿宋_GB2312" w:hAnsi="Tahoma" w:cs="Tahoma" w:hint="eastAsia"/>
          <w:color w:val="000000"/>
          <w:sz w:val="32"/>
          <w:szCs w:val="32"/>
        </w:rPr>
        <w:lastRenderedPageBreak/>
        <w:t>（</w:t>
      </w:r>
      <w:r w:rsidR="00197B0B">
        <w:rPr>
          <w:rFonts w:ascii="仿宋_GB2312" w:eastAsia="仿宋_GB2312" w:hAnsi="Tahoma" w:cs="Tahoma" w:hint="eastAsia"/>
          <w:color w:val="000000"/>
          <w:sz w:val="32"/>
          <w:szCs w:val="32"/>
        </w:rPr>
        <w:t>八</w:t>
      </w:r>
      <w:r>
        <w:rPr>
          <w:rFonts w:ascii="仿宋_GB2312" w:eastAsia="仿宋_GB2312" w:hAnsi="Tahoma" w:cs="Tahoma" w:hint="eastAsia"/>
          <w:color w:val="000000"/>
          <w:sz w:val="32"/>
          <w:szCs w:val="32"/>
        </w:rPr>
        <w:t>）住房保障（类）住房改革支出（款）住房公积金（项）。年初预算为</w:t>
      </w:r>
      <w:r w:rsidR="00C57F13">
        <w:rPr>
          <w:rFonts w:ascii="仿宋_GB2312" w:eastAsia="仿宋_GB2312" w:hAnsi="Tahoma" w:cs="Tahoma" w:hint="eastAsia"/>
          <w:color w:val="000000"/>
          <w:sz w:val="32"/>
          <w:szCs w:val="32"/>
        </w:rPr>
        <w:t>18.14</w:t>
      </w:r>
      <w:r>
        <w:rPr>
          <w:rFonts w:ascii="仿宋_GB2312" w:eastAsia="仿宋_GB2312" w:hAnsi="Tahoma" w:cs="Tahoma" w:hint="eastAsia"/>
          <w:color w:val="000000"/>
          <w:sz w:val="32"/>
          <w:szCs w:val="32"/>
        </w:rPr>
        <w:t>万元，支出决算为13.</w:t>
      </w:r>
      <w:r w:rsidR="00197B0B">
        <w:rPr>
          <w:rFonts w:ascii="仿宋_GB2312" w:eastAsia="仿宋_GB2312" w:hAnsi="Tahoma" w:cs="Tahoma" w:hint="eastAsia"/>
          <w:color w:val="000000"/>
          <w:sz w:val="32"/>
          <w:szCs w:val="32"/>
        </w:rPr>
        <w:t>89</w:t>
      </w:r>
      <w:r>
        <w:rPr>
          <w:rFonts w:ascii="仿宋_GB2312" w:eastAsia="仿宋_GB2312" w:hAnsi="Tahoma" w:cs="Tahoma" w:hint="eastAsia"/>
          <w:color w:val="000000"/>
          <w:sz w:val="32"/>
          <w:szCs w:val="32"/>
        </w:rPr>
        <w:t>万元，完成年初预算的</w:t>
      </w:r>
      <w:r w:rsidR="00C57F13">
        <w:rPr>
          <w:rFonts w:ascii="仿宋_GB2312" w:eastAsia="仿宋_GB2312" w:hAnsi="Tahoma" w:cs="Tahoma" w:hint="eastAsia"/>
          <w:color w:val="000000"/>
          <w:sz w:val="32"/>
          <w:szCs w:val="32"/>
        </w:rPr>
        <w:t>76.57</w:t>
      </w:r>
      <w:r>
        <w:rPr>
          <w:rFonts w:ascii="仿宋_GB2312" w:eastAsia="仿宋_GB2312" w:hAnsi="Tahoma" w:cs="Tahoma" w:hint="eastAsia"/>
          <w:color w:val="000000"/>
          <w:sz w:val="32"/>
          <w:szCs w:val="32"/>
        </w:rPr>
        <w:t>%。预决算差异的主要原因是：</w:t>
      </w:r>
      <w:r w:rsidR="00C57F13">
        <w:rPr>
          <w:rFonts w:ascii="仿宋_GB2312" w:eastAsia="仿宋_GB2312" w:hAnsi="黑体" w:cs="仿宋_GB2312" w:hint="eastAsia"/>
          <w:sz w:val="32"/>
          <w:szCs w:val="32"/>
        </w:rPr>
        <w:t>2021年</w:t>
      </w:r>
      <w:r w:rsidR="00C57F13">
        <w:rPr>
          <w:rFonts w:ascii="仿宋_GB2312" w:eastAsia="仿宋_GB2312" w:hint="eastAsia"/>
          <w:color w:val="000000"/>
          <w:sz w:val="32"/>
          <w:szCs w:val="32"/>
          <w:shd w:val="clear" w:color="auto" w:fill="FFFFFF"/>
        </w:rPr>
        <w:t>住房公积金未支付完，需转到下年转出。</w:t>
      </w:r>
    </w:p>
    <w:p w:rsidR="00BC094D" w:rsidRDefault="00BC094D" w:rsidP="00BC094D">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三、2021年度一般公共预算财政拨款基本支出决算情况说明</w:t>
      </w:r>
    </w:p>
    <w:p w:rsidR="00BC094D" w:rsidRPr="00BC094D" w:rsidRDefault="00BC094D" w:rsidP="00BC094D">
      <w:pPr>
        <w:autoSpaceDE w:val="0"/>
        <w:autoSpaceDN w:val="0"/>
        <w:adjustRightInd w:val="0"/>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本部门2021年度一般公共预算财政拨款基本支出314.09万元，支出具体情况如下：</w:t>
      </w:r>
    </w:p>
    <w:p w:rsidR="00BC094D" w:rsidRDefault="00BC094D" w:rsidP="00BC094D">
      <w:pPr>
        <w:pStyle w:val="a6"/>
        <w:spacing w:before="0" w:beforeAutospacing="0" w:after="0" w:afterAutospacing="0" w:line="555" w:lineRule="atLeast"/>
        <w:ind w:firstLine="645"/>
        <w:jc w:val="both"/>
        <w:rPr>
          <w:rFonts w:ascii="Tahoma" w:hAnsi="Tahoma" w:cs="Tahoma"/>
          <w:color w:val="000000"/>
          <w:sz w:val="18"/>
          <w:szCs w:val="18"/>
        </w:rPr>
      </w:pPr>
      <w:r>
        <w:rPr>
          <w:rFonts w:ascii="仿宋_GB2312" w:eastAsia="仿宋_GB2312" w:hAnsi="Tahoma" w:cs="Tahoma" w:hint="eastAsia"/>
          <w:color w:val="000000"/>
          <w:sz w:val="32"/>
          <w:szCs w:val="32"/>
        </w:rPr>
        <w:t>（一）工资福利支出</w:t>
      </w:r>
      <w:r w:rsidR="00C57F13">
        <w:rPr>
          <w:rFonts w:ascii="仿宋_GB2312" w:eastAsia="仿宋_GB2312" w:hAnsi="Tahoma" w:cs="Tahoma" w:hint="eastAsia"/>
          <w:color w:val="000000"/>
          <w:sz w:val="32"/>
          <w:szCs w:val="32"/>
        </w:rPr>
        <w:t>240.02</w:t>
      </w:r>
      <w:r>
        <w:rPr>
          <w:rFonts w:ascii="仿宋_GB2312" w:eastAsia="仿宋_GB2312" w:hAnsi="Tahoma" w:cs="Tahoma" w:hint="eastAsia"/>
          <w:color w:val="000000"/>
          <w:sz w:val="32"/>
          <w:szCs w:val="32"/>
        </w:rPr>
        <w:t>万元，完成年初预算</w:t>
      </w:r>
      <w:r w:rsidR="00C57F13">
        <w:rPr>
          <w:rFonts w:ascii="仿宋_GB2312" w:eastAsia="仿宋_GB2312" w:hAnsi="Tahoma" w:cs="Tahoma" w:hint="eastAsia"/>
          <w:color w:val="000000"/>
          <w:sz w:val="32"/>
          <w:szCs w:val="32"/>
        </w:rPr>
        <w:t>194.83</w:t>
      </w:r>
      <w:r>
        <w:rPr>
          <w:rFonts w:ascii="仿宋_GB2312" w:eastAsia="仿宋_GB2312" w:hAnsi="Tahoma" w:cs="Tahoma" w:hint="eastAsia"/>
          <w:color w:val="000000"/>
          <w:sz w:val="32"/>
          <w:szCs w:val="32"/>
        </w:rPr>
        <w:t>万元的1</w:t>
      </w:r>
      <w:r w:rsidR="00C57F13">
        <w:rPr>
          <w:rFonts w:ascii="仿宋_GB2312" w:eastAsia="仿宋_GB2312" w:hAnsi="Tahoma" w:cs="Tahoma" w:hint="eastAsia"/>
          <w:color w:val="000000"/>
          <w:sz w:val="32"/>
          <w:szCs w:val="32"/>
        </w:rPr>
        <w:t>23.19</w:t>
      </w:r>
      <w:r>
        <w:rPr>
          <w:rFonts w:ascii="仿宋_GB2312" w:eastAsia="仿宋_GB2312" w:hAnsi="Tahoma" w:cs="Tahoma" w:hint="eastAsia"/>
          <w:color w:val="000000"/>
          <w:sz w:val="32"/>
          <w:szCs w:val="32"/>
        </w:rPr>
        <w:t>%。预决算差异的主要原因是：年中追加安排财政拨款支出预算，涉及项目有2021年增人增资、2020年度奖励性补贴、下达2021年职工福利费、养老保险、职业年金、住房公积金等。</w:t>
      </w:r>
    </w:p>
    <w:p w:rsidR="00BC094D" w:rsidRDefault="00BC094D" w:rsidP="00BC094D">
      <w:pPr>
        <w:pStyle w:val="a6"/>
        <w:spacing w:before="0" w:beforeAutospacing="0" w:after="0" w:afterAutospacing="0" w:line="555" w:lineRule="atLeast"/>
        <w:ind w:firstLine="645"/>
        <w:jc w:val="both"/>
        <w:rPr>
          <w:rFonts w:ascii="Tahoma" w:hAnsi="Tahoma" w:cs="Tahoma"/>
          <w:color w:val="000000"/>
          <w:sz w:val="18"/>
          <w:szCs w:val="18"/>
        </w:rPr>
      </w:pPr>
      <w:r>
        <w:rPr>
          <w:rFonts w:ascii="仿宋_GB2312" w:eastAsia="仿宋_GB2312" w:hAnsi="Tahoma" w:cs="Tahoma" w:hint="eastAsia"/>
          <w:color w:val="000000"/>
          <w:sz w:val="32"/>
          <w:szCs w:val="32"/>
        </w:rPr>
        <w:t>（二）商品和服务支出2</w:t>
      </w:r>
      <w:r w:rsidR="00C57F13">
        <w:rPr>
          <w:rFonts w:ascii="仿宋_GB2312" w:eastAsia="仿宋_GB2312" w:hAnsi="Tahoma" w:cs="Tahoma" w:hint="eastAsia"/>
          <w:color w:val="000000"/>
          <w:sz w:val="32"/>
          <w:szCs w:val="32"/>
        </w:rPr>
        <w:t>2.25</w:t>
      </w:r>
      <w:r>
        <w:rPr>
          <w:rFonts w:ascii="仿宋_GB2312" w:eastAsia="仿宋_GB2312" w:hAnsi="Tahoma" w:cs="Tahoma" w:hint="eastAsia"/>
          <w:color w:val="000000"/>
          <w:sz w:val="32"/>
          <w:szCs w:val="32"/>
        </w:rPr>
        <w:t>万元，完成年初预算</w:t>
      </w:r>
      <w:r w:rsidR="00C57F13">
        <w:rPr>
          <w:rFonts w:ascii="仿宋_GB2312" w:eastAsia="仿宋_GB2312" w:hAnsi="Tahoma" w:cs="Tahoma" w:hint="eastAsia"/>
          <w:color w:val="000000"/>
          <w:sz w:val="32"/>
          <w:szCs w:val="32"/>
        </w:rPr>
        <w:t>37.80</w:t>
      </w:r>
      <w:r>
        <w:rPr>
          <w:rFonts w:ascii="仿宋_GB2312" w:eastAsia="仿宋_GB2312" w:hAnsi="Tahoma" w:cs="Tahoma" w:hint="eastAsia"/>
          <w:color w:val="000000"/>
          <w:sz w:val="32"/>
          <w:szCs w:val="32"/>
        </w:rPr>
        <w:t>万元的</w:t>
      </w:r>
      <w:r w:rsidR="00C57F13">
        <w:rPr>
          <w:rFonts w:ascii="仿宋_GB2312" w:eastAsia="仿宋_GB2312" w:hAnsi="Tahoma" w:cs="Tahoma" w:hint="eastAsia"/>
          <w:color w:val="000000"/>
          <w:sz w:val="32"/>
          <w:szCs w:val="32"/>
        </w:rPr>
        <w:t>58.86</w:t>
      </w:r>
      <w:r>
        <w:rPr>
          <w:rFonts w:ascii="仿宋_GB2312" w:eastAsia="仿宋_GB2312" w:hAnsi="Tahoma" w:cs="Tahoma" w:hint="eastAsia"/>
          <w:color w:val="000000"/>
          <w:sz w:val="32"/>
          <w:szCs w:val="32"/>
        </w:rPr>
        <w:t>%。预决算差异的主要原因是：</w:t>
      </w:r>
      <w:r w:rsidR="00A54FE8">
        <w:rPr>
          <w:rFonts w:ascii="仿宋_GB2312" w:eastAsia="仿宋_GB2312" w:hint="eastAsia"/>
          <w:color w:val="000000"/>
          <w:sz w:val="32"/>
          <w:szCs w:val="32"/>
          <w:shd w:val="clear" w:color="auto" w:fill="FFFFFF"/>
        </w:rPr>
        <w:t>由于新冠肺炎疫情影响，我单位无法开展重点课题调研、</w:t>
      </w:r>
      <w:r w:rsidR="003834E4">
        <w:rPr>
          <w:rFonts w:ascii="仿宋_GB2312" w:eastAsia="仿宋_GB2312" w:hint="eastAsia"/>
          <w:color w:val="000000"/>
          <w:sz w:val="32"/>
          <w:szCs w:val="32"/>
          <w:shd w:val="clear" w:color="auto" w:fill="FFFFFF"/>
        </w:rPr>
        <w:t>外地</w:t>
      </w:r>
      <w:r w:rsidR="00A54FE8">
        <w:rPr>
          <w:rFonts w:ascii="仿宋_GB2312" w:eastAsia="仿宋_GB2312" w:hint="eastAsia"/>
          <w:color w:val="000000"/>
          <w:sz w:val="32"/>
          <w:szCs w:val="32"/>
          <w:shd w:val="clear" w:color="auto" w:fill="FFFFFF"/>
        </w:rPr>
        <w:t>培训等活动，差旅费与交通费支出较少。</w:t>
      </w:r>
    </w:p>
    <w:p w:rsidR="00BC094D" w:rsidRDefault="00BC094D" w:rsidP="00BC094D">
      <w:pPr>
        <w:pStyle w:val="a6"/>
        <w:spacing w:before="0" w:beforeAutospacing="0" w:after="0" w:afterAutospacing="0" w:line="555" w:lineRule="atLeast"/>
        <w:ind w:firstLine="645"/>
        <w:jc w:val="both"/>
        <w:rPr>
          <w:rFonts w:ascii="Tahoma" w:hAnsi="Tahoma" w:cs="Tahoma"/>
          <w:color w:val="000000"/>
          <w:sz w:val="18"/>
          <w:szCs w:val="18"/>
        </w:rPr>
      </w:pPr>
      <w:r>
        <w:rPr>
          <w:rFonts w:ascii="仿宋_GB2312" w:eastAsia="仿宋_GB2312" w:hAnsi="Tahoma" w:cs="Tahoma" w:hint="eastAsia"/>
          <w:color w:val="000000"/>
          <w:sz w:val="32"/>
          <w:szCs w:val="32"/>
        </w:rPr>
        <w:t>（三）对个人和家庭的补助</w:t>
      </w:r>
      <w:r w:rsidR="00A54FE8">
        <w:rPr>
          <w:rFonts w:ascii="仿宋_GB2312" w:eastAsia="仿宋_GB2312" w:hAnsi="Tahoma" w:cs="Tahoma" w:hint="eastAsia"/>
          <w:color w:val="000000"/>
          <w:sz w:val="32"/>
          <w:szCs w:val="32"/>
        </w:rPr>
        <w:t>51.82</w:t>
      </w:r>
      <w:r>
        <w:rPr>
          <w:rFonts w:ascii="仿宋_GB2312" w:eastAsia="仿宋_GB2312" w:hAnsi="Tahoma" w:cs="Tahoma" w:hint="eastAsia"/>
          <w:color w:val="000000"/>
          <w:sz w:val="32"/>
          <w:szCs w:val="32"/>
        </w:rPr>
        <w:t>万元，完成年初预算</w:t>
      </w:r>
      <w:r w:rsidR="00A54FE8">
        <w:rPr>
          <w:rFonts w:ascii="仿宋_GB2312" w:eastAsia="仿宋_GB2312" w:hAnsi="Tahoma" w:cs="Tahoma" w:hint="eastAsia"/>
          <w:color w:val="000000"/>
          <w:sz w:val="32"/>
          <w:szCs w:val="32"/>
        </w:rPr>
        <w:t>28.72</w:t>
      </w:r>
      <w:r>
        <w:rPr>
          <w:rFonts w:ascii="仿宋_GB2312" w:eastAsia="仿宋_GB2312" w:hAnsi="Tahoma" w:cs="Tahoma" w:hint="eastAsia"/>
          <w:color w:val="000000"/>
          <w:sz w:val="32"/>
          <w:szCs w:val="32"/>
        </w:rPr>
        <w:t>万元的1</w:t>
      </w:r>
      <w:r w:rsidR="00A54FE8">
        <w:rPr>
          <w:rFonts w:ascii="仿宋_GB2312" w:eastAsia="仿宋_GB2312" w:hAnsi="Tahoma" w:cs="Tahoma" w:hint="eastAsia"/>
          <w:color w:val="000000"/>
          <w:sz w:val="32"/>
          <w:szCs w:val="32"/>
        </w:rPr>
        <w:t>80.43</w:t>
      </w:r>
      <w:r>
        <w:rPr>
          <w:rFonts w:ascii="仿宋_GB2312" w:eastAsia="仿宋_GB2312" w:hAnsi="Tahoma" w:cs="Tahoma" w:hint="eastAsia"/>
          <w:color w:val="000000"/>
          <w:sz w:val="32"/>
          <w:szCs w:val="32"/>
        </w:rPr>
        <w:t>%。预决算差异的主要原因是：年中追加安排财政拨款支出预算，涉及项目有2021年退休干部春节慰问金补差、</w:t>
      </w:r>
      <w:r w:rsidR="00A54FE8">
        <w:rPr>
          <w:rFonts w:ascii="仿宋_GB2312" w:eastAsia="仿宋_GB2312" w:hAnsi="Tahoma" w:cs="Tahoma" w:hint="eastAsia"/>
          <w:color w:val="000000"/>
          <w:sz w:val="32"/>
          <w:szCs w:val="32"/>
        </w:rPr>
        <w:t>过世离休干部抚恤金、</w:t>
      </w:r>
      <w:r>
        <w:rPr>
          <w:rFonts w:ascii="仿宋_GB2312" w:eastAsia="仿宋_GB2312" w:hAnsi="Tahoma" w:cs="Tahoma" w:hint="eastAsia"/>
          <w:color w:val="000000"/>
          <w:sz w:val="32"/>
          <w:szCs w:val="32"/>
        </w:rPr>
        <w:t>2021年增人增资——离退休生活补助。</w:t>
      </w:r>
    </w:p>
    <w:p w:rsidR="00A54FE8" w:rsidRDefault="00A54FE8" w:rsidP="00A54FE8">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四、2021年度政府性基金支出决算情况</w:t>
      </w:r>
    </w:p>
    <w:p w:rsidR="00A54FE8" w:rsidRDefault="00A54FE8">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hint="eastAsia"/>
          <w:color w:val="000000"/>
          <w:sz w:val="32"/>
          <w:szCs w:val="32"/>
          <w:shd w:val="clear" w:color="auto" w:fill="FFFFFF"/>
        </w:rPr>
        <w:t>中国民主同盟柳州市委员会2021年度没有政府性基金收入，也没有政府性基金安排的支出，故无数据情况说明。</w:t>
      </w:r>
      <w:r w:rsidR="00F02304">
        <w:rPr>
          <w:rFonts w:ascii="仿宋_GB2312" w:eastAsia="仿宋_GB2312" w:cs="仿宋_GB2312" w:hint="eastAsia"/>
          <w:bCs/>
          <w:kern w:val="0"/>
          <w:sz w:val="32"/>
          <w:szCs w:val="32"/>
        </w:rPr>
        <w:t xml:space="preserve"> </w:t>
      </w:r>
    </w:p>
    <w:p w:rsidR="00E46B03" w:rsidRPr="00A54FE8" w:rsidRDefault="00F02304" w:rsidP="00F02304">
      <w:pPr>
        <w:autoSpaceDE w:val="0"/>
        <w:autoSpaceDN w:val="0"/>
        <w:adjustRightInd w:val="0"/>
        <w:spacing w:line="560" w:lineRule="exact"/>
        <w:ind w:firstLineChars="200" w:firstLine="640"/>
        <w:jc w:val="left"/>
        <w:rPr>
          <w:rFonts w:ascii="黑体" w:eastAsia="黑体" w:hAnsi="黑体" w:cs="仿宋_GB2312"/>
          <w:kern w:val="0"/>
          <w:sz w:val="32"/>
          <w:szCs w:val="32"/>
        </w:rPr>
      </w:pPr>
      <w:r w:rsidRPr="00A54FE8">
        <w:rPr>
          <w:rFonts w:ascii="黑体" w:eastAsia="黑体" w:hAnsi="黑体" w:cs="仿宋_GB2312" w:hint="eastAsia"/>
          <w:kern w:val="0"/>
          <w:sz w:val="32"/>
          <w:szCs w:val="32"/>
        </w:rPr>
        <w:t>五、</w:t>
      </w:r>
      <w:r w:rsidR="00A54FE8">
        <w:rPr>
          <w:rFonts w:ascii="黑体" w:eastAsia="黑体" w:hAnsi="黑体" w:hint="eastAsia"/>
          <w:color w:val="000000"/>
          <w:sz w:val="32"/>
          <w:szCs w:val="32"/>
          <w:shd w:val="clear" w:color="auto" w:fill="FFFFFF"/>
        </w:rPr>
        <w:t>2021年度国有资本经营预算支出决算情况</w:t>
      </w:r>
    </w:p>
    <w:p w:rsidR="00E46B03" w:rsidRPr="007706B5" w:rsidRDefault="00894293" w:rsidP="007706B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hint="eastAsia"/>
          <w:color w:val="000000"/>
          <w:sz w:val="32"/>
          <w:szCs w:val="32"/>
          <w:shd w:val="clear" w:color="auto" w:fill="FFFFFF"/>
        </w:rPr>
        <w:t>中国民主同盟</w:t>
      </w:r>
      <w:r w:rsidR="007706B5" w:rsidRPr="007706B5">
        <w:rPr>
          <w:rFonts w:ascii="仿宋_GB2312" w:eastAsia="仿宋_GB2312" w:hint="eastAsia"/>
          <w:color w:val="000000"/>
          <w:sz w:val="32"/>
          <w:szCs w:val="32"/>
          <w:shd w:val="clear" w:color="auto" w:fill="FFFFFF"/>
        </w:rPr>
        <w:t>柳州市委员会2021年度没有国有资本经营预算财政拨款收入，也没有国有资本经营预算财政拨款安排的支出，故无数据情况说明。</w:t>
      </w:r>
    </w:p>
    <w:p w:rsidR="00E46B03" w:rsidRDefault="00F02304">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7706B5">
        <w:rPr>
          <w:rFonts w:ascii="黑体" w:eastAsia="黑体" w:hAnsi="黑体" w:hint="eastAsia"/>
          <w:color w:val="000000"/>
          <w:sz w:val="32"/>
          <w:szCs w:val="32"/>
          <w:shd w:val="clear" w:color="auto" w:fill="FFFFFF"/>
        </w:rPr>
        <w:t>六、</w:t>
      </w:r>
      <w:r w:rsidR="007706B5">
        <w:rPr>
          <w:rFonts w:ascii="黑体" w:eastAsia="黑体" w:hAnsi="黑体" w:hint="eastAsia"/>
          <w:color w:val="000000"/>
          <w:sz w:val="32"/>
          <w:szCs w:val="32"/>
          <w:shd w:val="clear" w:color="auto" w:fill="FFFFFF"/>
        </w:rPr>
        <w:t>一般公共预算财政拨款安排的“三公”经费支出决算情况说明</w:t>
      </w:r>
    </w:p>
    <w:p w:rsidR="007706B5" w:rsidRDefault="007706B5" w:rsidP="007706B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0.34万元，完成年初预算的70.83%，比上年增加0.11万元，主要原因是接待人数增加。其中：因公出国（境）费支出决算0万元，公务用车购置及运行费支出决算0万元，公务接待费支出决算0.34万元。</w:t>
      </w:r>
    </w:p>
    <w:p w:rsidR="007706B5" w:rsidRDefault="007706B5" w:rsidP="007706B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7706B5" w:rsidRDefault="007706B5" w:rsidP="007706B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（一）因公出国（境）费支出0万元。与上年持平。</w:t>
      </w:r>
    </w:p>
    <w:p w:rsidR="007706B5" w:rsidRDefault="007706B5" w:rsidP="007706B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（二）公务用车购置及运行费支出0万元。与上年持平。</w:t>
      </w:r>
    </w:p>
    <w:p w:rsidR="007706B5" w:rsidRDefault="007706B5" w:rsidP="007706B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（三）公务接待费支出0.34万元，完成年初预算的70.83%， 比上年增加0.11万元，原因是接待人数增加。国内公务接待批次5次，人次36次，国（境）外公务接待批次0次，人次0次。</w:t>
      </w:r>
    </w:p>
    <w:p w:rsidR="007706B5" w:rsidRDefault="00F02304" w:rsidP="007706B5">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仿宋_GB2312" w:eastAsia="仿宋_GB2312" w:cs="仿宋_GB2312" w:hint="eastAsia"/>
          <w:bCs/>
          <w:kern w:val="0"/>
          <w:sz w:val="32"/>
          <w:szCs w:val="32"/>
        </w:rPr>
        <w:t>七、</w:t>
      </w:r>
      <w:r w:rsidR="007706B5">
        <w:rPr>
          <w:rFonts w:ascii="黑体" w:eastAsia="黑体" w:hAnsi="黑体" w:cs="仿宋_GB2312" w:hint="eastAsia"/>
          <w:kern w:val="0"/>
          <w:sz w:val="32"/>
          <w:szCs w:val="32"/>
        </w:rPr>
        <w:t>其他重要事项情况说明</w:t>
      </w:r>
    </w:p>
    <w:p w:rsidR="00E6510C" w:rsidRDefault="00E6510C" w:rsidP="00E6510C">
      <w:pPr>
        <w:pStyle w:val="a6"/>
        <w:shd w:val="clear" w:color="auto" w:fill="FFFFFF"/>
        <w:spacing w:before="0" w:beforeAutospacing="0" w:after="0" w:afterAutospacing="0" w:line="555" w:lineRule="atLeast"/>
        <w:ind w:firstLine="645"/>
        <w:rPr>
          <w:rFonts w:ascii="Tahoma" w:hAnsi="Tahoma" w:cs="Tahoma"/>
          <w:color w:val="000000"/>
          <w:sz w:val="18"/>
          <w:szCs w:val="18"/>
        </w:rPr>
      </w:pPr>
      <w:r>
        <w:rPr>
          <w:rFonts w:ascii="楷体_GB2312" w:eastAsia="楷体_GB2312" w:hAnsi="Tahoma" w:cs="Tahoma" w:hint="eastAsia"/>
          <w:color w:val="000000"/>
          <w:sz w:val="32"/>
          <w:szCs w:val="32"/>
        </w:rPr>
        <w:t>（一）</w:t>
      </w:r>
      <w:r>
        <w:rPr>
          <w:rFonts w:ascii="MS Mincho" w:eastAsia="MS Mincho" w:hAnsi="MS Mincho" w:cs="MS Mincho" w:hint="eastAsia"/>
          <w:color w:val="000000"/>
          <w:sz w:val="32"/>
          <w:szCs w:val="32"/>
        </w:rPr>
        <w:t> </w:t>
      </w:r>
      <w:r>
        <w:rPr>
          <w:rFonts w:ascii="楷体_GB2312" w:eastAsia="楷体_GB2312" w:hAnsi="Tahoma" w:cs="Tahoma" w:hint="eastAsia"/>
          <w:color w:val="000000"/>
          <w:sz w:val="32"/>
          <w:szCs w:val="32"/>
        </w:rPr>
        <w:t>机关运行经费支出情况说明。</w:t>
      </w:r>
    </w:p>
    <w:p w:rsidR="003834E4" w:rsidRDefault="00E6510C" w:rsidP="003834E4">
      <w:pPr>
        <w:pStyle w:val="a6"/>
        <w:spacing w:before="0" w:beforeAutospacing="0" w:after="0" w:afterAutospacing="0" w:line="555" w:lineRule="atLeast"/>
        <w:ind w:firstLine="645"/>
        <w:jc w:val="both"/>
        <w:rPr>
          <w:rFonts w:ascii="Tahoma" w:hAnsi="Tahoma" w:cs="Tahoma"/>
          <w:color w:val="000000"/>
          <w:sz w:val="18"/>
          <w:szCs w:val="18"/>
        </w:rPr>
      </w:pPr>
      <w:r>
        <w:rPr>
          <w:rFonts w:ascii="仿宋_GB2312" w:eastAsia="仿宋_GB2312" w:hAnsi="Tahoma" w:cs="Tahoma" w:hint="eastAsia"/>
          <w:color w:val="000000"/>
          <w:sz w:val="32"/>
          <w:szCs w:val="32"/>
        </w:rPr>
        <w:lastRenderedPageBreak/>
        <w:t>本部门2021年度机关运行经费支出2</w:t>
      </w:r>
      <w:r w:rsidR="002D3085">
        <w:rPr>
          <w:rFonts w:ascii="仿宋_GB2312" w:eastAsia="仿宋_GB2312" w:hAnsi="Tahoma" w:cs="Tahoma" w:hint="eastAsia"/>
          <w:color w:val="000000"/>
          <w:sz w:val="32"/>
          <w:szCs w:val="32"/>
        </w:rPr>
        <w:t>2.25</w:t>
      </w:r>
      <w:r>
        <w:rPr>
          <w:rFonts w:ascii="仿宋_GB2312" w:eastAsia="仿宋_GB2312" w:hAnsi="Tahoma" w:cs="Tahoma" w:hint="eastAsia"/>
          <w:color w:val="000000"/>
          <w:sz w:val="32"/>
          <w:szCs w:val="32"/>
        </w:rPr>
        <w:t>万元，比年初预算数减少</w:t>
      </w:r>
      <w:r w:rsidR="002D3085">
        <w:rPr>
          <w:rFonts w:ascii="仿宋_GB2312" w:eastAsia="仿宋_GB2312" w:hAnsi="Tahoma" w:cs="Tahoma" w:hint="eastAsia"/>
          <w:color w:val="000000"/>
          <w:sz w:val="32"/>
          <w:szCs w:val="32"/>
        </w:rPr>
        <w:t>15.55</w:t>
      </w:r>
      <w:r>
        <w:rPr>
          <w:rFonts w:ascii="仿宋_GB2312" w:eastAsia="仿宋_GB2312" w:hAnsi="Tahoma" w:cs="Tahoma" w:hint="eastAsia"/>
          <w:color w:val="000000"/>
          <w:sz w:val="32"/>
          <w:szCs w:val="32"/>
        </w:rPr>
        <w:t>万元，降低</w:t>
      </w:r>
      <w:r w:rsidR="002D3085">
        <w:rPr>
          <w:rFonts w:ascii="仿宋_GB2312" w:eastAsia="仿宋_GB2312" w:hAnsi="Tahoma" w:cs="Tahoma" w:hint="eastAsia"/>
          <w:color w:val="000000"/>
          <w:sz w:val="32"/>
          <w:szCs w:val="32"/>
        </w:rPr>
        <w:t>41.14</w:t>
      </w:r>
      <w:r>
        <w:rPr>
          <w:rFonts w:ascii="仿宋_GB2312" w:eastAsia="仿宋_GB2312" w:hAnsi="Tahoma" w:cs="Tahoma" w:hint="eastAsia"/>
          <w:color w:val="000000"/>
          <w:sz w:val="32"/>
          <w:szCs w:val="32"/>
        </w:rPr>
        <w:t>%。主要原因是：2021</w:t>
      </w:r>
      <w:r w:rsidR="003834E4">
        <w:rPr>
          <w:rFonts w:ascii="仿宋_GB2312" w:eastAsia="仿宋_GB2312" w:hint="eastAsia"/>
          <w:color w:val="000000"/>
          <w:sz w:val="32"/>
          <w:szCs w:val="32"/>
          <w:shd w:val="clear" w:color="auto" w:fill="FFFFFF"/>
        </w:rPr>
        <w:t>由于新冠肺炎疫情影响，我单位无法开展重点课题调研、外地培训等活动，差旅费与交通费支出较少。</w:t>
      </w:r>
    </w:p>
    <w:p w:rsidR="00E6510C" w:rsidRDefault="00E6510C" w:rsidP="00E6510C">
      <w:pPr>
        <w:pStyle w:val="a6"/>
        <w:shd w:val="clear" w:color="auto" w:fill="FFFFFF"/>
        <w:spacing w:before="0" w:beforeAutospacing="0" w:after="0" w:afterAutospacing="0" w:line="555" w:lineRule="atLeast"/>
        <w:ind w:firstLine="645"/>
        <w:rPr>
          <w:rFonts w:ascii="Tahoma" w:hAnsi="Tahoma" w:cs="Tahoma"/>
          <w:color w:val="000000"/>
          <w:sz w:val="18"/>
          <w:szCs w:val="18"/>
        </w:rPr>
      </w:pPr>
      <w:r>
        <w:rPr>
          <w:rFonts w:ascii="楷体_GB2312" w:eastAsia="楷体_GB2312" w:hAnsi="Tahoma" w:cs="Tahoma" w:hint="eastAsia"/>
          <w:color w:val="000000"/>
          <w:sz w:val="32"/>
          <w:szCs w:val="32"/>
        </w:rPr>
        <w:t>（二）政府采购支出情况说明。</w:t>
      </w:r>
    </w:p>
    <w:p w:rsidR="00E6510C" w:rsidRDefault="00E6510C" w:rsidP="00E651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Tahoma" w:cs="Tahoma" w:hint="eastAsia"/>
          <w:color w:val="000000"/>
          <w:sz w:val="32"/>
          <w:szCs w:val="32"/>
        </w:rPr>
        <w:t>本部门2021年度政府采购支出总额2.50万元，其中：政府采购货物支出2.50万元、</w:t>
      </w:r>
      <w:r>
        <w:rPr>
          <w:rFonts w:ascii="仿宋_GB2312" w:eastAsia="仿宋_GB2312" w:cs="仿宋_GB2312" w:hint="eastAsia"/>
          <w:kern w:val="0"/>
          <w:sz w:val="32"/>
          <w:szCs w:val="32"/>
        </w:rPr>
        <w:t>政府采购工程支出0万元、政府采购服务支出0万元。授予中小企业合同金额2.5万元，占政府采购支出总额的100%，其中：授予小微企业合同金额2.5万元，占政府采购支出总额的100%。</w:t>
      </w:r>
    </w:p>
    <w:p w:rsidR="00E6510C" w:rsidRDefault="00E6510C" w:rsidP="00E6510C">
      <w:pPr>
        <w:pStyle w:val="a6"/>
        <w:shd w:val="clear" w:color="auto" w:fill="FFFFFF"/>
        <w:spacing w:before="0" w:beforeAutospacing="0" w:after="0" w:afterAutospacing="0" w:line="555" w:lineRule="atLeast"/>
        <w:ind w:firstLine="645"/>
        <w:rPr>
          <w:rFonts w:ascii="Tahoma" w:hAnsi="Tahoma" w:cs="Tahoma"/>
          <w:color w:val="000000"/>
          <w:sz w:val="18"/>
          <w:szCs w:val="18"/>
        </w:rPr>
      </w:pPr>
      <w:r>
        <w:rPr>
          <w:rFonts w:ascii="楷体_GB2312" w:eastAsia="楷体_GB2312" w:hAnsi="Tahoma" w:cs="Tahoma" w:hint="eastAsia"/>
          <w:color w:val="000000"/>
          <w:sz w:val="32"/>
          <w:szCs w:val="32"/>
        </w:rPr>
        <w:t>（三）国有资产占用情况说明。</w:t>
      </w:r>
    </w:p>
    <w:p w:rsidR="00E6510C" w:rsidRDefault="00E6510C" w:rsidP="00E6510C">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截至2021年12月31日，本部门共有车辆0辆，其中：公务用车0辆；执法执勤用车0辆；专业技术用车0辆；其他用车0  辆；单价50万元以上通用设备0台（套），单价100万元以上专用设备0台（套）。 </w:t>
      </w:r>
    </w:p>
    <w:p w:rsidR="00E6510C" w:rsidRDefault="00E6510C" w:rsidP="00E6510C">
      <w:pPr>
        <w:pStyle w:val="a6"/>
        <w:shd w:val="clear" w:color="auto" w:fill="FFFFFF"/>
        <w:spacing w:before="0" w:beforeAutospacing="0" w:after="0" w:afterAutospacing="0" w:line="555" w:lineRule="atLeast"/>
        <w:ind w:firstLine="645"/>
        <w:rPr>
          <w:rFonts w:ascii="Tahoma" w:hAnsi="Tahoma" w:cs="Tahoma"/>
          <w:color w:val="000000"/>
          <w:sz w:val="18"/>
          <w:szCs w:val="18"/>
        </w:rPr>
      </w:pPr>
      <w:r>
        <w:rPr>
          <w:rFonts w:ascii="楷体_GB2312" w:eastAsia="楷体_GB2312" w:hAnsi="Tahoma" w:cs="Tahoma" w:hint="eastAsia"/>
          <w:color w:val="000000"/>
          <w:sz w:val="32"/>
          <w:szCs w:val="32"/>
        </w:rPr>
        <w:t>（四）预算绩效管理工作开展情况。</w:t>
      </w:r>
    </w:p>
    <w:p w:rsidR="00E6510C" w:rsidRDefault="00E6510C" w:rsidP="00E6510C">
      <w:pPr>
        <w:pStyle w:val="a6"/>
        <w:shd w:val="clear" w:color="auto" w:fill="FFFFFF"/>
        <w:spacing w:before="0" w:beforeAutospacing="0" w:after="0" w:afterAutospacing="0" w:line="555" w:lineRule="atLeast"/>
        <w:ind w:firstLine="645"/>
        <w:rPr>
          <w:rFonts w:ascii="Tahoma" w:hAnsi="Tahoma" w:cs="Tahoma"/>
          <w:color w:val="000000"/>
          <w:sz w:val="18"/>
          <w:szCs w:val="18"/>
        </w:rPr>
      </w:pPr>
      <w:r>
        <w:rPr>
          <w:rFonts w:ascii="仿宋_GB2312" w:eastAsia="仿宋_GB2312" w:hAnsi="Tahoma" w:cs="Tahoma" w:hint="eastAsia"/>
          <w:color w:val="000000"/>
          <w:sz w:val="32"/>
          <w:szCs w:val="32"/>
        </w:rPr>
        <w:t>1.绩效管理工作开展情况。</w:t>
      </w:r>
    </w:p>
    <w:p w:rsidR="002D3085" w:rsidRDefault="00E6510C" w:rsidP="002D308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Tahoma" w:cs="Tahoma" w:hint="eastAsia"/>
          <w:color w:val="000000"/>
          <w:sz w:val="32"/>
          <w:szCs w:val="32"/>
        </w:rPr>
        <w:t>根据财政预算管理要求，我部门组织对2021年度一般公共预算部门整体支出全面开展绩效自评。共涉及资金</w:t>
      </w:r>
      <w:r w:rsidR="002D3085">
        <w:rPr>
          <w:rFonts w:ascii="仿宋_GB2312" w:eastAsia="仿宋_GB2312" w:hAnsi="Tahoma" w:cs="Tahoma" w:hint="eastAsia"/>
          <w:color w:val="000000"/>
          <w:sz w:val="32"/>
          <w:szCs w:val="32"/>
        </w:rPr>
        <w:t>336.29</w:t>
      </w:r>
      <w:r>
        <w:rPr>
          <w:rFonts w:ascii="仿宋_GB2312" w:eastAsia="仿宋_GB2312" w:hAnsi="Tahoma" w:cs="Tahoma" w:hint="eastAsia"/>
          <w:color w:val="000000"/>
          <w:sz w:val="32"/>
          <w:szCs w:val="32"/>
        </w:rPr>
        <w:t>万元，占一般公共预算支出总额的100%。</w:t>
      </w:r>
      <w:r w:rsidR="002D3085">
        <w:rPr>
          <w:rFonts w:ascii="仿宋_GB2312" w:eastAsia="仿宋_GB2312" w:cs="仿宋_GB2312" w:hint="eastAsia"/>
          <w:kern w:val="0"/>
          <w:sz w:val="32"/>
          <w:szCs w:val="32"/>
        </w:rPr>
        <w:t>组织对2021年度0个政府性基金预算项目支出开展绩效自评，共涉及资金0万元，占政府性基金预算项目支出总额的0%。</w:t>
      </w:r>
    </w:p>
    <w:p w:rsidR="00E6510C" w:rsidRDefault="00E6510C" w:rsidP="00E6510C">
      <w:pPr>
        <w:pStyle w:val="a6"/>
        <w:shd w:val="clear" w:color="auto" w:fill="FFFFFF"/>
        <w:spacing w:before="0" w:beforeAutospacing="0" w:after="0" w:afterAutospacing="0" w:line="555" w:lineRule="atLeast"/>
        <w:ind w:firstLine="645"/>
        <w:rPr>
          <w:rFonts w:ascii="Tahoma" w:hAnsi="Tahoma" w:cs="Tahoma"/>
          <w:color w:val="000000"/>
          <w:sz w:val="18"/>
          <w:szCs w:val="18"/>
        </w:rPr>
      </w:pPr>
      <w:r>
        <w:rPr>
          <w:rFonts w:ascii="仿宋_GB2312" w:eastAsia="仿宋_GB2312" w:hAnsi="Tahoma" w:cs="Tahoma" w:hint="eastAsia"/>
          <w:color w:val="000000"/>
          <w:sz w:val="32"/>
          <w:szCs w:val="32"/>
        </w:rPr>
        <w:t>2.部门决算中项目绩效自评结果。</w:t>
      </w:r>
    </w:p>
    <w:p w:rsidR="002D3085" w:rsidRDefault="002D3085" w:rsidP="002D308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整体绩效目标基本按照计划如期进行，项</w:t>
      </w:r>
      <w:r w:rsidR="00286A79">
        <w:rPr>
          <w:rFonts w:ascii="仿宋_GB2312" w:eastAsia="仿宋_GB2312" w:cs="仿宋_GB2312" w:hint="eastAsia"/>
          <w:kern w:val="0"/>
          <w:sz w:val="32"/>
          <w:szCs w:val="32"/>
        </w:rPr>
        <w:t>目经费均按预算合理使用，组织实施情况良好，顺利完成全年任务</w:t>
      </w:r>
      <w:r>
        <w:rPr>
          <w:rFonts w:ascii="仿宋_GB2312" w:eastAsia="仿宋_GB2312" w:cs="仿宋_GB2312" w:hint="eastAsia"/>
          <w:kern w:val="0"/>
          <w:sz w:val="32"/>
          <w:szCs w:val="32"/>
        </w:rPr>
        <w:t>。</w:t>
      </w:r>
    </w:p>
    <w:p w:rsidR="002D3085" w:rsidRDefault="002D3085" w:rsidP="002D3085">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E46B03" w:rsidRDefault="00F02304">
      <w:pPr>
        <w:ind w:firstLine="645"/>
        <w:rPr>
          <w:rFonts w:ascii="仿宋_GB2312" w:eastAsia="仿宋_GB2312"/>
          <w:b/>
          <w:sz w:val="32"/>
          <w:szCs w:val="32"/>
        </w:rPr>
      </w:pPr>
      <w:r>
        <w:rPr>
          <w:rFonts w:ascii="仿宋_GB2312" w:eastAsia="仿宋_GB2312" w:hint="eastAsia"/>
          <w:b/>
          <w:sz w:val="32"/>
          <w:szCs w:val="32"/>
        </w:rPr>
        <w:t>第四部分：名词解释</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用事业基金弥补收支差额：指事业单位在当年的“财政拨款收入”、“事业收入”、“经营收入”、“其他收入”不足以安排当年支出的情况下，使用以前年度积累的事业基金弥补本年度收支缺口的资金。</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w:t>
      </w:r>
      <w:r>
        <w:rPr>
          <w:rFonts w:ascii="仿宋_GB2312" w:eastAsia="仿宋_GB2312" w:hint="eastAsia"/>
          <w:bCs/>
          <w:sz w:val="32"/>
          <w:szCs w:val="32"/>
        </w:rPr>
        <w:lastRenderedPageBreak/>
        <w:t>按有关规定继续使用的资金。</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E46B03" w:rsidRDefault="00F02304">
      <w:pPr>
        <w:numPr>
          <w:ilvl w:val="0"/>
          <w:numId w:val="2"/>
        </w:numPr>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46B03" w:rsidRPr="003834E4" w:rsidRDefault="00F02304" w:rsidP="003834E4">
      <w:pPr>
        <w:numPr>
          <w:ilvl w:val="0"/>
          <w:numId w:val="2"/>
        </w:numPr>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E46B03" w:rsidRPr="003834E4" w:rsidSect="008E5063">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B1F" w:rsidRDefault="00422B1F" w:rsidP="00E46B03">
      <w:r>
        <w:separator/>
      </w:r>
    </w:p>
  </w:endnote>
  <w:endnote w:type="continuationSeparator" w:id="1">
    <w:p w:rsidR="00422B1F" w:rsidRDefault="00422B1F" w:rsidP="00E46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DC" w:rsidRDefault="00AF56C3">
    <w:pPr>
      <w:pStyle w:val="a3"/>
      <w:framePr w:wrap="around" w:vAnchor="text" w:hAnchor="margin" w:xAlign="center" w:y="1"/>
      <w:rPr>
        <w:rStyle w:val="a5"/>
      </w:rPr>
    </w:pPr>
    <w:r>
      <w:fldChar w:fldCharType="begin"/>
    </w:r>
    <w:r w:rsidR="002470DC">
      <w:rPr>
        <w:rStyle w:val="a5"/>
      </w:rPr>
      <w:instrText xml:space="preserve">PAGE  </w:instrText>
    </w:r>
    <w:r>
      <w:fldChar w:fldCharType="end"/>
    </w:r>
  </w:p>
  <w:p w:rsidR="002470DC" w:rsidRDefault="002470D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DC" w:rsidRDefault="00AF56C3">
    <w:pPr>
      <w:pStyle w:val="a3"/>
      <w:framePr w:wrap="around" w:vAnchor="text" w:hAnchor="margin" w:xAlign="center" w:y="1"/>
      <w:rPr>
        <w:rStyle w:val="a5"/>
        <w:sz w:val="30"/>
        <w:szCs w:val="30"/>
      </w:rPr>
    </w:pPr>
    <w:r>
      <w:rPr>
        <w:sz w:val="30"/>
        <w:szCs w:val="30"/>
      </w:rPr>
      <w:fldChar w:fldCharType="begin"/>
    </w:r>
    <w:r w:rsidR="002470DC">
      <w:rPr>
        <w:rStyle w:val="a5"/>
        <w:sz w:val="30"/>
        <w:szCs w:val="30"/>
      </w:rPr>
      <w:instrText xml:space="preserve">PAGE  </w:instrText>
    </w:r>
    <w:r>
      <w:rPr>
        <w:sz w:val="30"/>
        <w:szCs w:val="30"/>
      </w:rPr>
      <w:fldChar w:fldCharType="separate"/>
    </w:r>
    <w:r w:rsidR="00894293">
      <w:rPr>
        <w:rStyle w:val="a5"/>
        <w:noProof/>
        <w:sz w:val="30"/>
        <w:szCs w:val="30"/>
      </w:rPr>
      <w:t>- 8 -</w:t>
    </w:r>
    <w:r>
      <w:rPr>
        <w:sz w:val="30"/>
        <w:szCs w:val="30"/>
      </w:rPr>
      <w:fldChar w:fldCharType="end"/>
    </w:r>
  </w:p>
  <w:p w:rsidR="002470DC" w:rsidRDefault="002470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B1F" w:rsidRDefault="00422B1F" w:rsidP="00E46B03">
      <w:r>
        <w:separator/>
      </w:r>
    </w:p>
  </w:footnote>
  <w:footnote w:type="continuationSeparator" w:id="1">
    <w:p w:rsidR="00422B1F" w:rsidRDefault="00422B1F" w:rsidP="00E46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C76162"/>
    <w:multiLevelType w:val="singleLevel"/>
    <w:tmpl w:val="C4C76162"/>
    <w:lvl w:ilvl="0">
      <w:start w:val="1"/>
      <w:numFmt w:val="decimal"/>
      <w:lvlText w:val="%1."/>
      <w:lvlJc w:val="left"/>
      <w:pPr>
        <w:tabs>
          <w:tab w:val="num" w:pos="312"/>
        </w:tabs>
      </w:p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C256E3D"/>
    <w:rsid w:val="0005609D"/>
    <w:rsid w:val="00096F4A"/>
    <w:rsid w:val="000D127C"/>
    <w:rsid w:val="000D150F"/>
    <w:rsid w:val="001620F7"/>
    <w:rsid w:val="00197B0B"/>
    <w:rsid w:val="001C4B83"/>
    <w:rsid w:val="001D7C6C"/>
    <w:rsid w:val="001E42A3"/>
    <w:rsid w:val="002470DC"/>
    <w:rsid w:val="00267E41"/>
    <w:rsid w:val="00286A79"/>
    <w:rsid w:val="002C26C3"/>
    <w:rsid w:val="002D3085"/>
    <w:rsid w:val="002D7160"/>
    <w:rsid w:val="0031579F"/>
    <w:rsid w:val="00322555"/>
    <w:rsid w:val="003275CB"/>
    <w:rsid w:val="003834E4"/>
    <w:rsid w:val="00422B1F"/>
    <w:rsid w:val="004821E5"/>
    <w:rsid w:val="005254D5"/>
    <w:rsid w:val="005912C0"/>
    <w:rsid w:val="00597628"/>
    <w:rsid w:val="005B3686"/>
    <w:rsid w:val="006251BB"/>
    <w:rsid w:val="006B21C4"/>
    <w:rsid w:val="006F501F"/>
    <w:rsid w:val="007036BA"/>
    <w:rsid w:val="00704D76"/>
    <w:rsid w:val="007706B5"/>
    <w:rsid w:val="008413AE"/>
    <w:rsid w:val="00894293"/>
    <w:rsid w:val="008E5063"/>
    <w:rsid w:val="009641B7"/>
    <w:rsid w:val="009E5DF3"/>
    <w:rsid w:val="009F32E2"/>
    <w:rsid w:val="00A40A83"/>
    <w:rsid w:val="00A54FE8"/>
    <w:rsid w:val="00AF56C3"/>
    <w:rsid w:val="00B47571"/>
    <w:rsid w:val="00BC094D"/>
    <w:rsid w:val="00C322D4"/>
    <w:rsid w:val="00C57F13"/>
    <w:rsid w:val="00CD0E5B"/>
    <w:rsid w:val="00D32846"/>
    <w:rsid w:val="00D86C09"/>
    <w:rsid w:val="00D953AF"/>
    <w:rsid w:val="00DE0B3C"/>
    <w:rsid w:val="00DF0D5F"/>
    <w:rsid w:val="00DF1B27"/>
    <w:rsid w:val="00E102C3"/>
    <w:rsid w:val="00E42DF1"/>
    <w:rsid w:val="00E46B03"/>
    <w:rsid w:val="00E608A3"/>
    <w:rsid w:val="00E6510C"/>
    <w:rsid w:val="00E83D42"/>
    <w:rsid w:val="00EA05B6"/>
    <w:rsid w:val="00EE5F6D"/>
    <w:rsid w:val="00F02304"/>
    <w:rsid w:val="00F72385"/>
    <w:rsid w:val="26460DBA"/>
    <w:rsid w:val="2C4219FE"/>
    <w:rsid w:val="39A63F06"/>
    <w:rsid w:val="3ED1439F"/>
    <w:rsid w:val="4C256E3D"/>
    <w:rsid w:val="4CB52F0F"/>
    <w:rsid w:val="532F1F9A"/>
    <w:rsid w:val="62163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46B03"/>
    <w:pPr>
      <w:tabs>
        <w:tab w:val="center" w:pos="4153"/>
        <w:tab w:val="right" w:pos="8306"/>
      </w:tabs>
      <w:snapToGrid w:val="0"/>
      <w:jc w:val="left"/>
    </w:pPr>
    <w:rPr>
      <w:sz w:val="18"/>
      <w:szCs w:val="18"/>
    </w:rPr>
  </w:style>
  <w:style w:type="paragraph" w:styleId="a4">
    <w:name w:val="header"/>
    <w:basedOn w:val="a"/>
    <w:qFormat/>
    <w:rsid w:val="00E46B0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46B03"/>
  </w:style>
  <w:style w:type="paragraph" w:styleId="a6">
    <w:name w:val="Normal (Web)"/>
    <w:basedOn w:val="a"/>
    <w:uiPriority w:val="99"/>
    <w:unhideWhenUsed/>
    <w:rsid w:val="00D3284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2195145">
      <w:bodyDiv w:val="1"/>
      <w:marLeft w:val="0"/>
      <w:marRight w:val="0"/>
      <w:marTop w:val="0"/>
      <w:marBottom w:val="0"/>
      <w:divBdr>
        <w:top w:val="none" w:sz="0" w:space="0" w:color="auto"/>
        <w:left w:val="none" w:sz="0" w:space="0" w:color="auto"/>
        <w:bottom w:val="none" w:sz="0" w:space="0" w:color="auto"/>
        <w:right w:val="none" w:sz="0" w:space="0" w:color="auto"/>
      </w:divBdr>
    </w:div>
    <w:div w:id="165484564">
      <w:bodyDiv w:val="1"/>
      <w:marLeft w:val="0"/>
      <w:marRight w:val="0"/>
      <w:marTop w:val="0"/>
      <w:marBottom w:val="0"/>
      <w:divBdr>
        <w:top w:val="none" w:sz="0" w:space="0" w:color="auto"/>
        <w:left w:val="none" w:sz="0" w:space="0" w:color="auto"/>
        <w:bottom w:val="none" w:sz="0" w:space="0" w:color="auto"/>
        <w:right w:val="none" w:sz="0" w:space="0" w:color="auto"/>
      </w:divBdr>
    </w:div>
    <w:div w:id="248857408">
      <w:bodyDiv w:val="1"/>
      <w:marLeft w:val="0"/>
      <w:marRight w:val="0"/>
      <w:marTop w:val="0"/>
      <w:marBottom w:val="0"/>
      <w:divBdr>
        <w:top w:val="none" w:sz="0" w:space="0" w:color="auto"/>
        <w:left w:val="none" w:sz="0" w:space="0" w:color="auto"/>
        <w:bottom w:val="none" w:sz="0" w:space="0" w:color="auto"/>
        <w:right w:val="none" w:sz="0" w:space="0" w:color="auto"/>
      </w:divBdr>
    </w:div>
    <w:div w:id="678702699">
      <w:bodyDiv w:val="1"/>
      <w:marLeft w:val="0"/>
      <w:marRight w:val="0"/>
      <w:marTop w:val="0"/>
      <w:marBottom w:val="0"/>
      <w:divBdr>
        <w:top w:val="none" w:sz="0" w:space="0" w:color="auto"/>
        <w:left w:val="none" w:sz="0" w:space="0" w:color="auto"/>
        <w:bottom w:val="none" w:sz="0" w:space="0" w:color="auto"/>
        <w:right w:val="none" w:sz="0" w:space="0" w:color="auto"/>
      </w:divBdr>
    </w:div>
    <w:div w:id="827867678">
      <w:bodyDiv w:val="1"/>
      <w:marLeft w:val="0"/>
      <w:marRight w:val="0"/>
      <w:marTop w:val="0"/>
      <w:marBottom w:val="0"/>
      <w:divBdr>
        <w:top w:val="none" w:sz="0" w:space="0" w:color="auto"/>
        <w:left w:val="none" w:sz="0" w:space="0" w:color="auto"/>
        <w:bottom w:val="none" w:sz="0" w:space="0" w:color="auto"/>
        <w:right w:val="none" w:sz="0" w:space="0" w:color="auto"/>
      </w:divBdr>
    </w:div>
    <w:div w:id="1101336175">
      <w:bodyDiv w:val="1"/>
      <w:marLeft w:val="0"/>
      <w:marRight w:val="0"/>
      <w:marTop w:val="0"/>
      <w:marBottom w:val="0"/>
      <w:divBdr>
        <w:top w:val="none" w:sz="0" w:space="0" w:color="auto"/>
        <w:left w:val="none" w:sz="0" w:space="0" w:color="auto"/>
        <w:bottom w:val="none" w:sz="0" w:space="0" w:color="auto"/>
        <w:right w:val="none" w:sz="0" w:space="0" w:color="auto"/>
      </w:divBdr>
    </w:div>
    <w:div w:id="186844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850</Words>
  <Characters>4850</Characters>
  <Application>Microsoft Office Word</Application>
  <DocSecurity>0</DocSecurity>
  <Lines>40</Lines>
  <Paragraphs>11</Paragraphs>
  <ScaleCrop>false</ScaleCrop>
  <Company>Microsoft</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AutoBVT</cp:lastModifiedBy>
  <cp:revision>8</cp:revision>
  <dcterms:created xsi:type="dcterms:W3CDTF">2022-08-03T07:59:00Z</dcterms:created>
  <dcterms:modified xsi:type="dcterms:W3CDTF">2022-08-04T04:09:00Z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