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48"/>
          <w:szCs w:val="48"/>
          <w:lang w:eastAsia="zh-CN"/>
        </w:rPr>
        <w:t>中共柳州市委员会柳州市人民政府信访局</w:t>
      </w: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default" w:ascii="Times New Roman" w:hAnsi="Times New Roman" w:eastAsia="仿宋_GB2312" w:cs="Times New Roman"/>
          <w:b/>
          <w:bCs/>
          <w:color w:val="000000"/>
          <w:sz w:val="32"/>
          <w:szCs w:val="32"/>
          <w:u w:val="none"/>
          <w:lang w:eastAsia="zh-CN"/>
        </w:rPr>
        <w:t>柳州市信访局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default" w:ascii="Times New Roman" w:hAnsi="Times New Roman" w:eastAsia="仿宋_GB2312" w:cs="Times New Roman"/>
          <w:b/>
          <w:bCs/>
          <w:color w:val="000000"/>
          <w:sz w:val="32"/>
          <w:szCs w:val="32"/>
          <w:u w:val="none"/>
          <w:lang w:eastAsia="zh-CN"/>
        </w:rPr>
        <w:t>柳州市信访局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1605" w:leftChars="307" w:hanging="960" w:hangingChars="300"/>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柳州市信访局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left="1278" w:leftChars="304" w:hanging="640" w:hanging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numPr>
          <w:ilvl w:val="0"/>
          <w:numId w:val="1"/>
        </w:numPr>
        <w:autoSpaceDE w:val="0"/>
        <w:autoSpaceDN w:val="0"/>
        <w:adjustRightInd w:val="0"/>
        <w:ind w:left="0" w:leftChars="0" w:firstLine="640" w:firstLineChars="200"/>
        <w:jc w:val="both"/>
        <w:rPr>
          <w:rFonts w:hint="eastAsia" w:ascii="仿宋_GB2312" w:eastAsia="仿宋_GB2312" w:cs="仿宋_GB2312"/>
          <w:kern w:val="0"/>
          <w:sz w:val="32"/>
          <w:szCs w:val="32"/>
        </w:rPr>
      </w:pP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w:t>
      </w:r>
      <w:r>
        <w:rPr>
          <w:rFonts w:hint="eastAsia" w:ascii="仿宋_GB2312" w:eastAsia="仿宋_GB2312" w:cs="仿宋_GB2312"/>
          <w:kern w:val="0"/>
          <w:sz w:val="32"/>
          <w:szCs w:val="32"/>
          <w:lang w:val="en-US" w:eastAsia="zh-CN"/>
        </w:rPr>
        <w:t xml:space="preserve">        </w:t>
      </w:r>
    </w:p>
    <w:p>
      <w:pPr>
        <w:numPr>
          <w:ilvl w:val="-1"/>
          <w:numId w:val="0"/>
        </w:numPr>
        <w:autoSpaceDE w:val="0"/>
        <w:autoSpaceDN w:val="0"/>
        <w:adjustRightInd w:val="0"/>
        <w:ind w:left="420" w:leftChars="200" w:firstLine="0" w:firstLineChars="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 xml:space="preserve">     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spacing w:line="720" w:lineRule="auto"/>
        <w:ind w:firstLine="646"/>
        <w:jc w:val="center"/>
        <w:rPr>
          <w:rFonts w:hint="eastAsia" w:ascii="仿宋_GB2312" w:eastAsia="仿宋_GB2312" w:cs="仿宋_GB2312"/>
          <w:bCs/>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417" w:left="158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spacing w:line="720" w:lineRule="auto"/>
        <w:ind w:firstLine="646"/>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第一部分：</w:t>
      </w:r>
      <w:r>
        <w:rPr>
          <w:rFonts w:hint="default" w:ascii="Times New Roman" w:hAnsi="Times New Roman" w:eastAsia="仿宋_GB2312" w:cs="Times New Roman"/>
          <w:b/>
          <w:sz w:val="32"/>
          <w:szCs w:val="32"/>
          <w:highlight w:val="none"/>
          <w:lang w:eastAsia="zh-CN"/>
        </w:rPr>
        <w:t>市信访局</w:t>
      </w:r>
      <w:r>
        <w:rPr>
          <w:rFonts w:hint="default" w:ascii="Times New Roman" w:hAnsi="Times New Roman" w:eastAsia="仿宋_GB2312" w:cs="Times New Roman"/>
          <w:b/>
          <w:sz w:val="32"/>
          <w:szCs w:val="32"/>
          <w:highlight w:val="none"/>
        </w:rPr>
        <w:t>概况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sz w:val="32"/>
          <w:szCs w:val="32"/>
          <w:highlight w:val="none"/>
        </w:rPr>
        <w:t>一、主要职能</w:t>
      </w:r>
      <w:r>
        <w:rPr>
          <w:rFonts w:hint="eastAsia" w:ascii="黑体" w:hAnsi="黑体" w:eastAsia="黑体" w:cs="黑体"/>
          <w:color w:val="000000"/>
          <w:kern w:val="0"/>
          <w:sz w:val="31"/>
          <w:szCs w:val="3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 xml:space="preserve">1、负责处理群众向市委、市政府及领导同志的来信来电及来访反映的信访事项。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2、负责收集群众来信来电来访中提出的重要建议、意见和问题，向市委、市政府提供社情民意，综合研判，开展调查研究，提出完善有关政策、法律法规和解决信访问题的意见和建议。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3、负责督办重要信访案件，承办上级部门向市委、市政府转送、交办和市委、市政府领导同志批示交办的重要信访事项，负责向县区和市直部门交办、转办、移送信访事项。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4、负责办理群众向市政府提出信访事项复查复核的相关工作。指导复杂疑难信访事项的听证评议工作。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5、协调、检查、指导全市信访工作，组织信访干部教育培训工作。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6、负责协调全市信访工作的宣传和信息发布。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7、承办市委、市政府交办的其他事项。 </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1、中共柳州市委员会柳州市人民政府信访局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2、柳州市信访信息中心</w:t>
      </w:r>
    </w:p>
    <w:p>
      <w:pPr>
        <w:spacing w:line="720" w:lineRule="auto"/>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u w:val="none"/>
        </w:rPr>
        <w:t>：</w:t>
      </w:r>
      <w:r>
        <w:rPr>
          <w:rFonts w:hint="eastAsia" w:ascii="仿宋_GB2312" w:hAnsi="黑体" w:eastAsia="仿宋_GB2312"/>
          <w:b/>
          <w:bCs/>
          <w:color w:val="000000"/>
          <w:sz w:val="32"/>
          <w:szCs w:val="32"/>
          <w:u w:val="none"/>
          <w:lang w:eastAsia="zh-CN"/>
        </w:rPr>
        <w:t>柳州市信访局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firstLineChars="200"/>
        <w:rPr>
          <w:rFonts w:hint="eastAsia" w:ascii="仿宋_GB2312" w:hAnsi="黑体" w:eastAsia="仿宋_GB2312"/>
          <w:b/>
          <w:sz w:val="32"/>
          <w:szCs w:val="32"/>
        </w:rPr>
        <w:sectPr>
          <w:footerReference r:id="rId9" w:type="default"/>
          <w:pgSz w:w="11906" w:h="16838"/>
          <w:pgMar w:top="1701" w:right="1418" w:bottom="1417" w:left="158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tbl>
      <w:tblPr>
        <w:tblStyle w:val="7"/>
        <w:tblW w:w="8940" w:type="dxa"/>
        <w:jc w:val="center"/>
        <w:tblInd w:w="0" w:type="dxa"/>
        <w:tblLayout w:type="fixed"/>
        <w:tblCellMar>
          <w:top w:w="0" w:type="dxa"/>
          <w:left w:w="108" w:type="dxa"/>
          <w:bottom w:w="0" w:type="dxa"/>
          <w:right w:w="108" w:type="dxa"/>
        </w:tblCellMar>
      </w:tblPr>
      <w:tblGrid>
        <w:gridCol w:w="2632"/>
        <w:gridCol w:w="680"/>
        <w:gridCol w:w="933"/>
        <w:gridCol w:w="2884"/>
        <w:gridCol w:w="716"/>
        <w:gridCol w:w="1095"/>
      </w:tblGrid>
      <w:tr>
        <w:tblPrEx>
          <w:tblLayout w:type="fixed"/>
          <w:tblCellMar>
            <w:top w:w="0" w:type="dxa"/>
            <w:left w:w="108" w:type="dxa"/>
            <w:bottom w:w="0" w:type="dxa"/>
            <w:right w:w="108" w:type="dxa"/>
          </w:tblCellMar>
        </w:tblPrEx>
        <w:trPr>
          <w:trHeight w:val="570" w:hRule="atLeast"/>
          <w:jc w:val="center"/>
        </w:trPr>
        <w:tc>
          <w:tcPr>
            <w:tcW w:w="8940" w:type="dxa"/>
            <w:gridSpan w:val="6"/>
            <w:tcBorders>
              <w:top w:val="nil"/>
              <w:left w:val="nil"/>
              <w:bottom w:val="nil"/>
              <w:right w:val="nil"/>
            </w:tcBorders>
            <w:vAlign w:val="bottom"/>
          </w:tcPr>
          <w:p>
            <w:pPr>
              <w:widowControl/>
              <w:jc w:val="center"/>
              <w:rPr>
                <w:rFonts w:hint="default" w:ascii="Times New Roman" w:hAnsi="Times New Roman" w:eastAsia="方正小标宋简体" w:cs="Times New Roman"/>
                <w:kern w:val="0"/>
                <w:sz w:val="36"/>
                <w:szCs w:val="36"/>
                <w:highlight w:val="none"/>
              </w:rPr>
            </w:pPr>
            <w:r>
              <w:rPr>
                <w:rFonts w:hint="default" w:ascii="Times New Roman" w:hAnsi="Times New Roman" w:eastAsia="方正小标宋简体" w:cs="Times New Roman"/>
                <w:kern w:val="0"/>
                <w:sz w:val="36"/>
                <w:szCs w:val="36"/>
                <w:highlight w:val="none"/>
              </w:rPr>
              <w:t>表一：收入支出决算总表</w:t>
            </w:r>
          </w:p>
          <w:tbl>
            <w:tblPr>
              <w:tblStyle w:val="7"/>
              <w:tblW w:w="8827" w:type="dxa"/>
              <w:tblInd w:w="-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2"/>
              <w:gridCol w:w="629"/>
              <w:gridCol w:w="884"/>
              <w:gridCol w:w="2159"/>
              <w:gridCol w:w="629"/>
              <w:gridCol w:w="1604"/>
              <w:tblGridChange w:id="0">
                <w:tblGrid>
                  <w:gridCol w:w="298"/>
                  <w:gridCol w:w="2624"/>
                  <w:gridCol w:w="629"/>
                  <w:gridCol w:w="884"/>
                  <w:gridCol w:w="213"/>
                  <w:gridCol w:w="885"/>
                  <w:gridCol w:w="1061"/>
                  <w:gridCol w:w="244"/>
                  <w:gridCol w:w="385"/>
                  <w:gridCol w:w="160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 w:hRule="atLeast"/>
              </w:trPr>
              <w:tc>
                <w:tcPr>
                  <w:tcW w:w="2922"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629"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884"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59"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629"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604"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594" w:type="dxa"/>
                  <w:gridSpan w:val="4"/>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Arial" w:hAnsi="Arial" w:eastAsia="宋体" w:cs="Arial"/>
                      <w:i w:val="0"/>
                      <w:iCs w:val="0"/>
                      <w:color w:val="000000"/>
                      <w:sz w:val="20"/>
                      <w:szCs w:val="20"/>
                      <w:u w:val="none"/>
                      <w:lang w:val="en-US" w:eastAsia="zh-CN"/>
                    </w:rPr>
                    <w:t>中共柳州市委员会柳州市人民政府信访局</w:t>
                  </w:r>
                </w:p>
              </w:tc>
              <w:tc>
                <w:tcPr>
                  <w:tcW w:w="629"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604"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bl>
          <w:p>
            <w:pPr>
              <w:widowControl/>
              <w:jc w:val="right"/>
              <w:rPr>
                <w:rFonts w:hint="default" w:ascii="Times New Roman" w:hAnsi="Times New Roman" w:cs="Times New Roman"/>
                <w:kern w:val="0"/>
                <w:sz w:val="22"/>
                <w:szCs w:val="22"/>
                <w:highlight w:val="none"/>
              </w:rPr>
            </w:pPr>
          </w:p>
        </w:tc>
      </w:tr>
      <w:tr>
        <w:tblPrEx>
          <w:tblLayout w:type="fixed"/>
          <w:tblCellMar>
            <w:top w:w="0" w:type="dxa"/>
            <w:left w:w="108" w:type="dxa"/>
            <w:bottom w:w="0" w:type="dxa"/>
            <w:right w:w="108" w:type="dxa"/>
          </w:tblCellMar>
        </w:tblPrEx>
        <w:trPr>
          <w:trHeight w:val="270" w:hRule="atLeast"/>
          <w:jc w:val="center"/>
        </w:trPr>
        <w:tc>
          <w:tcPr>
            <w:tcW w:w="42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2"/>
                <w:szCs w:val="22"/>
                <w:highlight w:val="none"/>
              </w:rPr>
            </w:pPr>
            <w:r>
              <w:rPr>
                <w:rFonts w:hint="eastAsia" w:ascii="宋体" w:hAnsi="宋体" w:eastAsia="宋体" w:cs="宋体"/>
                <w:i w:val="0"/>
                <w:iCs w:val="0"/>
                <w:color w:val="000000"/>
                <w:kern w:val="0"/>
                <w:sz w:val="24"/>
                <w:szCs w:val="24"/>
                <w:u w:val="none"/>
                <w:lang w:val="en-US" w:eastAsia="zh-CN" w:bidi="ar"/>
              </w:rPr>
              <w:t>收入</w:t>
            </w:r>
          </w:p>
        </w:tc>
        <w:tc>
          <w:tcPr>
            <w:tcW w:w="46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2"/>
                <w:szCs w:val="22"/>
                <w:highlight w:val="none"/>
              </w:rPr>
            </w:pPr>
            <w:r>
              <w:rPr>
                <w:rFonts w:hint="eastAsia" w:ascii="宋体" w:hAnsi="宋体" w:eastAsia="宋体" w:cs="宋体"/>
                <w:i w:val="0"/>
                <w:iCs w:val="0"/>
                <w:color w:val="000000"/>
                <w:kern w:val="0"/>
                <w:sz w:val="24"/>
                <w:szCs w:val="24"/>
                <w:u w:val="none"/>
                <w:lang w:val="en-US" w:eastAsia="zh-CN" w:bidi="ar"/>
              </w:rPr>
              <w:t>支出</w:t>
            </w:r>
          </w:p>
        </w:tc>
      </w:tr>
      <w:tr>
        <w:tblPrEx>
          <w:tblLayout w:type="fixed"/>
          <w:tblCellMar>
            <w:top w:w="0" w:type="dxa"/>
            <w:left w:w="108" w:type="dxa"/>
            <w:bottom w:w="0" w:type="dxa"/>
            <w:right w:w="108" w:type="dxa"/>
          </w:tblCellMar>
        </w:tblPrEx>
        <w:trPr>
          <w:trHeight w:val="27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行次</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决算数</w:t>
            </w:r>
          </w:p>
        </w:tc>
        <w:tc>
          <w:tcPr>
            <w:tcW w:w="28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7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行次</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决算数</w:t>
            </w:r>
          </w:p>
        </w:tc>
      </w:tr>
      <w:tr>
        <w:tblPrEx>
          <w:tblLayout w:type="fixed"/>
          <w:tblCellMar>
            <w:top w:w="0" w:type="dxa"/>
            <w:left w:w="108" w:type="dxa"/>
            <w:bottom w:w="0" w:type="dxa"/>
            <w:right w:w="108" w:type="dxa"/>
          </w:tblCellMar>
        </w:tblPrEx>
        <w:trPr>
          <w:trHeight w:val="27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栏    次</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sz w:val="22"/>
                <w:szCs w:val="22"/>
              </w:rPr>
            </w:pP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28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栏    次</w:t>
            </w:r>
          </w:p>
        </w:tc>
        <w:tc>
          <w:tcPr>
            <w:tcW w:w="71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sz w:val="22"/>
                <w:szCs w:val="22"/>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eastAsia="zh-CN"/>
              </w:rPr>
            </w:pPr>
            <w:r>
              <w:rPr>
                <w:rFonts w:hint="eastAsia" w:asciiTheme="minorEastAsia" w:hAnsiTheme="minorEastAsia" w:eastAsiaTheme="minorEastAsia" w:cstheme="minorEastAsia"/>
                <w:b w:val="0"/>
                <w:bCs w:val="0"/>
                <w:color w:val="000000"/>
                <w:kern w:val="0"/>
                <w:sz w:val="18"/>
                <w:szCs w:val="18"/>
                <w:highlight w:val="none"/>
              </w:rPr>
              <w:t>一、</w:t>
            </w:r>
            <w:r>
              <w:rPr>
                <w:rFonts w:hint="eastAsia" w:asciiTheme="minorEastAsia" w:hAnsiTheme="minorEastAsia" w:eastAsiaTheme="minorEastAsia" w:cstheme="minorEastAsia"/>
                <w:b w:val="0"/>
                <w:bCs w:val="0"/>
                <w:color w:val="000000"/>
                <w:kern w:val="0"/>
                <w:sz w:val="18"/>
                <w:szCs w:val="18"/>
                <w:highlight w:val="none"/>
                <w:lang w:eastAsia="zh-CN"/>
              </w:rPr>
              <w:t>一般公共预算财政拨款收入</w:t>
            </w: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9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699.28</w:t>
            </w: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一、一般公共服务支出</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546.07</w:t>
            </w: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eastAsia="zh-CN"/>
              </w:rPr>
            </w:pPr>
            <w:r>
              <w:rPr>
                <w:rFonts w:hint="eastAsia" w:asciiTheme="minorEastAsia" w:hAnsiTheme="minorEastAsia" w:eastAsiaTheme="minorEastAsia" w:cstheme="minorEastAsia"/>
                <w:b w:val="0"/>
                <w:bCs w:val="0"/>
                <w:color w:val="000000"/>
                <w:kern w:val="0"/>
                <w:sz w:val="18"/>
                <w:szCs w:val="18"/>
                <w:highlight w:val="none"/>
              </w:rPr>
              <w:t>二、</w:t>
            </w:r>
            <w:r>
              <w:rPr>
                <w:rFonts w:hint="eastAsia" w:asciiTheme="minorEastAsia" w:hAnsiTheme="minorEastAsia" w:eastAsiaTheme="minorEastAsia" w:cstheme="minorEastAsia"/>
                <w:b w:val="0"/>
                <w:bCs w:val="0"/>
                <w:color w:val="000000"/>
                <w:kern w:val="0"/>
                <w:sz w:val="18"/>
                <w:szCs w:val="18"/>
                <w:highlight w:val="none"/>
                <w:lang w:eastAsia="zh-CN"/>
              </w:rPr>
              <w:t>政府性基金预算财政拨款收入</w:t>
            </w: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2</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二、外交支出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32</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color w:val="000000"/>
                <w:kern w:val="0"/>
                <w:sz w:val="18"/>
                <w:szCs w:val="18"/>
                <w:highlight w:val="none"/>
                <w:lang w:eastAsia="zh-CN"/>
              </w:rPr>
              <w:t>三</w:t>
            </w:r>
            <w:r>
              <w:rPr>
                <w:rFonts w:hint="eastAsia" w:asciiTheme="minorEastAsia" w:hAnsiTheme="minorEastAsia" w:eastAsiaTheme="minorEastAsia" w:cstheme="minorEastAsia"/>
                <w:b w:val="0"/>
                <w:bCs w:val="0"/>
                <w:color w:val="000000"/>
                <w:kern w:val="0"/>
                <w:sz w:val="18"/>
                <w:szCs w:val="18"/>
                <w:highlight w:val="none"/>
              </w:rPr>
              <w:t>、</w:t>
            </w:r>
            <w:r>
              <w:rPr>
                <w:rFonts w:hint="eastAsia" w:asciiTheme="minorEastAsia" w:hAnsiTheme="minorEastAsia" w:eastAsiaTheme="minorEastAsia" w:cstheme="minorEastAsia"/>
                <w:b w:val="0"/>
                <w:bCs w:val="0"/>
                <w:color w:val="000000"/>
                <w:kern w:val="0"/>
                <w:sz w:val="18"/>
                <w:szCs w:val="18"/>
                <w:highlight w:val="none"/>
                <w:lang w:eastAsia="zh-CN"/>
              </w:rPr>
              <w:t>上级补助</w:t>
            </w:r>
            <w:r>
              <w:rPr>
                <w:rFonts w:hint="eastAsia" w:asciiTheme="minorEastAsia" w:hAnsiTheme="minorEastAsia" w:eastAsiaTheme="minorEastAsia" w:cstheme="minorEastAsia"/>
                <w:b w:val="0"/>
                <w:bCs w:val="0"/>
                <w:color w:val="000000"/>
                <w:kern w:val="0"/>
                <w:sz w:val="18"/>
                <w:szCs w:val="18"/>
                <w:highlight w:val="none"/>
              </w:rPr>
              <w:t>收入</w:t>
            </w: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3</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三、国防支出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33</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color w:val="000000"/>
                <w:kern w:val="0"/>
                <w:sz w:val="18"/>
                <w:szCs w:val="18"/>
                <w:highlight w:val="none"/>
                <w:lang w:eastAsia="zh-CN"/>
              </w:rPr>
              <w:t>四</w:t>
            </w:r>
            <w:r>
              <w:rPr>
                <w:rFonts w:hint="eastAsia" w:asciiTheme="minorEastAsia" w:hAnsiTheme="minorEastAsia" w:eastAsiaTheme="minorEastAsia" w:cstheme="minorEastAsia"/>
                <w:b w:val="0"/>
                <w:bCs w:val="0"/>
                <w:color w:val="000000"/>
                <w:kern w:val="0"/>
                <w:sz w:val="18"/>
                <w:szCs w:val="18"/>
                <w:highlight w:val="none"/>
              </w:rPr>
              <w:t>、</w:t>
            </w:r>
            <w:r>
              <w:rPr>
                <w:rFonts w:hint="eastAsia" w:asciiTheme="minorEastAsia" w:hAnsiTheme="minorEastAsia" w:eastAsiaTheme="minorEastAsia" w:cstheme="minorEastAsia"/>
                <w:b w:val="0"/>
                <w:bCs w:val="0"/>
                <w:color w:val="000000"/>
                <w:kern w:val="0"/>
                <w:sz w:val="18"/>
                <w:szCs w:val="18"/>
                <w:highlight w:val="none"/>
                <w:lang w:eastAsia="zh-CN"/>
              </w:rPr>
              <w:t>事业</w:t>
            </w:r>
            <w:r>
              <w:rPr>
                <w:rFonts w:hint="eastAsia" w:asciiTheme="minorEastAsia" w:hAnsiTheme="minorEastAsia" w:eastAsiaTheme="minorEastAsia" w:cstheme="minorEastAsia"/>
                <w:b w:val="0"/>
                <w:bCs w:val="0"/>
                <w:color w:val="000000"/>
                <w:kern w:val="0"/>
                <w:sz w:val="18"/>
                <w:szCs w:val="18"/>
                <w:highlight w:val="none"/>
              </w:rPr>
              <w:t>收入</w:t>
            </w: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4</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四、公共安全支出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34</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color w:val="000000"/>
                <w:kern w:val="0"/>
                <w:sz w:val="18"/>
                <w:szCs w:val="18"/>
                <w:highlight w:val="none"/>
                <w:lang w:eastAsia="zh-CN"/>
              </w:rPr>
              <w:t>五</w:t>
            </w:r>
            <w:r>
              <w:rPr>
                <w:rFonts w:hint="eastAsia" w:asciiTheme="minorEastAsia" w:hAnsiTheme="minorEastAsia" w:eastAsiaTheme="minorEastAsia" w:cstheme="minorEastAsia"/>
                <w:b w:val="0"/>
                <w:bCs w:val="0"/>
                <w:color w:val="000000"/>
                <w:kern w:val="0"/>
                <w:sz w:val="18"/>
                <w:szCs w:val="18"/>
                <w:highlight w:val="none"/>
              </w:rPr>
              <w:t>、</w:t>
            </w:r>
            <w:r>
              <w:rPr>
                <w:rFonts w:hint="eastAsia" w:asciiTheme="minorEastAsia" w:hAnsiTheme="minorEastAsia" w:eastAsiaTheme="minorEastAsia" w:cstheme="minorEastAsia"/>
                <w:b w:val="0"/>
                <w:bCs w:val="0"/>
                <w:color w:val="000000"/>
                <w:kern w:val="0"/>
                <w:sz w:val="18"/>
                <w:szCs w:val="18"/>
                <w:highlight w:val="none"/>
                <w:lang w:eastAsia="zh-CN"/>
              </w:rPr>
              <w:t>经营</w:t>
            </w:r>
            <w:r>
              <w:rPr>
                <w:rFonts w:hint="eastAsia" w:asciiTheme="minorEastAsia" w:hAnsiTheme="minorEastAsia" w:eastAsiaTheme="minorEastAsia" w:cstheme="minorEastAsia"/>
                <w:b w:val="0"/>
                <w:bCs w:val="0"/>
                <w:color w:val="000000"/>
                <w:kern w:val="0"/>
                <w:sz w:val="18"/>
                <w:szCs w:val="18"/>
                <w:highlight w:val="none"/>
              </w:rPr>
              <w:t>收入</w:t>
            </w: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5</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五、教育支出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35</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eastAsia="zh-CN"/>
              </w:rPr>
            </w:pPr>
            <w:r>
              <w:rPr>
                <w:rFonts w:hint="eastAsia" w:asciiTheme="minorEastAsia" w:hAnsiTheme="minorEastAsia" w:eastAsiaTheme="minorEastAsia" w:cstheme="minorEastAsia"/>
                <w:b w:val="0"/>
                <w:bCs w:val="0"/>
                <w:color w:val="000000"/>
                <w:kern w:val="0"/>
                <w:sz w:val="18"/>
                <w:szCs w:val="18"/>
                <w:highlight w:val="none"/>
                <w:lang w:eastAsia="zh-CN"/>
              </w:rPr>
              <w:t>六、附属单位上缴收入</w:t>
            </w: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6</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六、科学技术支出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36</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color w:val="000000"/>
                <w:kern w:val="0"/>
                <w:sz w:val="18"/>
                <w:szCs w:val="18"/>
                <w:highlight w:val="none"/>
                <w:lang w:eastAsia="zh-CN"/>
              </w:rPr>
              <w:t>七</w:t>
            </w:r>
            <w:r>
              <w:rPr>
                <w:rFonts w:hint="eastAsia" w:asciiTheme="minorEastAsia" w:hAnsiTheme="minorEastAsia" w:eastAsiaTheme="minorEastAsia" w:cstheme="minorEastAsia"/>
                <w:b w:val="0"/>
                <w:bCs w:val="0"/>
                <w:color w:val="000000"/>
                <w:kern w:val="0"/>
                <w:sz w:val="18"/>
                <w:szCs w:val="18"/>
                <w:highlight w:val="none"/>
              </w:rPr>
              <w:t>、其他收入</w:t>
            </w: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7</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七、文化旅游体育与传媒支出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37</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color w:val="000000"/>
                <w:kern w:val="0"/>
                <w:sz w:val="18"/>
                <w:szCs w:val="18"/>
                <w:highlight w:val="none"/>
              </w:rPr>
              <w:t>　</w:t>
            </w: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8</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八、社会保障和就业支出</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98.39</w:t>
            </w: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9</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九、卫生健康支出</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30.44</w:t>
            </w: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10</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i w:val="0"/>
                <w:color w:val="00000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十、节能环保支出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40</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11</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十一、城乡社区支出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41</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12</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十二、农林水支出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42</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13</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十三、交通运输支出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43</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14</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十四、资源勘探工业信息等支出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44</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eastAsia="zh-CN"/>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15</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十五、商业服务业等支出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45</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16</w:t>
            </w:r>
          </w:p>
        </w:tc>
        <w:tc>
          <w:tcPr>
            <w:tcW w:w="933"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nil"/>
              <w:left w:val="nil"/>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十六、金融支出</w:t>
            </w:r>
          </w:p>
        </w:tc>
        <w:tc>
          <w:tcPr>
            <w:tcW w:w="716"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46</w:t>
            </w:r>
          </w:p>
        </w:tc>
        <w:tc>
          <w:tcPr>
            <w:tcW w:w="109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17</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十七、援助其他地区支出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47</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18</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十八、自然资源海洋气象等支出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48</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19</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十九、住房保障支出</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31.56</w:t>
            </w: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20</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二十、粮油物资储备支出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50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21</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二十一、国有资本经营预算支出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51</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22</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二十二、灾害防治及应急管理支出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52</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23</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二十三、其他支出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53</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24</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二十四、债务还本支出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54</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25</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二十五、债务付息支出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55</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26</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0" w:lineRule="atLeast"/>
              <w:jc w:val="left"/>
              <w:textAlignment w:val="center"/>
              <w:rPr>
                <w:rFonts w:hint="eastAsia" w:asciiTheme="minorEastAsia" w:hAnsiTheme="minorEastAsia" w:eastAsiaTheme="minorEastAsia" w:cstheme="minorEastAsia"/>
                <w:b w:val="0"/>
                <w:bCs w:val="0"/>
                <w:color w:val="000000"/>
                <w:kern w:val="0"/>
                <w:sz w:val="18"/>
                <w:szCs w:val="18"/>
                <w:highlight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二十六、抗疫特别国债安排的支出</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rPr>
            </w:pPr>
            <w:r>
              <w:rPr>
                <w:rFonts w:hint="eastAsia" w:asciiTheme="minorEastAsia" w:hAnsiTheme="minorEastAsia" w:eastAsiaTheme="minorEastAsia" w:cstheme="minorEastAsia"/>
                <w:b w:val="0"/>
                <w:bCs w:val="0"/>
                <w:color w:val="000000"/>
                <w:kern w:val="0"/>
                <w:sz w:val="22"/>
                <w:szCs w:val="22"/>
                <w:highlight w:val="none"/>
                <w:lang w:val="en-US" w:eastAsia="zh-CN"/>
              </w:rPr>
              <w:t>56</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color w:val="000000"/>
                <w:kern w:val="0"/>
                <w:sz w:val="18"/>
                <w:szCs w:val="18"/>
                <w:highlight w:val="none"/>
              </w:rPr>
              <w:t>本年收入合计</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27</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699.28</w:t>
            </w:r>
          </w:p>
        </w:tc>
        <w:tc>
          <w:tcPr>
            <w:tcW w:w="28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color w:val="000000"/>
                <w:kern w:val="0"/>
                <w:sz w:val="18"/>
                <w:szCs w:val="18"/>
                <w:highlight w:val="none"/>
              </w:rPr>
              <w:t>本年支出合计</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t>57</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706.46</w:t>
            </w: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        使用非财政拨款结余</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p>
        </w:tc>
        <w:tc>
          <w:tcPr>
            <w:tcW w:w="28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color w:val="000000"/>
                <w:kern w:val="0"/>
                <w:sz w:val="18"/>
                <w:szCs w:val="18"/>
                <w:highlight w:val="none"/>
              </w:rPr>
              <w:t>结余分配</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         年初结转和结余</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color w:val="000000"/>
                <w:kern w:val="0"/>
                <w:sz w:val="22"/>
                <w:szCs w:val="22"/>
                <w:highlight w:val="none"/>
                <w:lang w:val="en-US" w:eastAsia="zh-CN" w:bidi="ar-SA"/>
              </w:rPr>
              <w:t>29</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color w:val="000000"/>
                <w:kern w:val="0"/>
                <w:sz w:val="22"/>
                <w:szCs w:val="22"/>
                <w:highlight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w:t>
            </w:r>
          </w:p>
        </w:tc>
        <w:tc>
          <w:tcPr>
            <w:tcW w:w="28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color w:val="000000"/>
                <w:kern w:val="0"/>
                <w:sz w:val="18"/>
                <w:szCs w:val="18"/>
                <w:highlight w:val="none"/>
              </w:rPr>
              <w:t>年末结转与结余</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t>59</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pPr>
          </w:p>
        </w:tc>
      </w:tr>
      <w:tr>
        <w:tblPrEx>
          <w:tblLayout w:type="fixed"/>
          <w:tblCellMar>
            <w:top w:w="0" w:type="dxa"/>
            <w:left w:w="108" w:type="dxa"/>
            <w:bottom w:w="0" w:type="dxa"/>
            <w:right w:w="108" w:type="dxa"/>
          </w:tblCellMar>
        </w:tblPrEx>
        <w:trPr>
          <w:trHeight w:val="283"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color w:val="000000"/>
                <w:kern w:val="0"/>
                <w:sz w:val="18"/>
                <w:szCs w:val="18"/>
                <w:highlight w:val="none"/>
              </w:rPr>
              <w:t>总计</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i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color w:val="000000"/>
                <w:kern w:val="2"/>
                <w:sz w:val="22"/>
                <w:szCs w:val="22"/>
                <w:highlight w:val="none"/>
                <w:u w:val="none"/>
                <w:lang w:val="en-US" w:eastAsia="zh-CN" w:bidi="ar-SA"/>
              </w:rPr>
              <w:t>30</w:t>
            </w:r>
          </w:p>
        </w:tc>
        <w:tc>
          <w:tcPr>
            <w:tcW w:w="93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706.46</w:t>
            </w:r>
          </w:p>
        </w:tc>
        <w:tc>
          <w:tcPr>
            <w:tcW w:w="28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heme="minorEastAsia" w:hAnsiTheme="minorEastAsia" w:eastAsiaTheme="minorEastAsia" w:cstheme="minorEastAsia"/>
                <w:b w:val="0"/>
                <w:bCs w:val="0"/>
                <w:color w:val="000000"/>
                <w:kern w:val="0"/>
                <w:sz w:val="18"/>
                <w:szCs w:val="18"/>
                <w:highlight w:val="none"/>
                <w:lang w:val="en-US" w:eastAsia="zh-CN" w:bidi="ar-SA"/>
              </w:rPr>
            </w:pPr>
            <w:r>
              <w:rPr>
                <w:rFonts w:hint="eastAsia" w:asciiTheme="minorEastAsia" w:hAnsiTheme="minorEastAsia" w:eastAsiaTheme="minorEastAsia" w:cstheme="minorEastAsia"/>
                <w:b w:val="0"/>
                <w:bCs w:val="0"/>
                <w:color w:val="000000"/>
                <w:kern w:val="0"/>
                <w:sz w:val="18"/>
                <w:szCs w:val="18"/>
                <w:highlight w:val="none"/>
              </w:rPr>
              <w:t>总计</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i w:val="0"/>
                <w:color w:val="000000"/>
                <w:kern w:val="0"/>
                <w:sz w:val="22"/>
                <w:szCs w:val="22"/>
                <w:highlight w:val="none"/>
                <w:u w:val="none"/>
                <w:lang w:val="en-US" w:eastAsia="zh-CN" w:bidi="ar"/>
              </w:rPr>
              <w:t>60</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706.46</w:t>
            </w:r>
          </w:p>
        </w:tc>
      </w:tr>
    </w:tbl>
    <w:p>
      <w:pPr>
        <w:rPr>
          <w:rFonts w:hint="default" w:ascii="Times New Roman" w:hAnsi="Times New Roman" w:cs="Times New Roman"/>
          <w:highlight w:val="none"/>
        </w:rPr>
        <w:sectPr>
          <w:pgSz w:w="11906" w:h="16838"/>
          <w:pgMar w:top="1134" w:right="1418" w:bottom="1134"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i w:val="0"/>
          <w:iCs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2.本套报表金额单位转换时可能存在尾数误差。</w:t>
      </w:r>
    </w:p>
    <w:p>
      <w:pPr>
        <w:jc w:val="center"/>
        <w:rPr>
          <w:rFonts w:hint="default" w:ascii="Times New Roman" w:hAnsi="Times New Roman" w:cs="Times New Roman"/>
          <w:highlight w:val="none"/>
        </w:rPr>
      </w:pPr>
      <w:r>
        <w:rPr>
          <w:rFonts w:hint="default" w:ascii="Times New Roman" w:hAnsi="Times New Roman" w:eastAsia="方正小标宋简体" w:cs="Times New Roman"/>
          <w:kern w:val="0"/>
          <w:sz w:val="36"/>
          <w:szCs w:val="36"/>
          <w:highlight w:val="none"/>
        </w:rPr>
        <w:t>表二：收入决算表</w:t>
      </w:r>
    </w:p>
    <w:tbl>
      <w:tblPr>
        <w:tblStyle w:val="7"/>
        <w:tblW w:w="140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92"/>
        <w:gridCol w:w="211"/>
        <w:gridCol w:w="102"/>
        <w:gridCol w:w="3607"/>
        <w:gridCol w:w="1047"/>
        <w:gridCol w:w="813"/>
        <w:gridCol w:w="853"/>
        <w:gridCol w:w="584"/>
        <w:gridCol w:w="408"/>
        <w:gridCol w:w="309"/>
        <w:gridCol w:w="572"/>
        <w:gridCol w:w="488"/>
        <w:gridCol w:w="296"/>
        <w:gridCol w:w="91"/>
        <w:gridCol w:w="875"/>
        <w:gridCol w:w="54"/>
        <w:gridCol w:w="821"/>
        <w:gridCol w:w="64"/>
        <w:gridCol w:w="342"/>
        <w:gridCol w:w="469"/>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7" w:hRule="atLeast"/>
        </w:trPr>
        <w:tc>
          <w:tcPr>
            <w:tcW w:w="115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313"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3607"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860"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845" w:type="dxa"/>
            <w:gridSpan w:val="3"/>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665" w:type="dxa"/>
            <w:gridSpan w:val="4"/>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020" w:type="dxa"/>
            <w:gridSpan w:val="3"/>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885"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687" w:type="dxa"/>
            <w:gridSpan w:val="3"/>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trPr>
        <w:tc>
          <w:tcPr>
            <w:tcW w:w="105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6725" w:type="dxa"/>
            <w:gridSpan w:val="7"/>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1301" w:type="dxa"/>
            <w:gridSpan w:val="3"/>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060"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2543" w:type="dxa"/>
            <w:gridSpan w:val="7"/>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34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8" w:hRule="atLeast"/>
        </w:trPr>
        <w:tc>
          <w:tcPr>
            <w:tcW w:w="61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cs="宋体"/>
                <w:i w:val="0"/>
                <w:iCs w:val="0"/>
                <w:color w:val="auto"/>
                <w:kern w:val="0"/>
                <w:sz w:val="22"/>
                <w:szCs w:val="22"/>
                <w:u w:val="none"/>
                <w:shd w:val="clear" w:color="auto" w:fill="auto"/>
                <w:lang w:val="en-US" w:eastAsia="zh-CN" w:bidi="ar"/>
              </w:rPr>
              <w:t>项       目</w:t>
            </w:r>
          </w:p>
        </w:tc>
        <w:tc>
          <w:tcPr>
            <w:tcW w:w="22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本年收入合计</w:t>
            </w:r>
          </w:p>
        </w:tc>
        <w:tc>
          <w:tcPr>
            <w:tcW w:w="128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财政拨款收入</w:t>
            </w:r>
          </w:p>
        </w:tc>
        <w:tc>
          <w:tcPr>
            <w:tcW w:w="87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上级补助收入</w:t>
            </w:r>
          </w:p>
        </w:tc>
        <w:tc>
          <w:tcPr>
            <w:tcW w:w="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事业收入</w:t>
            </w:r>
          </w:p>
        </w:tc>
        <w:tc>
          <w:tcPr>
            <w:tcW w:w="87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经营收入</w:t>
            </w:r>
          </w:p>
        </w:tc>
        <w:tc>
          <w:tcPr>
            <w:tcW w:w="87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附属单位上缴收入</w:t>
            </w:r>
          </w:p>
        </w:tc>
        <w:tc>
          <w:tcPr>
            <w:tcW w:w="8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shd w:val="clear" w:color="auto" w:fill="auto"/>
                <w:lang w:val="en-US" w:eastAsia="zh-CN"/>
              </w:rPr>
            </w:pPr>
            <w:r>
              <w:rPr>
                <w:rFonts w:hint="eastAsia" w:ascii="宋体" w:hAnsi="宋体" w:cs="宋体"/>
                <w:i w:val="0"/>
                <w:iCs w:val="0"/>
                <w:color w:val="auto"/>
                <w:sz w:val="22"/>
                <w:szCs w:val="22"/>
                <w:u w:val="none"/>
                <w:shd w:val="clear" w:color="auto" w:fill="auto"/>
                <w:lang w:val="en-US" w:eastAsia="zh-CN"/>
              </w:rPr>
              <w:t>功能分类</w:t>
            </w:r>
          </w:p>
          <w:p>
            <w:pPr>
              <w:keepNext w:val="0"/>
              <w:keepLines w:val="0"/>
              <w:widowControl/>
              <w:suppressLineNumbers w:val="0"/>
              <w:jc w:val="center"/>
              <w:textAlignment w:val="center"/>
              <w:rPr>
                <w:rFonts w:hint="eastAsia" w:ascii="宋体" w:hAnsi="宋体" w:cs="宋体"/>
                <w:i w:val="0"/>
                <w:iCs w:val="0"/>
                <w:color w:val="auto"/>
                <w:sz w:val="22"/>
                <w:szCs w:val="22"/>
                <w:u w:val="none"/>
                <w:shd w:val="clear" w:color="auto" w:fill="auto"/>
                <w:lang w:val="en-US" w:eastAsia="zh-CN"/>
              </w:rPr>
            </w:pPr>
            <w:r>
              <w:rPr>
                <w:rFonts w:hint="eastAsia" w:ascii="宋体" w:hAnsi="宋体" w:cs="宋体"/>
                <w:i w:val="0"/>
                <w:iCs w:val="0"/>
                <w:color w:val="auto"/>
                <w:sz w:val="22"/>
                <w:szCs w:val="22"/>
                <w:u w:val="none"/>
                <w:shd w:val="clear" w:color="auto" w:fill="auto"/>
                <w:lang w:val="en-US" w:eastAsia="zh-CN"/>
              </w:rPr>
              <w:t>科目编码</w:t>
            </w:r>
          </w:p>
        </w:tc>
        <w:tc>
          <w:tcPr>
            <w:tcW w:w="4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lang w:eastAsia="zh-CN"/>
              </w:rPr>
            </w:pPr>
            <w:r>
              <w:rPr>
                <w:rFonts w:hint="eastAsia" w:ascii="宋体" w:hAnsi="宋体" w:cs="宋体"/>
                <w:i w:val="0"/>
                <w:iCs w:val="0"/>
                <w:color w:val="auto"/>
                <w:sz w:val="22"/>
                <w:szCs w:val="22"/>
                <w:u w:val="none"/>
                <w:shd w:val="clear" w:color="auto" w:fill="auto"/>
                <w:lang w:eastAsia="zh-CN"/>
              </w:rPr>
              <w:t>科目名称</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8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8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8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61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合计</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shd w:val="clear" w:color="auto" w:fill="auto"/>
              </w:rPr>
            </w:pPr>
            <w:r>
              <w:rPr>
                <w:rFonts w:hint="eastAsia" w:ascii="宋体" w:hAnsi="宋体" w:eastAsia="宋体" w:cs="宋体"/>
                <w:b/>
                <w:bCs/>
                <w:i w:val="0"/>
                <w:iCs w:val="0"/>
                <w:color w:val="auto"/>
                <w:kern w:val="0"/>
                <w:sz w:val="22"/>
                <w:szCs w:val="22"/>
                <w:u w:val="none"/>
                <w:shd w:val="clear" w:color="auto" w:fill="auto"/>
                <w:lang w:val="en-US" w:eastAsia="zh-CN" w:bidi="ar"/>
              </w:rPr>
              <w:t>699.28</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shd w:val="clear" w:color="auto" w:fill="auto"/>
              </w:rPr>
            </w:pPr>
            <w:r>
              <w:rPr>
                <w:rFonts w:hint="eastAsia" w:ascii="宋体" w:hAnsi="宋体" w:eastAsia="宋体" w:cs="宋体"/>
                <w:b/>
                <w:bCs/>
                <w:i w:val="0"/>
                <w:iCs w:val="0"/>
                <w:color w:val="auto"/>
                <w:kern w:val="0"/>
                <w:sz w:val="22"/>
                <w:szCs w:val="22"/>
                <w:u w:val="none"/>
                <w:shd w:val="clear" w:color="auto" w:fill="auto"/>
                <w:lang w:val="en-US" w:eastAsia="zh-CN" w:bidi="ar"/>
              </w:rPr>
              <w:t>699.28</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auto"/>
                <w:sz w:val="22"/>
                <w:szCs w:val="22"/>
                <w:u w:val="none"/>
                <w:shd w:val="clear" w:color="auto" w:fill="auto"/>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auto"/>
                <w:sz w:val="22"/>
                <w:szCs w:val="22"/>
                <w:u w:val="none"/>
                <w:shd w:val="clear" w:color="auto" w:fill="auto"/>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auto"/>
                <w:sz w:val="22"/>
                <w:szCs w:val="22"/>
                <w:u w:val="none"/>
                <w:shd w:val="clear" w:color="auto" w:fill="auto"/>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auto"/>
                <w:sz w:val="22"/>
                <w:szCs w:val="22"/>
                <w:u w:val="none"/>
                <w:shd w:val="clear" w:color="auto" w:fill="auto"/>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201</w:t>
            </w:r>
          </w:p>
        </w:tc>
        <w:tc>
          <w:tcPr>
            <w:tcW w:w="475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一般公共服务支出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538.89</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538.89</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20131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党委办公厅（室）及相关机构事务</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263.19</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263.19</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98.19</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98.19</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132.40</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132.40</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2013199</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31.96</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31.96</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275.55</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275.55</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275.55</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275.55</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网信事务</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2013750</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7"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1" w:hRule="atLeast"/>
        </w:trPr>
        <w:tc>
          <w:tcPr>
            <w:tcW w:w="136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7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25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12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rPr>
          <w:rFonts w:hint="default" w:ascii="Times New Roman" w:hAnsi="Times New Roman" w:cs="Times New Roman"/>
          <w:highlight w:val="none"/>
        </w:rPr>
        <w:sectPr>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highlight w:val="none"/>
        </w:rPr>
        <w:t>注：本表反映部门本年度取得的各项收入情况。</w:t>
      </w:r>
    </w:p>
    <w:p>
      <w:pPr>
        <w:jc w:val="center"/>
        <w:rPr>
          <w:rFonts w:hint="default" w:ascii="Times New Roman" w:hAnsi="Times New Roman" w:cs="Times New Roman"/>
          <w:highlight w:val="none"/>
        </w:rPr>
      </w:pPr>
      <w:r>
        <w:rPr>
          <w:rFonts w:hint="default" w:ascii="Times New Roman" w:hAnsi="Times New Roman" w:eastAsia="方正小标宋简体" w:cs="Times New Roman"/>
          <w:kern w:val="0"/>
          <w:sz w:val="36"/>
          <w:szCs w:val="36"/>
          <w:highlight w:val="none"/>
        </w:rPr>
        <w:t>表三：支出决算表</w:t>
      </w:r>
    </w:p>
    <w:p>
      <w:pPr>
        <w:rPr>
          <w:rFonts w:hint="default" w:ascii="Times New Roman" w:hAnsi="Times New Roman" w:cs="Times New Roman"/>
          <w:highlight w:val="none"/>
        </w:rPr>
      </w:pPr>
    </w:p>
    <w:tbl>
      <w:tblPr>
        <w:tblStyle w:val="7"/>
        <w:tblW w:w="141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92"/>
        <w:gridCol w:w="313"/>
        <w:gridCol w:w="3819"/>
        <w:gridCol w:w="1648"/>
        <w:gridCol w:w="853"/>
        <w:gridCol w:w="992"/>
        <w:gridCol w:w="309"/>
        <w:gridCol w:w="1060"/>
        <w:gridCol w:w="296"/>
        <w:gridCol w:w="1020"/>
        <w:gridCol w:w="885"/>
        <w:gridCol w:w="576"/>
        <w:gridCol w:w="958"/>
        <w:gridCol w:w="243"/>
        <w:tblGridChange w:id="1">
          <w:tblGrid>
            <w:gridCol w:w="1059"/>
            <w:gridCol w:w="92"/>
            <w:gridCol w:w="313"/>
            <w:gridCol w:w="3607"/>
            <w:gridCol w:w="212"/>
            <w:gridCol w:w="1648"/>
            <w:gridCol w:w="853"/>
            <w:gridCol w:w="992"/>
            <w:gridCol w:w="1665"/>
            <w:gridCol w:w="1020"/>
            <w:gridCol w:w="885"/>
            <w:gridCol w:w="153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43" w:type="dxa"/>
          <w:trHeight w:val="307" w:hRule="atLeast"/>
        </w:trPr>
        <w:tc>
          <w:tcPr>
            <w:tcW w:w="115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313"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3819"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648"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845"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665" w:type="dxa"/>
            <w:gridSpan w:val="3"/>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020"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534"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trPr>
        <w:tc>
          <w:tcPr>
            <w:tcW w:w="105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6725" w:type="dxa"/>
            <w:gridSpan w:val="5"/>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1301"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060" w:type="dxa"/>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2777" w:type="dxa"/>
            <w:gridSpan w:val="4"/>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201"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453" w:hRule="atLeast"/>
        </w:trPr>
        <w:tc>
          <w:tcPr>
            <w:tcW w:w="528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16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184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66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上缴上级支出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经营支出</w:t>
            </w:r>
          </w:p>
        </w:tc>
        <w:tc>
          <w:tcPr>
            <w:tcW w:w="153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453" w:hRule="atLeast"/>
        </w:trPr>
        <w:tc>
          <w:tcPr>
            <w:tcW w:w="146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功能分类科目编码</w:t>
            </w:r>
          </w:p>
        </w:tc>
        <w:tc>
          <w:tcPr>
            <w:tcW w:w="38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453" w:hRule="atLeast"/>
        </w:trPr>
        <w:tc>
          <w:tcPr>
            <w:tcW w:w="146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栏次</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706.46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534.91</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171.55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546.07</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374.52</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171.55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20131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270.38</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98.82</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171.55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2013101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98.19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98.19</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bCs w:val="0"/>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2013105</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专项业务</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139.59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139.59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2013150</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事业运行</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0.63</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0.63</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2013199</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0" w:lineRule="atLeas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31.96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31.96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20136</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275.55</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275.55</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2013601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275.55</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275.55</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20137</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网信事务</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0.15</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0.15</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2013750</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事业运行</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0.15</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0.15</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98.39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98.39</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98.39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98.39</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11.57</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11.57</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事业单位离退休</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24.78</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24.78</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2080506</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20.54</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20.54</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30.44</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30.44</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30.44</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30.44</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公务员医疗补助</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31.56</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31.56</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43" w:type="dxa"/>
          <w:trHeight w:val="283" w:hRule="atLeast"/>
        </w:trPr>
        <w:tc>
          <w:tcPr>
            <w:tcW w:w="14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31.56</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bl>
    <w:p>
      <w:pPr>
        <w:rPr>
          <w:rFonts w:hint="default" w:ascii="Times New Roman" w:hAnsi="Times New Roman" w:cs="Times New Roman"/>
          <w:highlight w:val="none"/>
        </w:rPr>
        <w:sectPr>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default" w:ascii="Times New Roman" w:hAnsi="Times New Roman" w:cs="Times New Roman"/>
          <w:highlight w:val="none"/>
        </w:rPr>
        <w:sectPr>
          <w:type w:val="continuous"/>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highlight w:val="none"/>
        </w:rPr>
        <w:t>注：本表反映部门本年度各项支出情况。</w:t>
      </w:r>
    </w:p>
    <w:tbl>
      <w:tblPr>
        <w:tblStyle w:val="7"/>
        <w:tblW w:w="141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2381"/>
        <w:gridCol w:w="506"/>
        <w:gridCol w:w="1785"/>
        <w:gridCol w:w="2053"/>
        <w:gridCol w:w="1007"/>
        <w:gridCol w:w="294"/>
        <w:gridCol w:w="351"/>
        <w:gridCol w:w="709"/>
        <w:gridCol w:w="461"/>
        <w:gridCol w:w="1380"/>
        <w:gridCol w:w="936"/>
        <w:gridCol w:w="75"/>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8" w:hRule="atLeast"/>
        </w:trPr>
        <w:tc>
          <w:tcPr>
            <w:tcW w:w="14123"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表四：财政拨款收入支出决算总表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3440"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506"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785"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3060"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645"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70"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01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126"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trPr>
        <w:tc>
          <w:tcPr>
            <w:tcW w:w="105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6725" w:type="dxa"/>
            <w:gridSpan w:val="4"/>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1301"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060"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2777" w:type="dxa"/>
            <w:gridSpan w:val="3"/>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201"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trPr>
        <w:tc>
          <w:tcPr>
            <w:tcW w:w="57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w:t>
            </w:r>
          </w:p>
        </w:tc>
        <w:tc>
          <w:tcPr>
            <w:tcW w:w="839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6"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政府性基金预算财政拨款</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699.28</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546.07</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699.28</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706.46</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4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706.46</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706.46</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706.46</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0" w:hRule="atLeast"/>
        </w:trPr>
        <w:tc>
          <w:tcPr>
            <w:tcW w:w="14123"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bl>
    <w:p>
      <w:pPr>
        <w:rPr>
          <w:rFonts w:hint="default" w:ascii="Times New Roman" w:hAnsi="Times New Roman" w:cs="Times New Roman"/>
          <w:highlight w:val="none"/>
        </w:rPr>
        <w:sectPr>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41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71"/>
        <w:gridCol w:w="1001"/>
        <w:gridCol w:w="4393"/>
        <w:gridCol w:w="1331"/>
        <w:gridCol w:w="1003"/>
        <w:gridCol w:w="298"/>
        <w:gridCol w:w="1060"/>
        <w:gridCol w:w="1098"/>
        <w:gridCol w:w="1679"/>
        <w:gridCol w:w="1201"/>
        <w:tblGridChange w:id="2">
          <w:tblGrid>
            <w:gridCol w:w="600"/>
            <w:gridCol w:w="288"/>
            <w:gridCol w:w="171"/>
            <w:gridCol w:w="621"/>
            <w:gridCol w:w="362"/>
            <w:gridCol w:w="18"/>
            <w:gridCol w:w="1945"/>
            <w:gridCol w:w="522"/>
            <w:gridCol w:w="1926"/>
            <w:gridCol w:w="2334"/>
            <w:gridCol w:w="2456"/>
            <w:gridCol w:w="2880"/>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9" w:hRule="atLeast"/>
        </w:trPr>
        <w:tc>
          <w:tcPr>
            <w:tcW w:w="14123"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表五：一般公共预算财政拨款支出决算表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6" w:hRule="atLeast"/>
        </w:trPr>
        <w:tc>
          <w:tcPr>
            <w:tcW w:w="888"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93"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34"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2456" w:type="dxa"/>
            <w:gridSpan w:val="3"/>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288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trPr>
        <w:tc>
          <w:tcPr>
            <w:tcW w:w="105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6725" w:type="dxa"/>
            <w:gridSpan w:val="3"/>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1301"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060" w:type="dxa"/>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2777"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20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8" w:hRule="atLeast"/>
        </w:trPr>
        <w:tc>
          <w:tcPr>
            <w:tcW w:w="6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Style w:val="12"/>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7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功能分类科目编码</w:t>
            </w:r>
          </w:p>
        </w:tc>
        <w:tc>
          <w:tcPr>
            <w:tcW w:w="4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2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24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6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6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706.46</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534.91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171.55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546.07</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374.52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171.55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20131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270.38</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98.82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171.55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2013101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行政运行</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98.19</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98.19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2013105</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专项业务</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139.59</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24"/>
                <w:szCs w:val="24"/>
                <w:u w:val="none"/>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139.59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2013150</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事业运行</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0.63</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2"/>
                <w:szCs w:val="22"/>
                <w:u w:val="none"/>
                <w:lang w:val="en-US" w:eastAsia="zh-CN" w:bidi="ar"/>
              </w:rPr>
              <w:t>0.63</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2013199</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0" w:lineRule="atLeas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31.96</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20136</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275.55</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275.55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2013601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行政运行</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275.55</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275.55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20137</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网信事务</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0.15</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2013750</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事业运行</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0.15</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98.39</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98.39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98.39</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98.39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11.57</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11.57</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24.78</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24.78</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41.50</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41.50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2080506</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20.54</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20.54</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30.44</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30.44</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30.44</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30.44</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17.10</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17.10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2.65</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10.69</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10.69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2210201</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22102</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31.56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4" w:hRule="atLeast"/>
        </w:trPr>
        <w:tc>
          <w:tcPr>
            <w:tcW w:w="1412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注：本表反映部门本年度一般公共预算财政拨款支出情况。</w:t>
            </w:r>
          </w:p>
        </w:tc>
      </w:tr>
    </w:tbl>
    <w:p>
      <w:pPr>
        <w:rPr>
          <w:rFonts w:hint="default" w:ascii="Times New Roman" w:hAnsi="Times New Roman" w:cs="Times New Roman"/>
          <w:highlight w:val="none"/>
        </w:rPr>
        <w:sectPr>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41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2776"/>
        <w:gridCol w:w="1060"/>
        <w:gridCol w:w="1060"/>
        <w:gridCol w:w="1829"/>
        <w:gridCol w:w="1301"/>
        <w:gridCol w:w="1060"/>
        <w:gridCol w:w="2777"/>
        <w:gridCol w:w="1201"/>
        <w:tblGridChange w:id="3">
          <w:tblGrid>
            <w:gridCol w:w="960"/>
            <w:gridCol w:w="99"/>
            <w:gridCol w:w="2776"/>
            <w:gridCol w:w="350"/>
            <w:gridCol w:w="710"/>
            <w:gridCol w:w="325"/>
            <w:gridCol w:w="735"/>
            <w:gridCol w:w="225"/>
            <w:gridCol w:w="1604"/>
            <w:gridCol w:w="676"/>
            <w:gridCol w:w="625"/>
            <w:gridCol w:w="410"/>
            <w:gridCol w:w="650"/>
            <w:gridCol w:w="2777"/>
            <w:gridCol w:w="120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trPr>
        <w:tc>
          <w:tcPr>
            <w:tcW w:w="14123"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表六：一般公共预算财政拨款基本支出决算表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1059"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6"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2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301"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2777"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0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trPr>
        <w:tc>
          <w:tcPr>
            <w:tcW w:w="105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6725" w:type="dxa"/>
            <w:gridSpan w:val="4"/>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1301" w:type="dxa"/>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060" w:type="dxa"/>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2777" w:type="dxa"/>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20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7"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474.07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26.93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99.81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2.34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92.73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94.95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29.82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49.08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0.75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22.96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0.26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10.89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0.60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2.74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53.10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0.13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33.91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0.21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24.78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4.96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15.38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3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507.98</w:t>
            </w:r>
          </w:p>
        </w:tc>
        <w:tc>
          <w:tcPr>
            <w:tcW w:w="8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2"/>
                <w:sz w:val="20"/>
                <w:szCs w:val="20"/>
                <w:u w:val="none"/>
                <w:lang w:val="en-US" w:eastAsia="zh-CN" w:bidi="ar"/>
              </w:rPr>
              <w:t>公用经费合计</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6" w:hRule="atLeast"/>
        </w:trPr>
        <w:tc>
          <w:tcPr>
            <w:tcW w:w="14123"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注：本表反映部门本年度一般公共预算财政拨款基本支出明细情况。</w:t>
            </w:r>
          </w:p>
        </w:tc>
      </w:tr>
    </w:tbl>
    <w:p>
      <w:pPr>
        <w:rPr>
          <w:rFonts w:hint="default" w:ascii="Times New Roman" w:hAnsi="Times New Roman" w:cs="Times New Roman"/>
          <w:highlight w:val="none"/>
        </w:rPr>
        <w:sectPr>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41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113"/>
        <w:gridCol w:w="1174"/>
        <w:gridCol w:w="1169"/>
        <w:gridCol w:w="1169"/>
        <w:gridCol w:w="1169"/>
        <w:gridCol w:w="1171"/>
        <w:gridCol w:w="760"/>
        <w:gridCol w:w="411"/>
        <w:gridCol w:w="890"/>
        <w:gridCol w:w="284"/>
        <w:gridCol w:w="776"/>
        <w:gridCol w:w="393"/>
        <w:gridCol w:w="1171"/>
        <w:gridCol w:w="1171"/>
        <w:gridCol w:w="42"/>
        <w:gridCol w:w="1201"/>
        <w:tblGridChange w:id="4">
          <w:tblGrid>
            <w:gridCol w:w="1059"/>
            <w:gridCol w:w="113"/>
            <w:gridCol w:w="43"/>
            <w:gridCol w:w="1131"/>
            <w:gridCol w:w="84"/>
            <w:gridCol w:w="1085"/>
            <w:gridCol w:w="130"/>
            <w:gridCol w:w="1039"/>
            <w:gridCol w:w="176"/>
            <w:gridCol w:w="993"/>
            <w:gridCol w:w="222"/>
            <w:gridCol w:w="949"/>
            <w:gridCol w:w="1171"/>
            <w:gridCol w:w="1174"/>
            <w:gridCol w:w="1169"/>
            <w:gridCol w:w="1171"/>
            <w:gridCol w:w="1171"/>
            <w:gridCol w:w="1243"/>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1412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表七：一般公共预算财政拨款“三公”经费支出决算表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4" w:hRule="atLeast"/>
        </w:trPr>
        <w:tc>
          <w:tcPr>
            <w:tcW w:w="1172"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74"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6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6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6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71"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71"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74"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69"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71"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171"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243"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trPr>
        <w:tc>
          <w:tcPr>
            <w:tcW w:w="105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6725" w:type="dxa"/>
            <w:gridSpan w:val="7"/>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1301"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060" w:type="dxa"/>
            <w:gridSpan w:val="2"/>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2777" w:type="dxa"/>
            <w:gridSpan w:val="4"/>
            <w:tcBorders>
              <w:top w:val="nil"/>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20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7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1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trPr>
        <w:tc>
          <w:tcPr>
            <w:tcW w:w="11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运行费</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运行费</w:t>
            </w:r>
          </w:p>
        </w:tc>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4" w:hRule="atLeast"/>
        </w:trPr>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3" w:hRule="atLeast"/>
        </w:trPr>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1.95</w:t>
            </w:r>
          </w:p>
        </w:tc>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0.34</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8" w:hRule="atLeast"/>
        </w:trPr>
        <w:tc>
          <w:tcPr>
            <w:tcW w:w="1412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rPr>
          <w:rFonts w:hint="default" w:ascii="Times New Roman" w:hAnsi="Times New Roman" w:cs="Times New Roman"/>
          <w:highlight w:val="none"/>
        </w:rPr>
        <w:sectPr>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3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529"/>
        <w:gridCol w:w="1257"/>
        <w:gridCol w:w="1892"/>
        <w:gridCol w:w="1892"/>
        <w:gridCol w:w="1892"/>
        <w:gridCol w:w="1892"/>
        <w:gridCol w:w="1893"/>
        <w:gridCol w:w="1917"/>
        <w:tblGridChange w:id="5">
          <w:tblGrid>
            <w:gridCol w:w="555"/>
            <w:gridCol w:w="261"/>
            <w:gridCol w:w="294"/>
            <w:gridCol w:w="235"/>
            <w:gridCol w:w="1085"/>
            <w:gridCol w:w="172"/>
            <w:gridCol w:w="1823"/>
            <w:gridCol w:w="69"/>
            <w:gridCol w:w="1892"/>
            <w:gridCol w:w="34"/>
            <w:gridCol w:w="1858"/>
            <w:gridCol w:w="137"/>
            <w:gridCol w:w="1755"/>
            <w:gridCol w:w="1893"/>
            <w:gridCol w:w="191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8" w:hRule="atLeast"/>
        </w:trPr>
        <w:tc>
          <w:tcPr>
            <w:tcW w:w="1398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表八：政府性基金预算财政拨款收入支出决算表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4" w:hRule="atLeast"/>
        </w:trPr>
        <w:tc>
          <w:tcPr>
            <w:tcW w:w="816"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29"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9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917"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4" w:hRule="atLeast"/>
        </w:trPr>
        <w:tc>
          <w:tcPr>
            <w:tcW w:w="81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5570" w:type="dxa"/>
            <w:gridSpan w:val="4"/>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9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89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1917"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2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Style w:val="13"/>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年初结转和结余</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w:t>
            </w:r>
          </w:p>
        </w:tc>
        <w:tc>
          <w:tcPr>
            <w:tcW w:w="5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3" w:hRule="atLeast"/>
        </w:trPr>
        <w:tc>
          <w:tcPr>
            <w:tcW w:w="13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功能分类科目编码</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trPr>
        <w:tc>
          <w:tcPr>
            <w:tcW w:w="13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13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2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2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134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134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134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9" w:hRule="atLeast"/>
        </w:trPr>
        <w:tc>
          <w:tcPr>
            <w:tcW w:w="1398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注：本表反映部门本年度政府性基金预算财政拨款收入、支出及结转和结余情况。</w:t>
            </w:r>
          </w:p>
        </w:tc>
      </w:tr>
    </w:tbl>
    <w:p>
      <w:pPr>
        <w:ind w:firstLine="640" w:firstLineChars="200"/>
        <w:rPr>
          <w:rFonts w:hint="default" w:ascii="Times New Roman" w:hAnsi="Times New Roman" w:cs="Times New Roman"/>
          <w:highlight w:val="none"/>
        </w:rPr>
        <w:sectPr>
          <w:headerReference r:id="rId10" w:type="default"/>
          <w:footerReference r:id="rId11" w:type="default"/>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b w:val="0"/>
          <w:bCs w:val="0"/>
          <w:i w:val="0"/>
          <w:iCs w:val="0"/>
          <w:color w:val="000000"/>
          <w:sz w:val="32"/>
          <w:szCs w:val="32"/>
          <w:u w:val="none"/>
          <w:lang w:val="en-US" w:eastAsia="zh-CN"/>
        </w:rPr>
        <w:t>中共柳州市委员会柳州市人民政府信访局</w:t>
      </w:r>
      <w:r>
        <w:rPr>
          <w:rFonts w:hint="eastAsia" w:ascii="仿宋_GB2312" w:hAnsi="仿宋_GB2312" w:eastAsia="仿宋_GB2312" w:cs="仿宋_GB2312"/>
          <w:b w:val="0"/>
          <w:bCs w:val="0"/>
          <w:sz w:val="32"/>
          <w:szCs w:val="32"/>
        </w:rPr>
        <w:t>没有</w:t>
      </w:r>
      <w:r>
        <w:rPr>
          <w:rFonts w:hint="eastAsia" w:ascii="仿宋_GB2312" w:hAnsi="仿宋_GB2312" w:eastAsia="仿宋_GB2312" w:cs="仿宋_GB2312"/>
          <w:b w:val="0"/>
          <w:bCs w:val="0"/>
          <w:i w:val="0"/>
          <w:iCs w:val="0"/>
          <w:color w:val="000000"/>
          <w:kern w:val="0"/>
          <w:sz w:val="32"/>
          <w:szCs w:val="32"/>
          <w:u w:val="none"/>
          <w:lang w:val="en-US" w:eastAsia="zh-CN" w:bidi="ar"/>
        </w:rPr>
        <w:t>政府性基金预算财政拨款</w:t>
      </w:r>
      <w:r>
        <w:rPr>
          <w:rFonts w:hint="eastAsia" w:ascii="仿宋_GB2312" w:hAnsi="仿宋_GB2312" w:eastAsia="仿宋_GB2312" w:cs="仿宋_GB2312"/>
          <w:b w:val="0"/>
          <w:bCs w:val="0"/>
          <w:sz w:val="32"/>
          <w:szCs w:val="32"/>
        </w:rPr>
        <w:t>收入，也没有</w:t>
      </w:r>
      <w:r>
        <w:rPr>
          <w:rFonts w:hint="eastAsia" w:ascii="仿宋_GB2312" w:hAnsi="仿宋_GB2312" w:eastAsia="仿宋_GB2312" w:cs="仿宋_GB2312"/>
          <w:b w:val="0"/>
          <w:bCs w:val="0"/>
          <w:i w:val="0"/>
          <w:iCs w:val="0"/>
          <w:color w:val="000000"/>
          <w:kern w:val="0"/>
          <w:sz w:val="32"/>
          <w:szCs w:val="32"/>
          <w:u w:val="none"/>
          <w:lang w:val="en-US" w:eastAsia="zh-CN" w:bidi="ar"/>
        </w:rPr>
        <w:t>政府性基金预算财政拨款</w:t>
      </w:r>
      <w:r>
        <w:rPr>
          <w:rFonts w:hint="eastAsia" w:ascii="仿宋_GB2312" w:hAnsi="仿宋_GB2312" w:eastAsia="仿宋_GB2312" w:cs="仿宋_GB2312"/>
          <w:b w:val="0"/>
          <w:bCs w:val="0"/>
          <w:sz w:val="32"/>
          <w:szCs w:val="32"/>
        </w:rPr>
        <w:t>安排的支出，故本表无数据</w:t>
      </w:r>
      <w:r>
        <w:rPr>
          <w:rFonts w:hint="eastAsia" w:ascii="仿宋_GB2312" w:hAnsi="仿宋_GB2312" w:eastAsia="仿宋_GB2312" w:cs="仿宋_GB2312"/>
          <w:b w:val="0"/>
          <w:bCs w:val="0"/>
          <w:sz w:val="32"/>
          <w:szCs w:val="32"/>
          <w:lang w:eastAsia="zh-CN"/>
        </w:rPr>
        <w:t>。</w:t>
      </w:r>
    </w:p>
    <w:tbl>
      <w:tblPr>
        <w:tblStyle w:val="7"/>
        <w:tblW w:w="13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645"/>
        <w:gridCol w:w="2110"/>
        <w:gridCol w:w="3052"/>
        <w:gridCol w:w="3052"/>
        <w:gridCol w:w="3841"/>
        <w:tblGridChange w:id="6">
          <w:tblGrid>
            <w:gridCol w:w="1050"/>
            <w:gridCol w:w="170"/>
            <w:gridCol w:w="385"/>
            <w:gridCol w:w="260"/>
            <w:gridCol w:w="1555"/>
            <w:gridCol w:w="555"/>
            <w:gridCol w:w="3052"/>
            <w:gridCol w:w="3052"/>
            <w:gridCol w:w="384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139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1" w:hRule="atLeast"/>
        </w:trPr>
        <w:tc>
          <w:tcPr>
            <w:tcW w:w="1220"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5"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110"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05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305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p>
        </w:tc>
        <w:tc>
          <w:tcPr>
            <w:tcW w:w="384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7" w:hRule="atLeast"/>
        </w:trPr>
        <w:tc>
          <w:tcPr>
            <w:tcW w:w="1220"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8859" w:type="dxa"/>
            <w:gridSpan w:val="4"/>
            <w:tcBorders>
              <w:top w:val="nil"/>
              <w:left w:val="nil"/>
              <w:bottom w:val="nil"/>
              <w:right w:val="nil"/>
            </w:tcBorders>
            <w:shd w:val="clear" w:color="auto" w:fill="FFFFFF"/>
            <w:vAlign w:val="center"/>
          </w:tcPr>
          <w:p>
            <w:pPr>
              <w:rPr>
                <w:rFonts w:hint="eastAsia" w:ascii="宋体" w:hAnsi="宋体" w:eastAsia="宋体" w:cs="宋体"/>
                <w:i w:val="0"/>
                <w:iCs w:val="0"/>
                <w:color w:val="000000"/>
                <w:sz w:val="20"/>
                <w:szCs w:val="20"/>
                <w:u w:val="none"/>
              </w:rPr>
            </w:pPr>
            <w:r>
              <w:rPr>
                <w:rFonts w:hint="eastAsia" w:ascii="Arial" w:hAnsi="Arial" w:eastAsia="宋体" w:cs="Arial"/>
                <w:i w:val="0"/>
                <w:iCs w:val="0"/>
                <w:color w:val="000000"/>
                <w:sz w:val="20"/>
                <w:szCs w:val="20"/>
                <w:u w:val="none"/>
                <w:lang w:val="en-US" w:eastAsia="zh-CN"/>
              </w:rPr>
              <w:t>中共柳州市委员会柳州市人民政府信访局</w:t>
            </w:r>
          </w:p>
        </w:tc>
        <w:tc>
          <w:tcPr>
            <w:tcW w:w="384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8" w:hRule="atLeast"/>
        </w:trPr>
        <w:tc>
          <w:tcPr>
            <w:tcW w:w="397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9945"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功能分类科目编码</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305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05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3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5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5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5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5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397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3975" w:type="dxa"/>
            <w:gridSpan w:val="3"/>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8" w:hRule="atLeast"/>
        </w:trPr>
        <w:tc>
          <w:tcPr>
            <w:tcW w:w="1865"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0"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2"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841"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6" w:hRule="atLeast"/>
        </w:trPr>
        <w:tc>
          <w:tcPr>
            <w:tcW w:w="13920" w:type="dxa"/>
            <w:gridSpan w:val="6"/>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注：本表反映部门本年度国有资本经营预算财政拨款支出情况。</w:t>
            </w:r>
          </w:p>
        </w:tc>
      </w:tr>
    </w:tbl>
    <w:p>
      <w:pPr>
        <w:ind w:firstLine="640" w:firstLineChars="200"/>
        <w:rPr>
          <w:rFonts w:hint="default" w:ascii="Times New Roman" w:hAnsi="Times New Roman" w:cs="Times New Roman"/>
          <w:highlight w:val="none"/>
        </w:rPr>
        <w:sectPr>
          <w:headerReference r:id="rId12" w:type="default"/>
          <w:footerReference r:id="rId13" w:type="default"/>
          <w:pgSz w:w="16838" w:h="11906" w:orient="landscape"/>
          <w:pgMar w:top="1588" w:right="1701"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b w:val="0"/>
          <w:bCs w:val="0"/>
          <w:i w:val="0"/>
          <w:iCs w:val="0"/>
          <w:color w:val="000000"/>
          <w:sz w:val="32"/>
          <w:szCs w:val="32"/>
          <w:u w:val="none"/>
          <w:lang w:val="en-US" w:eastAsia="zh-CN"/>
        </w:rPr>
        <w:t>中共柳州市委员会柳州市人民政府信访局</w:t>
      </w:r>
      <w:r>
        <w:rPr>
          <w:rFonts w:hint="eastAsia" w:ascii="仿宋_GB2312" w:hAnsi="仿宋_GB2312" w:eastAsia="仿宋_GB2312" w:cs="仿宋_GB2312"/>
          <w:b w:val="0"/>
          <w:bCs w:val="0"/>
          <w:sz w:val="32"/>
          <w:szCs w:val="32"/>
        </w:rPr>
        <w:t>没有国有资本经营预算财政拨款收入，也没有国有资本经营预算财政拨款的支出，故本表无数据</w:t>
      </w:r>
      <w:r>
        <w:rPr>
          <w:rFonts w:hint="eastAsia" w:ascii="仿宋_GB2312" w:hAnsi="仿宋_GB2312" w:eastAsia="仿宋_GB2312" w:cs="仿宋_GB2312"/>
          <w:b w:val="0"/>
          <w:bCs w:val="0"/>
          <w:sz w:val="32"/>
          <w:szCs w:val="32"/>
          <w:lang w:eastAsia="zh-CN"/>
        </w:rPr>
        <w:t>。</w:t>
      </w: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柳州市信访局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706.46</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699.28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103.61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17.19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699.28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104.98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17.66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2020年12月</w:t>
      </w:r>
      <w:r>
        <w:rPr>
          <w:rFonts w:hint="eastAsia" w:ascii="仿宋_GB2312" w:hAnsi="黑体" w:eastAsia="仿宋_GB2312" w:cs="仿宋_GB2312"/>
          <w:kern w:val="0"/>
          <w:sz w:val="32"/>
          <w:szCs w:val="32"/>
          <w:lang w:eastAsia="zh-CN"/>
        </w:rPr>
        <w:t>新增</w:t>
      </w:r>
      <w:r>
        <w:rPr>
          <w:rFonts w:hint="eastAsia" w:ascii="仿宋_GB2312" w:hAnsi="黑体" w:eastAsia="仿宋_GB2312" w:cs="仿宋_GB2312"/>
          <w:kern w:val="0"/>
          <w:sz w:val="32"/>
          <w:szCs w:val="32"/>
          <w:lang w:val="en-US" w:eastAsia="zh-CN"/>
        </w:rPr>
        <w:t>2名行政人员，2021年人员经费增加；2021年补发2名2019年新入编事业人员2020年全年绩效工资总量，以及补缴其社保、公积金等费用。</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27" w:firstLineChars="196"/>
        <w:jc w:val="both"/>
        <w:rPr>
          <w:rFonts w:hint="eastAsia" w:ascii="仿宋_GB2312" w:eastAsia="仿宋_GB2312"/>
          <w:bCs/>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27" w:firstLineChars="196"/>
        <w:jc w:val="both"/>
        <w:rPr>
          <w:rFonts w:hint="eastAsia" w:ascii="仿宋_GB2312" w:eastAsia="仿宋_GB2312"/>
          <w:bCs/>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7.19</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15.9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2019年结转的中央重大公共卫生服务补助资金5万元-心理咨询室建设专项经费已在2020年全部使用完毕，未再次发生结转。</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706.46</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706.46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103.61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17.19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546.07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支出人员经费、行政运行公用经费支出、以及保障信访局专项业务经费、群众信访服务中心项目经费</w:t>
      </w:r>
      <w:r>
        <w:rPr>
          <w:rFonts w:hint="eastAsia" w:ascii="仿宋_GB2312" w:hAnsi="黑体" w:eastAsia="仿宋_GB2312" w:cs="仿宋_GB2312"/>
          <w:kern w:val="0"/>
          <w:sz w:val="32"/>
          <w:szCs w:val="32"/>
          <w:lang w:eastAsia="zh-CN"/>
        </w:rPr>
        <w:t>，驻京接访项目经费。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108.44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24.78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2020年12月</w:t>
      </w:r>
      <w:r>
        <w:rPr>
          <w:rFonts w:hint="eastAsia" w:ascii="仿宋_GB2312" w:hAnsi="黑体" w:eastAsia="仿宋_GB2312" w:cs="仿宋_GB2312"/>
          <w:kern w:val="0"/>
          <w:sz w:val="32"/>
          <w:szCs w:val="32"/>
          <w:lang w:eastAsia="zh-CN"/>
        </w:rPr>
        <w:t>新增</w:t>
      </w:r>
      <w:r>
        <w:rPr>
          <w:rFonts w:hint="eastAsia" w:ascii="仿宋_GB2312" w:hAnsi="黑体" w:eastAsia="仿宋_GB2312" w:cs="仿宋_GB2312"/>
          <w:kern w:val="0"/>
          <w:sz w:val="32"/>
          <w:szCs w:val="32"/>
          <w:lang w:val="en-US" w:eastAsia="zh-CN"/>
        </w:rPr>
        <w:t>2名行政人员，2021年人员经费增加；2021年补发2名2019年新入编事业人员2020年全年绩效工资总量，以及补缴其社保、公积金等费用。</w:t>
      </w:r>
    </w:p>
    <w:p>
      <w:pPr>
        <w:numPr>
          <w:ilvl w:val="0"/>
          <w:numId w:val="2"/>
        </w:num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lang w:val="en-US" w:eastAsia="zh-CN"/>
        </w:rPr>
        <w:t>98.39</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支出离退休人员经费、机关事业单位养老保险费、机关事业单位职业年金费等。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44.75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83.43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一是2021年3月一名退休人员离世，增加抚恤金丧葬费等支出；二是事业单位人员绩效工资总量增补产生的社保经费补缴；三是人员增加产生的社保支出增加。</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卫生健康支出（类）</w:t>
      </w:r>
      <w:r>
        <w:rPr>
          <w:rFonts w:hint="eastAsia" w:ascii="仿宋_GB2312" w:eastAsia="仿宋_GB2312"/>
          <w:kern w:val="0"/>
          <w:sz w:val="32"/>
          <w:szCs w:val="32"/>
          <w:lang w:val="en-US" w:eastAsia="zh-CN"/>
        </w:rPr>
        <w:t>30.44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支出行政事业单位医疗保险费用以及公务员医疗补助费用。</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2.98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8.92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2021年度公务员医疗补助计算年度调整，只缴费至2021年底，决算数减少。</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住房保障支出（类）</w:t>
      </w:r>
      <w:r>
        <w:rPr>
          <w:rFonts w:hint="eastAsia" w:ascii="仿宋_GB2312" w:eastAsia="仿宋_GB2312"/>
          <w:kern w:val="0"/>
          <w:sz w:val="32"/>
          <w:szCs w:val="32"/>
          <w:lang w:val="en-US" w:eastAsia="zh-CN"/>
        </w:rPr>
        <w:t>31.56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住房公积金支出。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3.54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12.63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一是2020年12月行政</w:t>
      </w:r>
      <w:r>
        <w:rPr>
          <w:rFonts w:hint="eastAsia" w:ascii="仿宋_GB2312" w:hAnsi="黑体" w:eastAsia="仿宋_GB2312" w:cs="仿宋_GB2312"/>
          <w:kern w:val="0"/>
          <w:sz w:val="32"/>
          <w:szCs w:val="32"/>
          <w:lang w:eastAsia="zh-CN"/>
        </w:rPr>
        <w:t>人员增加</w:t>
      </w:r>
      <w:r>
        <w:rPr>
          <w:rFonts w:hint="eastAsia" w:ascii="仿宋_GB2312" w:hAnsi="黑体" w:eastAsia="仿宋_GB2312" w:cs="仿宋_GB2312"/>
          <w:kern w:val="0"/>
          <w:sz w:val="32"/>
          <w:szCs w:val="32"/>
          <w:lang w:val="en-US" w:eastAsia="zh-CN"/>
        </w:rPr>
        <w:t>2名，2021年</w:t>
      </w:r>
      <w:r>
        <w:rPr>
          <w:rFonts w:hint="eastAsia" w:ascii="仿宋_GB2312" w:hAnsi="黑体" w:eastAsia="仿宋_GB2312" w:cs="仿宋_GB2312"/>
          <w:kern w:val="0"/>
          <w:sz w:val="32"/>
          <w:szCs w:val="32"/>
          <w:lang w:eastAsia="zh-CN"/>
        </w:rPr>
        <w:t>公积金缴费增加；</w:t>
      </w:r>
      <w:r>
        <w:rPr>
          <w:rFonts w:hint="eastAsia" w:ascii="仿宋_GB2312" w:hAnsi="黑体" w:eastAsia="仿宋_GB2312" w:cs="仿宋_GB2312"/>
          <w:kern w:val="0"/>
          <w:sz w:val="32"/>
          <w:szCs w:val="32"/>
          <w:lang w:val="en-US" w:eastAsia="zh-CN"/>
        </w:rPr>
        <w:t>二是事业单位人员绩效工资总量增补产生的住房公积金补缴。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50.14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：根据市财政要求，</w:t>
      </w:r>
      <w:r>
        <w:rPr>
          <w:rFonts w:hint="eastAsia" w:ascii="仿宋_GB2312" w:hAnsi="黑体" w:eastAsia="仿宋_GB2312" w:cs="仿宋_GB2312"/>
          <w:kern w:val="0"/>
          <w:sz w:val="32"/>
          <w:szCs w:val="32"/>
          <w:lang w:val="en-US" w:eastAsia="zh-CN"/>
        </w:rPr>
        <w:t>2020年未开支经费全额结转至2021年，2021年经费未开支经费全部未予以结转。</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706.46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153.75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27.82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534.91</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171.55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602.42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706.46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117.27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一般公共服务（类）党委办公厅（室）及相关机构事务（款）行政运行（项）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33.16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98.19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296.11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事业编制人员工资、社会保险、住房公积金支出，行政人员奖励性补贴经费支出。超预算完成主要是由于</w:t>
      </w:r>
      <w:r>
        <w:rPr>
          <w:rFonts w:hint="eastAsia" w:ascii="仿宋_GB2312" w:hAnsi="黑体" w:eastAsia="仿宋_GB2312" w:cs="仿宋_GB2312"/>
          <w:kern w:val="0"/>
          <w:sz w:val="32"/>
          <w:szCs w:val="32"/>
          <w:lang w:val="en-US" w:eastAsia="zh-CN"/>
        </w:rPr>
        <w:t>2021年补发2名2019年新入编事业人员2020年全年绩效工资总量，以及补缴其社保、公积金等费用</w:t>
      </w:r>
      <w:r>
        <w:rPr>
          <w:rFonts w:hint="eastAsia" w:ascii="仿宋_GB2312" w:eastAsia="仿宋_GB2312" w:cs="仿宋_GB2312"/>
          <w:bCs/>
          <w:kern w:val="0"/>
          <w:sz w:val="32"/>
          <w:szCs w:val="32"/>
          <w:lang w:eastAsia="zh-CN"/>
        </w:rPr>
        <w:t>，以及行政人员奖励性补贴核定后的增加部分。</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一般公共服务（类）党委办公厅（室）及相关机构事务（款）</w:t>
      </w:r>
      <w:r>
        <w:rPr>
          <w:rFonts w:hint="eastAsia" w:ascii="仿宋_GB2312" w:eastAsia="仿宋_GB2312" w:cs="仿宋_GB2312"/>
          <w:bCs/>
          <w:kern w:val="0"/>
          <w:sz w:val="32"/>
          <w:szCs w:val="32"/>
          <w:lang w:eastAsia="zh-CN"/>
        </w:rPr>
        <w:t>专项业务</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153.22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139.59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91.1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原因是扶贫工作队员收队后，伙食补贴等经费不再支出；群众信访服务中心减少办公耗材支出以及视频会议系统维护支出。</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rPr>
        <w:t>一般公共服务（类）党委办公厅（室）及相关机构事务（款）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0.63</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原因是该笔经费为支出事业人员人员工资相关支出。</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rPr>
        <w:t>一般公共服务（类）党委办公厅（室）及相关机构事务（款）</w:t>
      </w:r>
      <w:r>
        <w:rPr>
          <w:rFonts w:hint="eastAsia" w:ascii="仿宋_GB2312" w:eastAsia="仿宋_GB2312" w:cs="仿宋_GB2312"/>
          <w:bCs/>
          <w:kern w:val="0"/>
          <w:sz w:val="32"/>
          <w:szCs w:val="32"/>
          <w:lang w:eastAsia="zh-CN"/>
        </w:rPr>
        <w:t>其他党委办公厅（室）及相关机构事务支出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32.76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31.96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97.56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原因是支出财政资金管理聘用人员</w:t>
      </w:r>
      <w:r>
        <w:rPr>
          <w:rFonts w:hint="eastAsia" w:ascii="仿宋_GB2312" w:eastAsia="仿宋_GB2312" w:cs="仿宋_GB2312"/>
          <w:kern w:val="0"/>
          <w:sz w:val="32"/>
          <w:szCs w:val="32"/>
          <w:lang w:val="en-US" w:eastAsia="zh-CN"/>
        </w:rPr>
        <w:t>11月人员离职，12月工资未支出。</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（五）</w:t>
      </w:r>
      <w:r>
        <w:rPr>
          <w:rFonts w:hint="eastAsia" w:ascii="仿宋_GB2312" w:eastAsia="仿宋_GB2312" w:cs="仿宋_GB2312"/>
          <w:bCs/>
          <w:kern w:val="0"/>
          <w:sz w:val="32"/>
          <w:szCs w:val="32"/>
        </w:rPr>
        <w:t>一般公共服务（类）其他共产党事务支出（款）</w:t>
      </w:r>
      <w:r>
        <w:rPr>
          <w:rFonts w:hint="eastAsia" w:ascii="仿宋_GB2312" w:eastAsia="仿宋_GB2312" w:cs="仿宋_GB2312"/>
          <w:bCs/>
          <w:kern w:val="0"/>
          <w:sz w:val="32"/>
          <w:szCs w:val="32"/>
          <w:lang w:eastAsia="zh-CN"/>
        </w:rPr>
        <w:t>行政运行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255.66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275.55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92.78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原因是基本支出公用经费根据工作安排支出。</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rPr>
        <w:t>一般公共服务（类）网信事务（款）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0.15</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原因是该项经费为</w:t>
      </w:r>
      <w:r>
        <w:rPr>
          <w:rFonts w:hint="eastAsia" w:ascii="仿宋_GB2312" w:eastAsia="仿宋_GB2312" w:cs="仿宋_GB2312"/>
          <w:kern w:val="0"/>
          <w:sz w:val="32"/>
          <w:szCs w:val="32"/>
          <w:lang w:val="en-US" w:eastAsia="zh-CN"/>
        </w:rPr>
        <w:t>2020年事业单位人员嘉奖。</w:t>
      </w:r>
    </w:p>
    <w:p>
      <w:pPr>
        <w:numPr>
          <w:ilvl w:val="-1"/>
          <w:numId w:val="0"/>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（七）</w:t>
      </w:r>
      <w:r>
        <w:rPr>
          <w:rFonts w:hint="eastAsia" w:ascii="仿宋_GB2312" w:eastAsia="仿宋_GB2312" w:cs="仿宋_GB2312"/>
          <w:bCs/>
          <w:kern w:val="0"/>
          <w:sz w:val="32"/>
          <w:szCs w:val="32"/>
        </w:rPr>
        <w:t>社会保障和就业（类）行政事业单位养老支出（款）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11.21万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11.57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103.21%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lang w:val="en-US" w:eastAsia="zh-CN"/>
        </w:rPr>
        <w:t>2021年增补退休人员公用（慰问）经费。</w:t>
      </w:r>
    </w:p>
    <w:p>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bCs/>
          <w:kern w:val="0"/>
          <w:sz w:val="32"/>
          <w:szCs w:val="32"/>
        </w:rPr>
        <w:t>社会保障和就业（类）行政事业单位养老支出（款）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24.78</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lang w:val="en-US" w:eastAsia="zh-CN"/>
        </w:rPr>
        <w:t>2021年3月一名退休人员离世，产生抚恤金、丧葬费等。</w:t>
      </w:r>
    </w:p>
    <w:p>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bCs/>
          <w:kern w:val="0"/>
          <w:sz w:val="32"/>
          <w:szCs w:val="32"/>
        </w:rPr>
        <w:t>社会保障和就业（类）行政事业单位养老支出（款）</w:t>
      </w:r>
      <w:r>
        <w:rPr>
          <w:rFonts w:hint="eastAsia" w:ascii="仿宋_GB2312" w:eastAsia="仿宋_GB2312" w:cs="仿宋_GB2312"/>
          <w:bCs/>
          <w:kern w:val="0"/>
          <w:sz w:val="32"/>
          <w:szCs w:val="32"/>
          <w:lang w:eastAsia="zh-CN"/>
        </w:rPr>
        <w:t>机关事业单位基本养老保险缴费</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39.71万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41.5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104.51%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原因是增补绩效工资总量产生的社保补缴</w:t>
      </w:r>
      <w:r>
        <w:rPr>
          <w:rFonts w:hint="eastAsia" w:ascii="仿宋_GB2312" w:eastAsia="仿宋_GB2312" w:cs="仿宋_GB2312"/>
          <w:kern w:val="0"/>
          <w:sz w:val="32"/>
          <w:szCs w:val="32"/>
          <w:lang w:val="en-US" w:eastAsia="zh-CN"/>
        </w:rPr>
        <w:t>。</w:t>
      </w:r>
    </w:p>
    <w:p>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bCs/>
          <w:kern w:val="0"/>
          <w:sz w:val="32"/>
          <w:szCs w:val="32"/>
        </w:rPr>
        <w:t>社会保障和就业（类）行政事业单位养老支出（款）</w:t>
      </w:r>
      <w:r>
        <w:rPr>
          <w:rFonts w:hint="eastAsia" w:ascii="仿宋_GB2312" w:eastAsia="仿宋_GB2312" w:cs="仿宋_GB2312"/>
          <w:bCs/>
          <w:kern w:val="0"/>
          <w:sz w:val="32"/>
          <w:szCs w:val="32"/>
          <w:lang w:eastAsia="zh-CN"/>
        </w:rPr>
        <w:t>机关事业单位职业年金缴费</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19.85万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20.54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103.48%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原因是增补绩效工资总量产生的社保补缴</w:t>
      </w:r>
      <w:r>
        <w:rPr>
          <w:rFonts w:hint="eastAsia" w:ascii="仿宋_GB2312" w:eastAsia="仿宋_GB2312" w:cs="仿宋_GB2312"/>
          <w:kern w:val="0"/>
          <w:sz w:val="32"/>
          <w:szCs w:val="32"/>
          <w:lang w:val="en-US" w:eastAsia="zh-CN"/>
        </w:rPr>
        <w:t>。</w:t>
      </w:r>
    </w:p>
    <w:p>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bCs/>
          <w:kern w:val="0"/>
          <w:sz w:val="32"/>
          <w:szCs w:val="32"/>
        </w:rPr>
        <w:t>卫生健康（类）行政事业单位医疗（款）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17.23万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17.1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99.25%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原因是正常支付行政人员医疗保险费</w:t>
      </w:r>
    </w:p>
    <w:p>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bCs/>
          <w:kern w:val="0"/>
          <w:sz w:val="32"/>
          <w:szCs w:val="32"/>
        </w:rPr>
        <w:t>卫生健康（类）行政事业单位医疗（款）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2.15万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2.65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123.26%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原因是增补绩效工资总量产生的医疗保险补缴</w:t>
      </w:r>
      <w:r>
        <w:rPr>
          <w:rFonts w:hint="eastAsia" w:ascii="仿宋_GB2312" w:eastAsia="仿宋_GB2312" w:cs="仿宋_GB2312"/>
          <w:kern w:val="0"/>
          <w:sz w:val="32"/>
          <w:szCs w:val="32"/>
          <w:lang w:val="en-US" w:eastAsia="zh-CN"/>
        </w:rPr>
        <w:t>。</w:t>
      </w:r>
    </w:p>
    <w:p>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bCs/>
          <w:kern w:val="0"/>
          <w:sz w:val="32"/>
          <w:szCs w:val="32"/>
        </w:rPr>
        <w:t>卫生健康（类）行政事业单位医疗（款）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7.68万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10.69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139.19%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原因是支出了社保基数核定后调整部分以及退休人员公务医疗补助增加部分</w:t>
      </w:r>
      <w:r>
        <w:rPr>
          <w:rFonts w:hint="eastAsia" w:ascii="仿宋_GB2312" w:eastAsia="仿宋_GB2312" w:cs="仿宋_GB2312"/>
          <w:kern w:val="0"/>
          <w:sz w:val="32"/>
          <w:szCs w:val="32"/>
          <w:lang w:val="en-US" w:eastAsia="zh-CN"/>
        </w:rPr>
        <w:t>。</w:t>
      </w:r>
    </w:p>
    <w:p>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bCs/>
          <w:kern w:val="0"/>
          <w:sz w:val="32"/>
          <w:szCs w:val="32"/>
        </w:rPr>
        <w:t>住房保障（类）住房改革支出（款）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29.78万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31.56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105.98%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原因是补发绩效工资总量产生的住房公积金补缴。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534.91</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474.07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135.65</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主要原因是奖励性补贴因人数及考核等次核定后的增加，以及奖励性绩效因补发月份较多的增加。</w:t>
      </w:r>
    </w:p>
    <w:p>
      <w:p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（二）商品和服务支出26.93万元，完成年初预算的</w:t>
      </w:r>
      <w:r>
        <w:rPr>
          <w:rFonts w:hint="eastAsia" w:ascii="仿宋_GB2312" w:eastAsia="仿宋_GB2312"/>
          <w:bCs/>
          <w:kern w:val="0"/>
          <w:sz w:val="32"/>
          <w:szCs w:val="32"/>
          <w:lang w:val="en-US" w:eastAsia="zh-CN"/>
        </w:rPr>
        <w:t>47.2</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主要原因是根据工作安排合理的规范了办公用品的支出，合理的安排会议以及工作开展，减少了差旅费会议费等支出。</w:t>
      </w:r>
    </w:p>
    <w:p>
      <w:p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33.91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342.18</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主要原因是离退休费用增加，退休人员离世抚恤金及丧葬费的增加。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中共柳州市委员会柳州市人民政府信访局、柳州市信访信息中心</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中共柳州市委员会柳州市人民政府信访局、柳州市信访信息中心</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0.34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17.59</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0.37</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接待次数减少，降低接待成本，减少陪餐人数</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万元，公务接待费支出决算    </w:t>
      </w:r>
      <w:r>
        <w:rPr>
          <w:rFonts w:hint="eastAsia" w:ascii="仿宋_GB2312" w:eastAsia="仿宋_GB2312" w:cs="仿宋_GB2312"/>
          <w:kern w:val="0"/>
          <w:sz w:val="32"/>
          <w:szCs w:val="32"/>
          <w:lang w:val="en-US" w:eastAsia="zh-CN"/>
        </w:rPr>
        <w:t>0.34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与上年无差异</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r>
        <w:rPr>
          <w:rFonts w:hint="eastAsia" w:ascii="仿宋_GB2312" w:hAnsi="黑体" w:eastAsia="仿宋_GB2312"/>
          <w:bCs/>
          <w:color w:val="00000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与上年无差异。</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与上年无差异</w:t>
      </w:r>
      <w:r>
        <w:rPr>
          <w:rFonts w:hint="eastAsia" w:ascii="仿宋_GB2312" w:eastAsia="仿宋_GB2312" w:cs="仿宋_GB2312"/>
          <w:kern w:val="0"/>
          <w:sz w:val="32"/>
          <w:szCs w:val="32"/>
        </w:rPr>
        <w:t>。主要用于机要文件交换、市内因公出行以及开展  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rPr>
        <w:t xml:space="preserve"> </w:t>
      </w:r>
      <w:r>
        <w:rPr>
          <w:rFonts w:hint="eastAsia" w:ascii="仿宋_GB2312" w:hAnsi="黑体" w:eastAsia="仿宋_GB2312"/>
          <w:bCs/>
          <w:color w:val="000000"/>
          <w:sz w:val="32"/>
          <w:szCs w:val="32"/>
          <w:u w:val="none"/>
          <w:lang w:eastAsia="zh-CN"/>
        </w:rPr>
        <w:t>柳州市信访局</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0.34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17.59</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0.37</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接待次数减少，降低接待成本，减少陪餐人数</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 xml:space="preserve">次，人次 </w:t>
      </w:r>
      <w:r>
        <w:rPr>
          <w:rFonts w:hint="eastAsia" w:ascii="仿宋_GB2312" w:eastAsia="仿宋_GB2312" w:cs="仿宋_GB2312"/>
          <w:kern w:val="0"/>
          <w:sz w:val="32"/>
          <w:szCs w:val="32"/>
          <w:lang w:val="en-US" w:eastAsia="zh-CN"/>
        </w:rPr>
        <w:t>15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次。其中：</w:t>
      </w:r>
      <w:r>
        <w:rPr>
          <w:rFonts w:hint="eastAsia" w:ascii="仿宋_GB2312" w:eastAsia="仿宋_GB2312" w:cs="仿宋_GB2312"/>
          <w:kern w:val="0"/>
          <w:sz w:val="32"/>
          <w:szCs w:val="32"/>
          <w:lang w:eastAsia="zh-CN"/>
        </w:rPr>
        <w:t>国内公务接待均为上级部门到我市开展督查调研工作，接待产生餐费。</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22.75</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34.31</w:t>
      </w:r>
      <w:r>
        <w:rPr>
          <w:rFonts w:hint="eastAsia" w:ascii="仿宋_GB2312" w:eastAsia="仿宋_GB2312" w:cs="仿宋_GB2312"/>
          <w:kern w:val="0"/>
          <w:sz w:val="32"/>
          <w:szCs w:val="32"/>
        </w:rPr>
        <w:t>元，</w:t>
      </w:r>
      <w:r>
        <w:rPr>
          <w:rFonts w:hint="eastAsia" w:ascii="仿宋_GB2312" w:eastAsia="仿宋_GB2312" w:cs="仿宋_GB2312"/>
          <w:kern w:val="0"/>
          <w:sz w:val="32"/>
          <w:szCs w:val="32"/>
          <w:lang w:eastAsia="zh-CN"/>
        </w:rPr>
        <w:t>降低</w:t>
      </w:r>
      <w:r>
        <w:rPr>
          <w:rFonts w:hint="eastAsia" w:ascii="仿宋_GB2312" w:eastAsia="仿宋_GB2312" w:cs="仿宋_GB2312"/>
          <w:kern w:val="0"/>
          <w:sz w:val="32"/>
          <w:szCs w:val="32"/>
          <w:lang w:val="en-US" w:eastAsia="zh-CN"/>
        </w:rPr>
        <w:t>60.13</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eastAsia="zh-CN"/>
        </w:rPr>
        <w:t>合理规范办公用品支出，尽量以视频会议代替现场会等方式，减少不必要的会议费及差旅费用。</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7.57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降低</w:t>
      </w:r>
      <w:r>
        <w:rPr>
          <w:rFonts w:hint="eastAsia" w:ascii="仿宋_GB2312" w:eastAsia="仿宋_GB2312" w:cs="仿宋_GB2312"/>
          <w:kern w:val="0"/>
          <w:sz w:val="32"/>
          <w:szCs w:val="32"/>
          <w:lang w:val="en-US" w:eastAsia="zh-CN"/>
        </w:rPr>
        <w:t>24.96</w:t>
      </w:r>
      <w:r>
        <w:rPr>
          <w:rFonts w:hint="eastAsia" w:ascii="仿宋_GB2312" w:eastAsia="仿宋_GB2312" w:cs="仿宋_GB2312"/>
          <w:kern w:val="0"/>
          <w:sz w:val="32"/>
          <w:szCs w:val="32"/>
        </w:rPr>
        <w:t xml:space="preserve"> %。主要原因是：资产运行维护支出减少</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、信息系统运行维护支出减少</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、落实过紧日子要求压减</w:t>
      </w:r>
      <w:r>
        <w:rPr>
          <w:rFonts w:hint="eastAsia" w:ascii="仿宋_GB2312" w:eastAsia="仿宋_GB2312" w:cs="仿宋_GB2312"/>
          <w:kern w:val="0"/>
          <w:sz w:val="32"/>
          <w:szCs w:val="32"/>
          <w:lang w:eastAsia="zh-CN"/>
        </w:rPr>
        <w:t>差旅</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，合理规范办公用品采购</w:t>
      </w:r>
      <w:r>
        <w:rPr>
          <w:rFonts w:hint="eastAsia" w:ascii="仿宋_GB2312" w:eastAsia="仿宋_GB2312" w:cs="仿宋_GB2312"/>
          <w:kern w:val="0"/>
          <w:sz w:val="32"/>
          <w:szCs w:val="32"/>
        </w:rPr>
        <w:t>等。</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16.07</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11.9</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4.18</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15.33</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95.4</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15.33</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95.4</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lang w:eastAsia="zh-CN"/>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个单位开展整体支出绩效评价试点，涉及一般公共预算支出</w:t>
      </w:r>
      <w:r>
        <w:rPr>
          <w:rFonts w:hint="eastAsia" w:ascii="仿宋_GB2312" w:eastAsia="仿宋_GB2312" w:cs="仿宋_GB2312"/>
          <w:kern w:val="0"/>
          <w:sz w:val="32"/>
          <w:szCs w:val="32"/>
          <w:lang w:val="en-US" w:eastAsia="zh-CN"/>
        </w:rPr>
        <w:t>602.22</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w:t>
      </w:r>
      <w:r>
        <w:rPr>
          <w:rFonts w:hint="eastAsia" w:ascii="仿宋_GB2312" w:eastAsia="仿宋_GB2312" w:cs="仿宋_GB2312"/>
          <w:b w:val="0"/>
          <w:bCs w:val="0"/>
          <w:kern w:val="0"/>
          <w:sz w:val="32"/>
          <w:szCs w:val="32"/>
          <w:lang w:eastAsia="zh-CN"/>
        </w:rPr>
        <w:t>预算绩效考核很好的促进了资金的使用规范以及助力了业务工作的高质量发展。</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p>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25834"/>
    <w:multiLevelType w:val="singleLevel"/>
    <w:tmpl w:val="34425834"/>
    <w:lvl w:ilvl="0" w:tentative="0">
      <w:start w:val="8"/>
      <w:numFmt w:val="chineseCounting"/>
      <w:suff w:val="nothing"/>
      <w:lvlText w:val="（%1）"/>
      <w:lvlJc w:val="left"/>
      <w:rPr>
        <w:rFonts w:hint="eastAsia"/>
      </w:rPr>
    </w:lvl>
  </w:abstractNum>
  <w:abstractNum w:abstractNumId="1">
    <w:nsid w:val="61588A0C"/>
    <w:multiLevelType w:val="singleLevel"/>
    <w:tmpl w:val="61588A0C"/>
    <w:lvl w:ilvl="0" w:tentative="0">
      <w:start w:val="2"/>
      <w:numFmt w:val="decimal"/>
      <w:lvlText w:val="%1."/>
      <w:lvlJc w:val="left"/>
      <w:pPr>
        <w:tabs>
          <w:tab w:val="left" w:pos="312"/>
        </w:tabs>
      </w:pPr>
    </w:lvl>
  </w:abstractNum>
  <w:abstractNum w:abstractNumId="2">
    <w:nsid w:val="66AF13EE"/>
    <w:multiLevelType w:val="singleLevel"/>
    <w:tmpl w:val="66AF13EE"/>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0FA3CF2"/>
    <w:rsid w:val="04802432"/>
    <w:rsid w:val="05352423"/>
    <w:rsid w:val="06B140CE"/>
    <w:rsid w:val="076F215A"/>
    <w:rsid w:val="08D83DAB"/>
    <w:rsid w:val="0922751E"/>
    <w:rsid w:val="094B45FA"/>
    <w:rsid w:val="0A0C33E4"/>
    <w:rsid w:val="0B424B1D"/>
    <w:rsid w:val="0B937348"/>
    <w:rsid w:val="0D90761F"/>
    <w:rsid w:val="0DA86951"/>
    <w:rsid w:val="0DDA0AD6"/>
    <w:rsid w:val="0E074DDF"/>
    <w:rsid w:val="0E975424"/>
    <w:rsid w:val="0F0F5ED6"/>
    <w:rsid w:val="10761034"/>
    <w:rsid w:val="124204B5"/>
    <w:rsid w:val="134E4EC4"/>
    <w:rsid w:val="14F016D4"/>
    <w:rsid w:val="15823E15"/>
    <w:rsid w:val="1612602D"/>
    <w:rsid w:val="16B90A0F"/>
    <w:rsid w:val="182962AB"/>
    <w:rsid w:val="19D073EB"/>
    <w:rsid w:val="1A650904"/>
    <w:rsid w:val="1B572691"/>
    <w:rsid w:val="1B946422"/>
    <w:rsid w:val="1CC31F67"/>
    <w:rsid w:val="1CC62A6D"/>
    <w:rsid w:val="1CFE737E"/>
    <w:rsid w:val="1F0B6164"/>
    <w:rsid w:val="218627B6"/>
    <w:rsid w:val="2249565E"/>
    <w:rsid w:val="24D337DC"/>
    <w:rsid w:val="24FE49A1"/>
    <w:rsid w:val="2582336E"/>
    <w:rsid w:val="26460DBA"/>
    <w:rsid w:val="27461DAD"/>
    <w:rsid w:val="295928D3"/>
    <w:rsid w:val="2A6C567D"/>
    <w:rsid w:val="2B6F74EB"/>
    <w:rsid w:val="2C1F0B15"/>
    <w:rsid w:val="2C4219FE"/>
    <w:rsid w:val="2DB93E51"/>
    <w:rsid w:val="300F61C4"/>
    <w:rsid w:val="32AE2A23"/>
    <w:rsid w:val="335718FE"/>
    <w:rsid w:val="34020F86"/>
    <w:rsid w:val="341361ED"/>
    <w:rsid w:val="3697557F"/>
    <w:rsid w:val="37AA4E78"/>
    <w:rsid w:val="396F6A76"/>
    <w:rsid w:val="39A63F06"/>
    <w:rsid w:val="3AAA688E"/>
    <w:rsid w:val="3C017E2C"/>
    <w:rsid w:val="3E2709B6"/>
    <w:rsid w:val="3E6F4772"/>
    <w:rsid w:val="3EA872B2"/>
    <w:rsid w:val="3ED1439F"/>
    <w:rsid w:val="41B0301E"/>
    <w:rsid w:val="42146C6D"/>
    <w:rsid w:val="42235D58"/>
    <w:rsid w:val="43403EDB"/>
    <w:rsid w:val="44500BF5"/>
    <w:rsid w:val="45AC0B01"/>
    <w:rsid w:val="45D96119"/>
    <w:rsid w:val="47F43786"/>
    <w:rsid w:val="48374EDC"/>
    <w:rsid w:val="48A37A49"/>
    <w:rsid w:val="4C256E3D"/>
    <w:rsid w:val="4C4600CB"/>
    <w:rsid w:val="4CB52F0F"/>
    <w:rsid w:val="4D674747"/>
    <w:rsid w:val="4E2875DF"/>
    <w:rsid w:val="508E1CB5"/>
    <w:rsid w:val="50C04C3A"/>
    <w:rsid w:val="50F35421"/>
    <w:rsid w:val="532F1F9A"/>
    <w:rsid w:val="53955DF6"/>
    <w:rsid w:val="54C47866"/>
    <w:rsid w:val="559C3CF0"/>
    <w:rsid w:val="55EF6DA2"/>
    <w:rsid w:val="5A43272F"/>
    <w:rsid w:val="5BFA3806"/>
    <w:rsid w:val="5C4B0038"/>
    <w:rsid w:val="5DBB25AC"/>
    <w:rsid w:val="5E1F3D55"/>
    <w:rsid w:val="5E4B01CE"/>
    <w:rsid w:val="5E995A3E"/>
    <w:rsid w:val="5F933EA7"/>
    <w:rsid w:val="5F95061E"/>
    <w:rsid w:val="5FC1266C"/>
    <w:rsid w:val="606F1B50"/>
    <w:rsid w:val="617E254E"/>
    <w:rsid w:val="62163194"/>
    <w:rsid w:val="62431FC2"/>
    <w:rsid w:val="624D024D"/>
    <w:rsid w:val="64416A8E"/>
    <w:rsid w:val="650E086A"/>
    <w:rsid w:val="65493030"/>
    <w:rsid w:val="66DE6434"/>
    <w:rsid w:val="68127226"/>
    <w:rsid w:val="687A0213"/>
    <w:rsid w:val="68BE7584"/>
    <w:rsid w:val="6A1E6610"/>
    <w:rsid w:val="6A923F0D"/>
    <w:rsid w:val="6BAA0708"/>
    <w:rsid w:val="6D911485"/>
    <w:rsid w:val="70046E9D"/>
    <w:rsid w:val="719B65EE"/>
    <w:rsid w:val="72231A60"/>
    <w:rsid w:val="73447376"/>
    <w:rsid w:val="734D05D8"/>
    <w:rsid w:val="743631A3"/>
    <w:rsid w:val="75AF6C8B"/>
    <w:rsid w:val="75C65218"/>
    <w:rsid w:val="77474C4B"/>
    <w:rsid w:val="7CE5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41"/>
    <w:basedOn w:val="5"/>
    <w:qFormat/>
    <w:uiPriority w:val="0"/>
    <w:rPr>
      <w:rFonts w:hint="eastAsia" w:ascii="宋体" w:hAnsi="宋体" w:eastAsia="宋体" w:cs="宋体"/>
      <w:color w:val="000000"/>
      <w:sz w:val="22"/>
      <w:szCs w:val="22"/>
      <w:u w:val="none"/>
    </w:rPr>
  </w:style>
  <w:style w:type="character" w:customStyle="1" w:styleId="13">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0</TotalTime>
  <ScaleCrop>false</ScaleCrop>
  <LinksUpToDate>false</LinksUpToDate>
  <CharactersWithSpaces>8540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管理员</cp:lastModifiedBy>
  <cp:lastPrinted>2022-07-29T09:05:00Z</cp:lastPrinted>
  <dcterms:modified xsi:type="dcterms:W3CDTF">2022-08-10T07:55:41Z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