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highlight w:val="none"/>
        </w:rPr>
      </w:pPr>
    </w:p>
    <w:p>
      <w:pPr>
        <w:rPr>
          <w:rFonts w:ascii="黑体" w:eastAsia="黑体" w:cs="ArialUnicodeMS"/>
          <w:kern w:val="0"/>
          <w:sz w:val="72"/>
          <w:szCs w:val="72"/>
          <w:highlight w:val="none"/>
        </w:rPr>
      </w:pPr>
    </w:p>
    <w:p>
      <w:pPr>
        <w:rPr>
          <w:rFonts w:ascii="黑体" w:eastAsia="黑体" w:cs="ArialUnicodeMS"/>
          <w:kern w:val="0"/>
          <w:sz w:val="72"/>
          <w:szCs w:val="72"/>
          <w:highlight w:val="none"/>
        </w:rPr>
      </w:pPr>
    </w:p>
    <w:p>
      <w:pPr>
        <w:jc w:val="center"/>
        <w:rPr>
          <w:rFonts w:ascii="黑体" w:hAnsi="黑体" w:eastAsia="黑体"/>
          <w:bCs/>
          <w:color w:val="000000"/>
          <w:sz w:val="52"/>
          <w:szCs w:val="52"/>
          <w:highlight w:val="none"/>
        </w:rPr>
      </w:pPr>
      <w:r>
        <w:rPr>
          <w:rFonts w:hint="eastAsia" w:ascii="黑体" w:eastAsia="黑体" w:cs="ArialUnicodeMS"/>
          <w:kern w:val="0"/>
          <w:sz w:val="52"/>
          <w:szCs w:val="52"/>
          <w:highlight w:val="none"/>
        </w:rPr>
        <w:t>柳州市</w:t>
      </w:r>
      <w:r>
        <w:rPr>
          <w:rFonts w:hint="eastAsia" w:ascii="黑体" w:hAnsi="黑体" w:eastAsia="黑体"/>
          <w:bCs/>
          <w:color w:val="000000"/>
          <w:sz w:val="52"/>
          <w:szCs w:val="52"/>
          <w:highlight w:val="none"/>
        </w:rPr>
        <w:t>审计局</w:t>
      </w:r>
    </w:p>
    <w:p>
      <w:pPr>
        <w:jc w:val="center"/>
        <w:rPr>
          <w:rFonts w:ascii="黑体" w:eastAsia="黑体" w:cs="ArialUnicodeMS"/>
          <w:kern w:val="0"/>
          <w:sz w:val="52"/>
          <w:szCs w:val="52"/>
          <w:highlight w:val="none"/>
        </w:rPr>
      </w:pPr>
      <w:r>
        <w:rPr>
          <w:rFonts w:hint="eastAsia" w:ascii="黑体" w:eastAsia="黑体"/>
          <w:kern w:val="0"/>
          <w:sz w:val="52"/>
          <w:szCs w:val="52"/>
          <w:highlight w:val="none"/>
        </w:rPr>
        <w:t>2020</w:t>
      </w:r>
      <w:r>
        <w:rPr>
          <w:rFonts w:hint="eastAsia" w:ascii="黑体" w:eastAsia="黑体" w:cs="ArialUnicodeMS"/>
          <w:kern w:val="0"/>
          <w:sz w:val="52"/>
          <w:szCs w:val="52"/>
          <w:highlight w:val="none"/>
        </w:rPr>
        <w:t>年度部门决算</w:t>
      </w:r>
    </w:p>
    <w:p>
      <w:pPr>
        <w:rPr>
          <w:rFonts w:ascii="ArialUnicodeMS" w:eastAsia="ArialUnicodeMS" w:cs="ArialUnicodeMS"/>
          <w:kern w:val="0"/>
          <w:sz w:val="84"/>
          <w:szCs w:val="84"/>
          <w:highlight w:val="none"/>
        </w:rPr>
      </w:pPr>
    </w:p>
    <w:p>
      <w:pPr>
        <w:rPr>
          <w:rFonts w:ascii="ArialUnicodeMS" w:eastAsia="ArialUnicodeMS" w:cs="ArialUnicodeMS"/>
          <w:kern w:val="0"/>
          <w:sz w:val="84"/>
          <w:szCs w:val="84"/>
          <w:highlight w:val="none"/>
        </w:rPr>
      </w:pPr>
    </w:p>
    <w:p>
      <w:pPr>
        <w:rPr>
          <w:rFonts w:ascii="ArialUnicodeMS" w:eastAsia="ArialUnicodeMS" w:cs="ArialUnicodeMS"/>
          <w:kern w:val="0"/>
          <w:sz w:val="84"/>
          <w:szCs w:val="84"/>
          <w:highlight w:val="none"/>
        </w:rPr>
      </w:pPr>
    </w:p>
    <w:p>
      <w:pPr>
        <w:rPr>
          <w:rFonts w:ascii="ArialUnicodeMS" w:eastAsia="ArialUnicodeMS" w:cs="ArialUnicodeMS"/>
          <w:kern w:val="0"/>
          <w:sz w:val="84"/>
          <w:szCs w:val="84"/>
          <w:highlight w:val="none"/>
        </w:rPr>
      </w:pPr>
    </w:p>
    <w:p>
      <w:pPr>
        <w:rPr>
          <w:rFonts w:ascii="ArialUnicodeMS" w:eastAsia="ArialUnicodeMS" w:cs="ArialUnicodeMS"/>
          <w:kern w:val="0"/>
          <w:sz w:val="84"/>
          <w:szCs w:val="84"/>
          <w:highlight w:val="none"/>
        </w:rPr>
      </w:pPr>
    </w:p>
    <w:p>
      <w:pPr>
        <w:rPr>
          <w:rFonts w:ascii="ArialUnicodeMS" w:eastAsia="ArialUnicodeMS" w:cs="ArialUnicodeMS"/>
          <w:kern w:val="0"/>
          <w:sz w:val="84"/>
          <w:szCs w:val="84"/>
          <w:highlight w:val="none"/>
        </w:rPr>
      </w:pPr>
    </w:p>
    <w:p>
      <w:pPr>
        <w:rPr>
          <w:rFonts w:ascii="ArialUnicodeMS" w:eastAsia="ArialUnicodeMS" w:cs="ArialUnicodeMS"/>
          <w:kern w:val="0"/>
          <w:sz w:val="84"/>
          <w:szCs w:val="84"/>
          <w:highlight w:val="none"/>
        </w:rPr>
      </w:pPr>
    </w:p>
    <w:p>
      <w:pPr>
        <w:jc w:val="center"/>
        <w:rPr>
          <w:rFonts w:ascii="黑体" w:eastAsia="黑体" w:cs="黑体"/>
          <w:kern w:val="0"/>
          <w:sz w:val="44"/>
          <w:szCs w:val="44"/>
          <w:highlight w:val="none"/>
        </w:rPr>
      </w:pPr>
    </w:p>
    <w:p>
      <w:pPr>
        <w:ind w:firstLine="646"/>
        <w:jc w:val="center"/>
        <w:rPr>
          <w:rFonts w:ascii="方正小标宋简体" w:eastAsia="方正小标宋简体"/>
          <w:b/>
          <w:sz w:val="44"/>
          <w:szCs w:val="44"/>
          <w:highlight w:val="none"/>
        </w:rPr>
      </w:pPr>
      <w:r>
        <w:rPr>
          <w:rFonts w:hint="eastAsia" w:ascii="方正小标宋简体" w:eastAsia="方正小标宋简体"/>
          <w:b/>
          <w:sz w:val="44"/>
          <w:szCs w:val="44"/>
          <w:highlight w:val="none"/>
        </w:rPr>
        <w:t>目    录</w:t>
      </w:r>
    </w:p>
    <w:p>
      <w:pPr>
        <w:ind w:firstLine="645"/>
        <w:rPr>
          <w:rFonts w:ascii="仿宋_GB2312" w:eastAsia="仿宋_GB2312"/>
          <w:b/>
          <w:sz w:val="32"/>
          <w:szCs w:val="32"/>
          <w:highlight w:val="none"/>
        </w:rPr>
      </w:pPr>
    </w:p>
    <w:p>
      <w:pPr>
        <w:ind w:firstLine="645"/>
        <w:rPr>
          <w:rFonts w:ascii="仿宋_GB2312" w:eastAsia="仿宋_GB2312"/>
          <w:b/>
          <w:sz w:val="32"/>
          <w:szCs w:val="32"/>
          <w:highlight w:val="none"/>
        </w:rPr>
      </w:pPr>
      <w:r>
        <w:rPr>
          <w:rFonts w:hint="eastAsia" w:ascii="仿宋_GB2312" w:eastAsia="仿宋_GB2312"/>
          <w:b/>
          <w:sz w:val="32"/>
          <w:szCs w:val="32"/>
          <w:highlight w:val="none"/>
        </w:rPr>
        <w:t>第一部分：</w:t>
      </w:r>
      <w:r>
        <w:rPr>
          <w:rFonts w:hint="eastAsia" w:ascii="仿宋_GB2312" w:hAnsi="黑体" w:eastAsia="仿宋_GB2312"/>
          <w:b/>
          <w:bCs/>
          <w:color w:val="000000"/>
          <w:sz w:val="32"/>
          <w:szCs w:val="32"/>
          <w:highlight w:val="none"/>
        </w:rPr>
        <w:t>柳州市审计局</w:t>
      </w:r>
      <w:r>
        <w:rPr>
          <w:rFonts w:hint="eastAsia" w:ascii="仿宋_GB2312" w:eastAsia="仿宋_GB2312"/>
          <w:b/>
          <w:sz w:val="32"/>
          <w:szCs w:val="32"/>
          <w:highlight w:val="none"/>
        </w:rPr>
        <w:t>概况</w:t>
      </w:r>
    </w:p>
    <w:p>
      <w:pPr>
        <w:ind w:firstLine="645"/>
        <w:rPr>
          <w:rFonts w:ascii="仿宋_GB2312" w:eastAsia="仿宋_GB2312"/>
          <w:sz w:val="32"/>
          <w:szCs w:val="32"/>
          <w:highlight w:val="none"/>
        </w:rPr>
      </w:pPr>
      <w:r>
        <w:rPr>
          <w:rFonts w:hint="eastAsia" w:ascii="仿宋_GB2312" w:eastAsia="仿宋_GB2312"/>
          <w:sz w:val="32"/>
          <w:szCs w:val="32"/>
          <w:highlight w:val="none"/>
        </w:rPr>
        <w:t>一、主要职能</w:t>
      </w:r>
    </w:p>
    <w:p>
      <w:pPr>
        <w:ind w:firstLine="645"/>
        <w:rPr>
          <w:rFonts w:ascii="仿宋_GB2312" w:eastAsia="仿宋_GB2312"/>
          <w:sz w:val="32"/>
          <w:szCs w:val="32"/>
          <w:highlight w:val="none"/>
        </w:rPr>
      </w:pPr>
      <w:r>
        <w:rPr>
          <w:rFonts w:hint="eastAsia" w:ascii="仿宋_GB2312" w:eastAsia="仿宋_GB2312"/>
          <w:sz w:val="32"/>
          <w:szCs w:val="32"/>
          <w:highlight w:val="none"/>
        </w:rPr>
        <w:t>二、部门决算单位构成</w:t>
      </w:r>
    </w:p>
    <w:p>
      <w:pPr>
        <w:ind w:firstLine="645"/>
        <w:rPr>
          <w:rFonts w:ascii="仿宋_GB2312" w:eastAsia="仿宋_GB2312"/>
          <w:b/>
          <w:sz w:val="32"/>
          <w:szCs w:val="32"/>
          <w:highlight w:val="none"/>
        </w:rPr>
      </w:pPr>
      <w:r>
        <w:rPr>
          <w:rFonts w:hint="eastAsia" w:ascii="仿宋_GB2312" w:eastAsia="仿宋_GB2312"/>
          <w:b/>
          <w:sz w:val="32"/>
          <w:szCs w:val="32"/>
          <w:highlight w:val="none"/>
        </w:rPr>
        <w:t>第二部分：</w:t>
      </w:r>
      <w:r>
        <w:rPr>
          <w:rFonts w:hint="eastAsia" w:ascii="仿宋_GB2312" w:hAnsi="黑体" w:eastAsia="仿宋_GB2312"/>
          <w:b/>
          <w:bCs/>
          <w:color w:val="000000"/>
          <w:sz w:val="32"/>
          <w:szCs w:val="32"/>
          <w:highlight w:val="none"/>
        </w:rPr>
        <w:t>柳州市审计局</w:t>
      </w:r>
      <w:r>
        <w:rPr>
          <w:rFonts w:hint="eastAsia" w:ascii="仿宋_GB2312" w:eastAsia="仿宋_GB2312"/>
          <w:b/>
          <w:sz w:val="32"/>
          <w:szCs w:val="32"/>
          <w:highlight w:val="none"/>
        </w:rPr>
        <w:t>2020年部门决算报表</w:t>
      </w:r>
    </w:p>
    <w:p>
      <w:pPr>
        <w:ind w:left="645"/>
        <w:rPr>
          <w:rFonts w:ascii="仿宋_GB2312" w:eastAsia="仿宋_GB2312"/>
          <w:sz w:val="32"/>
          <w:szCs w:val="32"/>
          <w:highlight w:val="none"/>
        </w:rPr>
      </w:pPr>
      <w:r>
        <w:rPr>
          <w:rFonts w:hint="eastAsia" w:ascii="仿宋_GB2312" w:eastAsia="仿宋_GB2312"/>
          <w:sz w:val="32"/>
          <w:szCs w:val="32"/>
          <w:highlight w:val="none"/>
        </w:rPr>
        <w:t>表一：收入支出决算总表</w:t>
      </w:r>
    </w:p>
    <w:p>
      <w:pPr>
        <w:ind w:left="645"/>
        <w:rPr>
          <w:rFonts w:ascii="仿宋_GB2312" w:eastAsia="仿宋_GB2312"/>
          <w:sz w:val="32"/>
          <w:szCs w:val="32"/>
          <w:highlight w:val="none"/>
        </w:rPr>
      </w:pPr>
      <w:r>
        <w:rPr>
          <w:rFonts w:hint="eastAsia" w:ascii="仿宋_GB2312" w:eastAsia="仿宋_GB2312"/>
          <w:sz w:val="32"/>
          <w:szCs w:val="32"/>
          <w:highlight w:val="none"/>
        </w:rPr>
        <w:t>表二：收入决算表</w:t>
      </w:r>
    </w:p>
    <w:p>
      <w:pPr>
        <w:ind w:left="645"/>
        <w:rPr>
          <w:rFonts w:ascii="仿宋_GB2312" w:eastAsia="仿宋_GB2312"/>
          <w:sz w:val="32"/>
          <w:szCs w:val="32"/>
          <w:highlight w:val="none"/>
        </w:rPr>
      </w:pPr>
      <w:r>
        <w:rPr>
          <w:rFonts w:hint="eastAsia" w:ascii="仿宋_GB2312" w:eastAsia="仿宋_GB2312"/>
          <w:sz w:val="32"/>
          <w:szCs w:val="32"/>
          <w:highlight w:val="none"/>
        </w:rPr>
        <w:t>表三：支出决算表</w:t>
      </w:r>
    </w:p>
    <w:p>
      <w:pPr>
        <w:ind w:left="645"/>
        <w:rPr>
          <w:rFonts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ind w:left="645"/>
        <w:rPr>
          <w:rFonts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ind w:left="645"/>
        <w:rPr>
          <w:rFonts w:ascii="仿宋_GB2312" w:eastAsia="仿宋_GB2312"/>
          <w:sz w:val="32"/>
          <w:szCs w:val="32"/>
          <w:highlight w:val="none"/>
        </w:rPr>
      </w:pPr>
      <w:r>
        <w:rPr>
          <w:rFonts w:hint="eastAsia" w:ascii="仿宋_GB2312" w:eastAsia="仿宋_GB2312"/>
          <w:sz w:val="32"/>
          <w:szCs w:val="32"/>
          <w:highlight w:val="none"/>
        </w:rPr>
        <w:t>表六：一般公共预算财政拨款基本支出决算表</w:t>
      </w:r>
    </w:p>
    <w:p>
      <w:pPr>
        <w:ind w:left="645"/>
        <w:rPr>
          <w:rFonts w:ascii="仿宋_GB2312" w:eastAsia="仿宋_GB2312"/>
          <w:sz w:val="32"/>
          <w:szCs w:val="32"/>
          <w:highlight w:val="none"/>
        </w:rPr>
      </w:pPr>
      <w:r>
        <w:rPr>
          <w:rFonts w:hint="eastAsia" w:ascii="仿宋_GB2312" w:eastAsia="仿宋_GB2312"/>
          <w:sz w:val="32"/>
          <w:szCs w:val="32"/>
          <w:highlight w:val="none"/>
        </w:rPr>
        <w:t>表七：一般公共预算财政拨款安排的“</w:t>
      </w:r>
      <w:r>
        <w:rPr>
          <w:rFonts w:ascii="仿宋_GB2312" w:eastAsia="仿宋_GB2312"/>
          <w:sz w:val="32"/>
          <w:szCs w:val="32"/>
          <w:highlight w:val="none"/>
        </w:rPr>
        <w:t>三公</w:t>
      </w:r>
      <w:r>
        <w:rPr>
          <w:rFonts w:hint="eastAsia" w:ascii="仿宋_GB2312" w:eastAsia="仿宋_GB2312"/>
          <w:sz w:val="32"/>
          <w:szCs w:val="32"/>
          <w:highlight w:val="none"/>
        </w:rPr>
        <w:t>”</w:t>
      </w:r>
      <w:r>
        <w:rPr>
          <w:rFonts w:ascii="仿宋_GB2312" w:eastAsia="仿宋_GB2312"/>
          <w:sz w:val="32"/>
          <w:szCs w:val="32"/>
          <w:highlight w:val="none"/>
        </w:rPr>
        <w:t>经费</w:t>
      </w:r>
      <w:r>
        <w:rPr>
          <w:rFonts w:hint="eastAsia" w:ascii="仿宋_GB2312" w:eastAsia="仿宋_GB2312"/>
          <w:sz w:val="32"/>
          <w:szCs w:val="32"/>
          <w:highlight w:val="none"/>
        </w:rPr>
        <w:t>支出决算表</w:t>
      </w:r>
    </w:p>
    <w:p>
      <w:pPr>
        <w:ind w:left="645"/>
        <w:rPr>
          <w:rFonts w:ascii="仿宋_GB2312" w:eastAsia="仿宋_GB2312"/>
          <w:sz w:val="32"/>
          <w:szCs w:val="32"/>
          <w:highlight w:val="none"/>
        </w:rPr>
      </w:pPr>
      <w:r>
        <w:rPr>
          <w:rFonts w:hint="eastAsia" w:ascii="仿宋_GB2312" w:eastAsia="仿宋_GB2312"/>
          <w:sz w:val="32"/>
          <w:szCs w:val="32"/>
          <w:highlight w:val="none"/>
        </w:rPr>
        <w:t>表八：政府性基金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ind w:left="645"/>
        <w:rPr>
          <w:rFonts w:ascii="仿宋_GB2312" w:eastAsia="仿宋_GB2312"/>
          <w:sz w:val="32"/>
          <w:szCs w:val="32"/>
          <w:highlight w:val="none"/>
        </w:rPr>
      </w:pPr>
      <w:r>
        <w:rPr>
          <w:rFonts w:hint="eastAsia" w:ascii="仿宋_GB2312" w:eastAsia="仿宋_GB2312"/>
          <w:sz w:val="32"/>
          <w:szCs w:val="32"/>
          <w:highlight w:val="none"/>
        </w:rPr>
        <w:t>表九：国有资本经营预算财政拨款支出决算表</w:t>
      </w:r>
    </w:p>
    <w:p>
      <w:pPr>
        <w:ind w:firstLine="645"/>
        <w:rPr>
          <w:rFonts w:ascii="仿宋_GB2312" w:eastAsia="仿宋_GB2312"/>
          <w:b/>
          <w:sz w:val="32"/>
          <w:szCs w:val="32"/>
          <w:highlight w:val="none"/>
        </w:rPr>
      </w:pPr>
      <w:r>
        <w:rPr>
          <w:rFonts w:hint="eastAsia" w:ascii="仿宋_GB2312" w:eastAsia="仿宋_GB2312"/>
          <w:b/>
          <w:sz w:val="32"/>
          <w:szCs w:val="32"/>
          <w:highlight w:val="none"/>
        </w:rPr>
        <w:t>第三部分：</w:t>
      </w:r>
      <w:r>
        <w:rPr>
          <w:rFonts w:hint="eastAsia" w:ascii="仿宋_GB2312" w:hAnsi="黑体" w:eastAsia="仿宋_GB2312"/>
          <w:b/>
          <w:bCs/>
          <w:color w:val="000000"/>
          <w:sz w:val="32"/>
          <w:szCs w:val="32"/>
          <w:highlight w:val="none"/>
        </w:rPr>
        <w:t>柳州市审计局</w:t>
      </w:r>
      <w:r>
        <w:rPr>
          <w:rFonts w:hint="eastAsia" w:ascii="仿宋_GB2312" w:eastAsia="仿宋_GB2312"/>
          <w:b/>
          <w:sz w:val="32"/>
          <w:szCs w:val="32"/>
          <w:highlight w:val="none"/>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年度收入决算情况。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eastAsia="仿宋_GB2312"/>
          <w:kern w:val="0"/>
          <w:sz w:val="32"/>
          <w:szCs w:val="32"/>
          <w:highlight w:val="none"/>
        </w:rPr>
        <w:t>2020</w:t>
      </w:r>
      <w:r>
        <w:rPr>
          <w:rFonts w:hint="eastAsia" w:ascii="仿宋_GB2312" w:eastAsia="仿宋_GB2312" w:cs="仿宋_GB2312"/>
          <w:kern w:val="0"/>
          <w:sz w:val="32"/>
          <w:szCs w:val="32"/>
          <w:highlight w:val="none"/>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五、</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kern w:val="0"/>
          <w:sz w:val="32"/>
          <w:szCs w:val="32"/>
          <w:highlight w:val="none"/>
        </w:rPr>
        <w:t>八、</w:t>
      </w:r>
      <w:r>
        <w:rPr>
          <w:rFonts w:hint="eastAsia" w:eastAsia="仿宋_GB2312"/>
          <w:kern w:val="0"/>
          <w:sz w:val="32"/>
          <w:szCs w:val="32"/>
          <w:highlight w:val="none"/>
        </w:rPr>
        <w:t>2020</w:t>
      </w:r>
      <w:r>
        <w:rPr>
          <w:rFonts w:hint="eastAsia" w:ascii="仿宋_GB2312" w:eastAsia="仿宋_GB2312" w:cs="仿宋_GB2312"/>
          <w:bCs/>
          <w:kern w:val="0"/>
          <w:sz w:val="32"/>
          <w:szCs w:val="32"/>
          <w:highlight w:val="none"/>
        </w:rPr>
        <w:t xml:space="preserve"> 年度政府性基金预算财政拨款收入支出决算情况</w:t>
      </w:r>
    </w:p>
    <w:p>
      <w:pPr>
        <w:ind w:left="645"/>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九、</w:t>
      </w:r>
      <w:r>
        <w:rPr>
          <w:rFonts w:hint="eastAsia" w:ascii="仿宋_GB2312" w:eastAsia="仿宋_GB2312"/>
          <w:sz w:val="32"/>
          <w:szCs w:val="32"/>
          <w:highlight w:val="none"/>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十、</w:t>
      </w:r>
      <w:r>
        <w:rPr>
          <w:rFonts w:hint="eastAsia" w:eastAsia="仿宋_GB2312"/>
          <w:kern w:val="0"/>
          <w:sz w:val="32"/>
          <w:szCs w:val="32"/>
          <w:highlight w:val="none"/>
        </w:rPr>
        <w:t>2020</w:t>
      </w:r>
      <w:r>
        <w:rPr>
          <w:rFonts w:hint="eastAsia" w:ascii="仿宋_GB2312" w:eastAsia="仿宋_GB2312" w:cs="仿宋_GB2312"/>
          <w:bCs/>
          <w:kern w:val="0"/>
          <w:sz w:val="32"/>
          <w:szCs w:val="32"/>
          <w:highlight w:val="none"/>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bCs/>
          <w:kern w:val="0"/>
          <w:sz w:val="32"/>
          <w:szCs w:val="32"/>
          <w:highlight w:val="none"/>
        </w:rPr>
        <w:t>十一、其他重要事项的情况说明</w:t>
      </w:r>
    </w:p>
    <w:p>
      <w:pPr>
        <w:ind w:firstLine="645"/>
        <w:rPr>
          <w:rFonts w:ascii="仿宋_GB2312" w:eastAsia="仿宋_GB2312"/>
          <w:b/>
          <w:sz w:val="32"/>
          <w:szCs w:val="32"/>
          <w:highlight w:val="none"/>
        </w:rPr>
      </w:pPr>
      <w:r>
        <w:rPr>
          <w:rFonts w:hint="eastAsia" w:ascii="仿宋_GB2312" w:eastAsia="仿宋_GB2312"/>
          <w:b/>
          <w:sz w:val="32"/>
          <w:szCs w:val="32"/>
          <w:highlight w:val="none"/>
        </w:rPr>
        <w:t>第四部分：名词解释</w:t>
      </w:r>
    </w:p>
    <w:p>
      <w:pPr>
        <w:ind w:firstLine="646"/>
        <w:jc w:val="center"/>
        <w:rPr>
          <w:rFonts w:ascii="仿宋_GB2312" w:eastAsia="仿宋_GB2312"/>
          <w:b/>
          <w:sz w:val="32"/>
          <w:szCs w:val="32"/>
          <w:highlight w:val="none"/>
        </w:rPr>
      </w:pPr>
      <w:r>
        <w:rPr>
          <w:rFonts w:hint="eastAsia" w:ascii="仿宋_GB2312" w:eastAsia="仿宋_GB2312" w:cs="仿宋_GB2312"/>
          <w:bCs/>
          <w:kern w:val="0"/>
          <w:sz w:val="32"/>
          <w:szCs w:val="32"/>
          <w:highlight w:val="none"/>
        </w:rPr>
        <w:br w:type="page"/>
      </w:r>
      <w:r>
        <w:rPr>
          <w:rFonts w:hint="eastAsia" w:ascii="仿宋_GB2312" w:eastAsia="仿宋_GB2312"/>
          <w:b/>
          <w:sz w:val="32"/>
          <w:szCs w:val="32"/>
          <w:highlight w:val="none"/>
        </w:rPr>
        <w:t>第一部分：</w:t>
      </w:r>
      <w:r>
        <w:rPr>
          <w:rFonts w:hint="eastAsia" w:ascii="仿宋_GB2312" w:hAnsi="黑体" w:eastAsia="仿宋_GB2312"/>
          <w:b/>
          <w:bCs/>
          <w:color w:val="000000"/>
          <w:sz w:val="32"/>
          <w:szCs w:val="32"/>
          <w:highlight w:val="none"/>
        </w:rPr>
        <w:t>柳州市审计局</w:t>
      </w:r>
      <w:r>
        <w:rPr>
          <w:rFonts w:hint="eastAsia" w:ascii="仿宋_GB2312" w:eastAsia="仿宋_GB2312"/>
          <w:b/>
          <w:sz w:val="32"/>
          <w:szCs w:val="32"/>
          <w:highlight w:val="none"/>
        </w:rPr>
        <w:t>概况</w:t>
      </w:r>
    </w:p>
    <w:p>
      <w:pPr>
        <w:ind w:firstLine="646"/>
        <w:rPr>
          <w:rFonts w:ascii="仿宋_GB2312" w:eastAsia="仿宋_GB2312"/>
          <w:sz w:val="32"/>
          <w:szCs w:val="32"/>
          <w:highlight w:val="none"/>
        </w:rPr>
      </w:pPr>
      <w:r>
        <w:rPr>
          <w:rFonts w:hint="eastAsia" w:ascii="仿宋_GB2312" w:eastAsia="仿宋_GB2312"/>
          <w:sz w:val="32"/>
          <w:szCs w:val="32"/>
          <w:highlight w:val="none"/>
        </w:rPr>
        <w:t>一、主要职能</w:t>
      </w:r>
    </w:p>
    <w:p>
      <w:pPr>
        <w:pStyle w:val="5"/>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highlight w:val="none"/>
        </w:rPr>
      </w:pPr>
      <w:r>
        <w:rPr>
          <w:rFonts w:hint="eastAsia" w:ascii="Times New Roman" w:hAnsi="Times New Roman" w:eastAsia="仿宋_GB2312" w:cs="Times New Roman"/>
          <w:spacing w:val="8"/>
          <w:sz w:val="32"/>
          <w:szCs w:val="32"/>
          <w:highlight w:val="none"/>
        </w:rPr>
        <w:t>柳州市审计局是市人民政府工作部门，为正处级。市委审计委员会办公室设在市审计局，接受市委审计委员会的直接领导，承担市委审计委员会的具体工作，负责研究提出审计领域坚持党的领导、加强党的建设的政策建议，组织研究审计工作规划、政策和改革方案，协调推进和督促落实市委和市委审计委员会决策部署，研究提出年度审计项目计划，组织协调审计协作有关事项等。设置市委审计委员会办公室秘书科，负责处理市委审计委员会办公室日常事务。市审计局的内设机构根据工作需要承担市委审计委员会办公室相关工作，接受市委审计委员会办公室的统筹协调。</w:t>
      </w:r>
    </w:p>
    <w:p>
      <w:pPr>
        <w:pStyle w:val="5"/>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highlight w:val="none"/>
        </w:rPr>
      </w:pPr>
      <w:r>
        <w:rPr>
          <w:rFonts w:hint="eastAsia" w:ascii="Times New Roman" w:hAnsi="Times New Roman" w:eastAsia="仿宋_GB2312" w:cs="Times New Roman"/>
          <w:spacing w:val="8"/>
          <w:sz w:val="32"/>
          <w:szCs w:val="32"/>
          <w:highlight w:val="none"/>
        </w:rPr>
        <w:t>柳州市审计局贯彻落实党中央、自治区党委和市委关于审计工作的方针政策和决策部署，在履行职责过程中坚持和加强党对审计工作的集中统一领导。主要职责是：</w:t>
      </w:r>
    </w:p>
    <w:p>
      <w:pPr>
        <w:pStyle w:val="5"/>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highlight w:val="none"/>
        </w:rPr>
      </w:pPr>
      <w:r>
        <w:rPr>
          <w:rFonts w:hint="eastAsia" w:ascii="Times New Roman" w:hAnsi="Times New Roman" w:eastAsia="仿宋_GB2312" w:cs="Times New Roman"/>
          <w:spacing w:val="8"/>
          <w:sz w:val="32"/>
          <w:szCs w:val="32"/>
          <w:highlight w:val="none"/>
        </w:rPr>
        <w:t>（1）主管全市审计工作。负责对财政收支和法律法规规定属于审计监督范围的财务收支的真实、合法和效益进行审计监督，对公共资金、国有资产、国有资源和领导干部履行经济责任情况实行审计全覆盖，对领导干部实行自然资源资产离任审计，对重大政策措施贯彻落实情况进行跟踪审计。对审计、专项审计调查和核查社会审计机构相关审计报告的结果承担责任，并负有督促被审计单位整改的责任。</w:t>
      </w:r>
    </w:p>
    <w:p>
      <w:pPr>
        <w:pStyle w:val="5"/>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highlight w:val="none"/>
        </w:rPr>
      </w:pPr>
      <w:r>
        <w:rPr>
          <w:rFonts w:hint="eastAsia" w:ascii="Times New Roman" w:hAnsi="Times New Roman" w:eastAsia="仿宋_GB2312" w:cs="Times New Roman"/>
          <w:spacing w:val="8"/>
          <w:sz w:val="32"/>
          <w:szCs w:val="32"/>
          <w:highlight w:val="none"/>
        </w:rPr>
        <w:t>（2）起草有关审计的地方政府规章草案，拟订全市审计政策，制定有关审计指南并监督执行。制定并组织实施专业领域审计工作规划。参与起草财政经济及其相关地方性法规、地方政府规章草案。对直接审计、调查和核查的事项依法进行审计评价，作出审计决定或提出审计建议。</w:t>
      </w:r>
    </w:p>
    <w:p>
      <w:pPr>
        <w:pStyle w:val="5"/>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highlight w:val="none"/>
        </w:rPr>
      </w:pPr>
      <w:r>
        <w:rPr>
          <w:rFonts w:hint="eastAsia" w:ascii="Times New Roman" w:hAnsi="Times New Roman" w:eastAsia="仿宋_GB2312" w:cs="Times New Roman"/>
          <w:spacing w:val="8"/>
          <w:sz w:val="32"/>
          <w:szCs w:val="32"/>
          <w:highlight w:val="none"/>
        </w:rPr>
        <w:t>（3）向市委审计委员会提出市本级年度预算执行和其他财政收支情况审计情况报告。向市长提出市本级年度预算执行和其他财政收支情况的审计结果报告，并报送自治区审计厅。受市政府委托向市人大常委会提出市本级预算执行和其他财政收支情况的审计工作报告、审计查出问题整改情况报告。向市委、市政府报告对其他事项的审计和专项审计调查情况及结果。依法向社会公布审计结果。向市委和市政府有关部门、县区党委和政府通报审计情况和审计结果。</w:t>
      </w:r>
    </w:p>
    <w:p>
      <w:pPr>
        <w:pStyle w:val="5"/>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highlight w:val="none"/>
        </w:rPr>
      </w:pPr>
      <w:r>
        <w:rPr>
          <w:rFonts w:hint="eastAsia" w:ascii="Times New Roman" w:hAnsi="Times New Roman" w:eastAsia="仿宋_GB2312" w:cs="Times New Roman"/>
          <w:spacing w:val="8"/>
          <w:sz w:val="32"/>
          <w:szCs w:val="32"/>
          <w:highlight w:val="none"/>
        </w:rPr>
        <w:t>（4）直接审计下列事项，出具审计报告，在法定职权范围内作出审计决定，包括：有关重大政策措施贯彻落实情况；市本级预算执行情况和其他财政收支，市各机关各部门（含直属单位）预算执行情况、决算草案和其他财政收支；县区政府预算执行情况、决算草案和其他财政收支，中央、自治区和市财政转移支付资金；使用市财政资金的事业单位和社会团体的财务收支；市政府投资和以市政府投资为主的建设项目的概预算执行情况和决算，市政府重大公共工程项目的资金管理使用和建设运营情况；自然资源管理、污染防治和生态保护与修复情况；</w:t>
      </w:r>
      <w:r>
        <w:rPr>
          <w:rFonts w:hint="eastAsia" w:eastAsia="仿宋_GB2312"/>
          <w:spacing w:val="8"/>
          <w:sz w:val="32"/>
          <w:szCs w:val="32"/>
          <w:highlight w:val="none"/>
        </w:rPr>
        <w:t>市属国有企业和金融机构、市属国有资本占控股或主导地位的企业和金融机构境内外资产、负债和损益；</w:t>
      </w:r>
      <w:r>
        <w:rPr>
          <w:rFonts w:hint="eastAsia" w:ascii="Times New Roman" w:hAnsi="Times New Roman" w:eastAsia="仿宋_GB2312" w:cs="Times New Roman"/>
          <w:spacing w:val="8"/>
          <w:sz w:val="32"/>
          <w:szCs w:val="32"/>
          <w:highlight w:val="none"/>
        </w:rPr>
        <w:t>有关社会保障基金、社会捐赠资金和其他基金、资金的财务收支；根据上级审计机关授权，国际组织和外国政府援助、贷款项目；法律法规规定的其他事项。</w:t>
      </w:r>
    </w:p>
    <w:p>
      <w:pPr>
        <w:pStyle w:val="5"/>
        <w:widowControl w:val="0"/>
        <w:shd w:val="clear" w:color="auto" w:fill="FFFFFF"/>
        <w:spacing w:before="0" w:beforeAutospacing="0" w:after="0" w:afterAutospacing="0" w:line="560" w:lineRule="exact"/>
        <w:ind w:firstLine="672" w:firstLineChars="200"/>
        <w:jc w:val="both"/>
        <w:rPr>
          <w:rFonts w:eastAsia="仿宋_GB2312"/>
          <w:spacing w:val="8"/>
          <w:sz w:val="32"/>
          <w:szCs w:val="32"/>
          <w:highlight w:val="none"/>
        </w:rPr>
      </w:pPr>
      <w:r>
        <w:rPr>
          <w:rFonts w:hint="eastAsia" w:eastAsia="仿宋_GB2312"/>
          <w:spacing w:val="8"/>
          <w:sz w:val="32"/>
          <w:szCs w:val="32"/>
          <w:highlight w:val="none"/>
        </w:rPr>
        <w:t>（5）按规定对市委管理的党政主要领导干部及其他单位主要负责人实施经济责任审计和自然资源资产离任（任中）审计。</w:t>
      </w:r>
    </w:p>
    <w:p>
      <w:pPr>
        <w:pStyle w:val="5"/>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highlight w:val="none"/>
        </w:rPr>
      </w:pPr>
      <w:r>
        <w:rPr>
          <w:rFonts w:hint="eastAsia" w:ascii="Times New Roman" w:hAnsi="Times New Roman" w:eastAsia="仿宋_GB2312" w:cs="Times New Roman"/>
          <w:spacing w:val="8"/>
          <w:sz w:val="32"/>
          <w:szCs w:val="32"/>
          <w:highlight w:val="none"/>
        </w:rPr>
        <w:t>（6）组织实施对国家财经法律、法规、规章、政策和宏观调控措施执行情况、财政预算管理及国有资产管理使用等与国家财政收支有关的特定审计事项进行专项审计调查。</w:t>
      </w:r>
    </w:p>
    <w:p>
      <w:pPr>
        <w:pStyle w:val="5"/>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highlight w:val="none"/>
        </w:rPr>
      </w:pPr>
      <w:r>
        <w:rPr>
          <w:rFonts w:hint="eastAsia" w:ascii="Times New Roman" w:hAnsi="Times New Roman" w:eastAsia="仿宋_GB2312" w:cs="Times New Roman"/>
          <w:spacing w:val="8"/>
          <w:sz w:val="32"/>
          <w:szCs w:val="32"/>
          <w:highlight w:val="none"/>
        </w:rPr>
        <w:t>（7）依法检查审计决定执行情况，督促整改审计查出的问题，依法办理被审计单位对审计决定提请行政复议、行政诉讼或市政府裁决中的有关事项，协助配合有关部门查处相关重大案件。</w:t>
      </w:r>
    </w:p>
    <w:p>
      <w:pPr>
        <w:pStyle w:val="5"/>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highlight w:val="none"/>
        </w:rPr>
      </w:pPr>
      <w:r>
        <w:rPr>
          <w:rFonts w:hint="eastAsia" w:ascii="Times New Roman" w:hAnsi="Times New Roman" w:eastAsia="仿宋_GB2312" w:cs="Times New Roman"/>
          <w:spacing w:val="8"/>
          <w:sz w:val="32"/>
          <w:szCs w:val="32"/>
          <w:highlight w:val="none"/>
        </w:rPr>
        <w:t>（8）指导和监督依法属于审计机关审计监督对象的单位的内部审计工作，核查社会审计机构对依法属于审计监督对象的单位出具的相关审计报告。</w:t>
      </w:r>
    </w:p>
    <w:p>
      <w:pPr>
        <w:pStyle w:val="5"/>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highlight w:val="none"/>
        </w:rPr>
      </w:pPr>
      <w:r>
        <w:rPr>
          <w:rFonts w:hint="eastAsia" w:ascii="Times New Roman" w:hAnsi="Times New Roman" w:eastAsia="仿宋_GB2312" w:cs="Times New Roman"/>
          <w:spacing w:val="8"/>
          <w:sz w:val="32"/>
          <w:szCs w:val="32"/>
          <w:highlight w:val="none"/>
        </w:rPr>
        <w:t>（9）与县区党委和政府共同领导县区审计机关。依法领导和监督各县区审计机关的业务，组织实施特定项目的专项审计或审计调查，纠正或责成纠正各县区审计机关违反国家规定作出的审计决定。按照干部管理权限共同管理县区审计机关领导班子成员。</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pacing w:val="8"/>
          <w:sz w:val="32"/>
          <w:szCs w:val="32"/>
          <w:highlight w:val="none"/>
        </w:rPr>
      </w:pP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pacing w:val="8"/>
          <w:sz w:val="32"/>
          <w:szCs w:val="32"/>
          <w:highlight w:val="none"/>
        </w:rPr>
        <w:t>组织开展审计领域的市内外交流与合作，指导和推广信息技术在审计领域的应用。</w:t>
      </w:r>
    </w:p>
    <w:p>
      <w:pPr>
        <w:pStyle w:val="5"/>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highlight w:val="none"/>
        </w:rPr>
      </w:pPr>
      <w:r>
        <w:rPr>
          <w:rFonts w:hint="eastAsia" w:ascii="Times New Roman" w:hAnsi="Times New Roman" w:eastAsia="仿宋_GB2312" w:cs="Times New Roman"/>
          <w:spacing w:val="8"/>
          <w:sz w:val="32"/>
          <w:szCs w:val="32"/>
          <w:highlight w:val="none"/>
        </w:rPr>
        <w:t>（11）</w:t>
      </w:r>
      <w:r>
        <w:rPr>
          <w:rFonts w:hint="eastAsia" w:ascii="Times New Roman" w:hAnsi="Times New Roman" w:eastAsia="仿宋_GB2312" w:cs="Times New Roman"/>
          <w:sz w:val="32"/>
          <w:szCs w:val="32"/>
          <w:highlight w:val="none"/>
        </w:rPr>
        <w:t>完成市委、市政府和上级审计机关交办的其他任务。</w:t>
      </w:r>
    </w:p>
    <w:p>
      <w:pPr>
        <w:pStyle w:val="5"/>
        <w:widowControl w:val="0"/>
        <w:shd w:val="clear" w:color="auto" w:fill="FFFFFF"/>
        <w:spacing w:before="0" w:beforeAutospacing="0" w:after="0" w:afterAutospacing="0" w:line="560" w:lineRule="exact"/>
        <w:ind w:firstLine="672" w:firstLineChars="200"/>
        <w:jc w:val="both"/>
        <w:rPr>
          <w:rFonts w:ascii="Times New Roman" w:hAnsi="Times New Roman" w:eastAsia="仿宋_GB2312" w:cs="Times New Roman"/>
          <w:spacing w:val="8"/>
          <w:sz w:val="32"/>
          <w:szCs w:val="32"/>
          <w:highlight w:val="none"/>
        </w:rPr>
      </w:pPr>
      <w:r>
        <w:rPr>
          <w:rFonts w:hint="eastAsia" w:ascii="Times New Roman" w:hAnsi="Times New Roman" w:eastAsia="仿宋_GB2312" w:cs="Times New Roman"/>
          <w:spacing w:val="8"/>
          <w:sz w:val="32"/>
          <w:szCs w:val="32"/>
          <w:highlight w:val="none"/>
        </w:rPr>
        <w:t>（12）职能转变。进一步完善审计管理体制，加强全市审计工作统筹，明晰全市审计机关职能定位，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w:t>
      </w:r>
    </w:p>
    <w:p>
      <w:pPr>
        <w:ind w:firstLine="646"/>
        <w:rPr>
          <w:rFonts w:ascii="仿宋_GB2312" w:eastAsia="仿宋_GB2312"/>
          <w:sz w:val="32"/>
          <w:szCs w:val="32"/>
          <w:highlight w:val="none"/>
        </w:rPr>
      </w:pPr>
      <w:r>
        <w:rPr>
          <w:rFonts w:hint="eastAsia" w:ascii="仿宋_GB2312" w:eastAsia="仿宋_GB2312"/>
          <w:sz w:val="32"/>
          <w:szCs w:val="32"/>
          <w:highlight w:val="none"/>
        </w:rPr>
        <w:t>二、部门决算单位构成</w:t>
      </w:r>
    </w:p>
    <w:p>
      <w:pPr>
        <w:ind w:firstLine="645"/>
        <w:rPr>
          <w:rFonts w:ascii="仿宋_GB2312" w:eastAsia="仿宋_GB2312"/>
          <w:sz w:val="32"/>
          <w:szCs w:val="32"/>
          <w:highlight w:val="none"/>
        </w:rPr>
      </w:pPr>
      <w:r>
        <w:rPr>
          <w:rFonts w:hint="eastAsia" w:ascii="仿宋_GB2312" w:eastAsia="仿宋_GB2312"/>
          <w:sz w:val="32"/>
          <w:szCs w:val="32"/>
          <w:highlight w:val="none"/>
        </w:rPr>
        <w:t>本部门共有直属单位2个。其中：</w:t>
      </w:r>
    </w:p>
    <w:p>
      <w:pPr>
        <w:ind w:firstLine="645"/>
        <w:rPr>
          <w:rFonts w:ascii="仿宋_GB2312" w:eastAsia="仿宋_GB2312"/>
          <w:sz w:val="32"/>
          <w:szCs w:val="32"/>
          <w:highlight w:val="none"/>
        </w:rPr>
      </w:pPr>
      <w:r>
        <w:rPr>
          <w:rFonts w:hint="eastAsia" w:ascii="仿宋_GB2312" w:eastAsia="仿宋_GB2312"/>
          <w:bCs/>
          <w:sz w:val="32"/>
          <w:szCs w:val="32"/>
          <w:highlight w:val="none"/>
        </w:rPr>
        <w:t>（一）行政单位</w:t>
      </w:r>
      <w:r>
        <w:rPr>
          <w:rFonts w:hint="eastAsia" w:ascii="仿宋_GB2312" w:eastAsia="仿宋_GB2312"/>
          <w:sz w:val="32"/>
          <w:szCs w:val="32"/>
          <w:highlight w:val="none"/>
        </w:rPr>
        <w:t>1个，是柳州市审计局。</w:t>
      </w:r>
    </w:p>
    <w:p>
      <w:pPr>
        <w:ind w:firstLine="645"/>
        <w:rPr>
          <w:highlight w:val="none"/>
        </w:rPr>
      </w:pPr>
      <w:r>
        <w:rPr>
          <w:rFonts w:hint="eastAsia" w:ascii="仿宋_GB2312" w:eastAsia="仿宋_GB2312"/>
          <w:bCs/>
          <w:sz w:val="32"/>
          <w:szCs w:val="32"/>
          <w:highlight w:val="none"/>
        </w:rPr>
        <w:t>（二）参照公务员管理事业单位1</w:t>
      </w:r>
      <w:r>
        <w:rPr>
          <w:rFonts w:hint="eastAsia" w:ascii="仿宋_GB2312" w:eastAsia="仿宋_GB2312"/>
          <w:sz w:val="32"/>
          <w:szCs w:val="32"/>
          <w:highlight w:val="none"/>
        </w:rPr>
        <w:t>个，是柳州市政府投资项目审计中心。</w:t>
      </w:r>
    </w:p>
    <w:p>
      <w:pPr>
        <w:jc w:val="center"/>
        <w:rPr>
          <w:highlight w:val="none"/>
        </w:rPr>
      </w:pPr>
    </w:p>
    <w:p>
      <w:pPr>
        <w:rPr>
          <w:highlight w:val="none"/>
        </w:rPr>
      </w:pPr>
      <w:r>
        <w:rPr>
          <w:rFonts w:hint="eastAsia" w:ascii="仿宋_GB2312" w:eastAsia="仿宋_GB2312"/>
          <w:b/>
          <w:sz w:val="32"/>
          <w:szCs w:val="32"/>
          <w:highlight w:val="none"/>
        </w:rPr>
        <w:t>第二部分：</w:t>
      </w:r>
      <w:r>
        <w:rPr>
          <w:rFonts w:hint="eastAsia" w:ascii="仿宋_GB2312" w:hAnsi="黑体" w:eastAsia="仿宋_GB2312"/>
          <w:b/>
          <w:bCs/>
          <w:color w:val="000000"/>
          <w:sz w:val="32"/>
          <w:szCs w:val="32"/>
          <w:highlight w:val="none"/>
        </w:rPr>
        <w:t>柳州市审计局</w:t>
      </w:r>
      <w:r>
        <w:rPr>
          <w:rFonts w:hint="eastAsia" w:ascii="仿宋_GB2312" w:eastAsia="仿宋_GB2312"/>
          <w:b/>
          <w:sz w:val="32"/>
          <w:szCs w:val="32"/>
          <w:highlight w:val="none"/>
        </w:rPr>
        <w:t xml:space="preserve"> 2020年部门决算报表</w:t>
      </w:r>
    </w:p>
    <w:p>
      <w:pPr>
        <w:autoSpaceDE w:val="0"/>
        <w:autoSpaceDN w:val="0"/>
        <w:adjustRightInd w:val="0"/>
        <w:spacing w:line="560" w:lineRule="exact"/>
        <w:ind w:firstLine="640" w:firstLineChars="200"/>
        <w:jc w:val="left"/>
        <w:rPr>
          <w:highlight w:val="none"/>
        </w:rPr>
      </w:pPr>
      <w:r>
        <w:rPr>
          <w:rFonts w:hint="eastAsia" w:ascii="仿宋_GB2312" w:eastAsia="仿宋_GB2312" w:cs="仿宋_GB2312"/>
          <w:bCs/>
          <w:kern w:val="0"/>
          <w:sz w:val="32"/>
          <w:szCs w:val="32"/>
          <w:highlight w:val="none"/>
        </w:rPr>
        <w:t>详见附表</w:t>
      </w:r>
    </w:p>
    <w:p>
      <w:pPr>
        <w:spacing w:line="580" w:lineRule="exact"/>
        <w:rPr>
          <w:rFonts w:ascii="仿宋_GB2312" w:eastAsia="仿宋_GB2312"/>
          <w:b/>
          <w:sz w:val="32"/>
          <w:szCs w:val="32"/>
          <w:highlight w:val="none"/>
        </w:rPr>
      </w:pPr>
      <w:r>
        <w:rPr>
          <w:rFonts w:hint="eastAsia" w:ascii="仿宋_GB2312" w:eastAsia="仿宋_GB2312"/>
          <w:b/>
          <w:sz w:val="32"/>
          <w:szCs w:val="32"/>
          <w:highlight w:val="none"/>
        </w:rPr>
        <w:t>第三部分：</w:t>
      </w:r>
      <w:r>
        <w:rPr>
          <w:rFonts w:hint="eastAsia" w:ascii="仿宋_GB2312" w:hAnsi="黑体" w:eastAsia="仿宋_GB2312"/>
          <w:b/>
          <w:bCs/>
          <w:color w:val="000000"/>
          <w:sz w:val="32"/>
          <w:szCs w:val="32"/>
          <w:highlight w:val="none"/>
        </w:rPr>
        <w:t>柳州市审计局</w:t>
      </w:r>
      <w:r>
        <w:rPr>
          <w:rFonts w:hint="eastAsia" w:ascii="仿宋_GB2312" w:eastAsia="仿宋_GB2312"/>
          <w:b/>
          <w:sz w:val="32"/>
          <w:szCs w:val="32"/>
          <w:highlight w:val="none"/>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一、</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highlight w:val="none"/>
        </w:rPr>
      </w:pPr>
      <w:r>
        <w:rPr>
          <w:rFonts w:hint="eastAsia" w:ascii="仿宋_GB2312" w:eastAsia="仿宋_GB2312" w:cs="仿宋_GB2312"/>
          <w:b/>
          <w:kern w:val="0"/>
          <w:sz w:val="32"/>
          <w:szCs w:val="32"/>
          <w:highlight w:val="none"/>
        </w:rPr>
        <w:t xml:space="preserve"> </w:t>
      </w:r>
      <w:r>
        <w:rPr>
          <w:rFonts w:hint="eastAsia" w:ascii="仿宋_GB2312" w:eastAsia="仿宋_GB2312" w:cs="仿宋_GB2312"/>
          <w:bCs/>
          <w:kern w:val="0"/>
          <w:sz w:val="32"/>
          <w:szCs w:val="32"/>
          <w:highlight w:val="none"/>
        </w:rPr>
        <w:t>2020年度收入总计3073.43万元，支出总计3073.43万元，与2019年相比，收、支均减少474.73万元；均下降13.38%。</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二、</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highlight w:val="none"/>
        </w:rPr>
      </w:pPr>
      <w:r>
        <w:rPr>
          <w:rFonts w:hint="eastAsia" w:ascii="仿宋_GB2312" w:eastAsia="仿宋_GB2312" w:cs="仿宋_GB2312"/>
          <w:bCs/>
          <w:kern w:val="0"/>
          <w:sz w:val="32"/>
          <w:szCs w:val="32"/>
          <w:highlight w:val="none"/>
        </w:rPr>
        <w:t>本年收入总计2554.01万元 ，其中：一般公共预算财政拨款收入2554.01万元；占比100% 。</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三、</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本年支出合计2476.83万元，其中：基本支出 2103.18万元，占84.91%；项目支出 373.64万元， 占15.09%。</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四、</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本部门 2020年度财政拨款收、支总决算均为2681.74万元。与 2019年相比，财政拨款收、支总计均减少474.73 万元，下降15.04%。</w:t>
      </w:r>
    </w:p>
    <w:p>
      <w:pPr>
        <w:autoSpaceDE w:val="0"/>
        <w:autoSpaceDN w:val="0"/>
        <w:adjustRightInd w:val="0"/>
        <w:spacing w:line="580" w:lineRule="exact"/>
        <w:ind w:firstLine="643" w:firstLineChars="200"/>
        <w:jc w:val="left"/>
        <w:rPr>
          <w:rFonts w:eastAsia="仿宋_GB2312"/>
          <w:b/>
          <w:kern w:val="0"/>
          <w:sz w:val="32"/>
          <w:szCs w:val="32"/>
          <w:highlight w:val="none"/>
        </w:rPr>
      </w:pPr>
      <w:r>
        <w:rPr>
          <w:rFonts w:hint="eastAsia" w:ascii="仿宋_GB2312" w:eastAsia="仿宋_GB2312" w:cs="仿宋_GB2312"/>
          <w:b/>
          <w:kern w:val="0"/>
          <w:sz w:val="32"/>
          <w:szCs w:val="32"/>
          <w:highlight w:val="none"/>
        </w:rPr>
        <w:t>五、</w:t>
      </w:r>
      <w:r>
        <w:rPr>
          <w:rFonts w:hint="eastAsia" w:eastAsia="仿宋_GB2312"/>
          <w:b/>
          <w:kern w:val="0"/>
          <w:sz w:val="32"/>
          <w:szCs w:val="32"/>
          <w:highlight w:val="none"/>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部门 2020年度财政拨款支出 2476.83万元，占本年支出合计的 80.59%。与 2019 年相比，财政拨款支出减少 541.26万元，下降17.93%。</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2020 年度财政拨款支出2681.74万元，主要用于以下方面：一般公共服务（类）支出1749.42万元，占65.23%；社会保障和就业（类）支出358.01万元，占13.35%；卫生健康（类）支出174.7万元，占 6.51%；城乡社区（类）支出39.41万元，占1.47%；农林水（类）支出14.2万元，占0.53%；住房保障（类）支出141.1万元，占5.26%。</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2020 年度财政拨款支出年初预算为 2449.42万元，支出决算为2476.83 万元，完成年初预算的101.12%。决算数大于预算数的主要原因：一是年中追加安排财政拨款支出预算，涉及项目有行政运行支出、行政单位离退休支出、养老保险支出、死亡抚恤、行政单位医疗、其他扶贫支出等；二是部分支出按规定，通过使用以前年度财政拨款结转资金解决。</w:t>
      </w:r>
    </w:p>
    <w:p>
      <w:pPr>
        <w:numPr>
          <w:ilvl w:val="0"/>
          <w:numId w:val="1"/>
        </w:numPr>
        <w:autoSpaceDE w:val="0"/>
        <w:autoSpaceDN w:val="0"/>
        <w:adjustRightInd w:val="0"/>
        <w:spacing w:line="56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1.一般公共服务（类）审计事务（款）行政运行（项）。年初预算为1273.35万元，支出决算为 1429.39万元，完成年初预算的112.25%。决算数大于预算数的主要原因为年中追加安排财政拨款支出预算。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2.一般公共服务（类）审计事务（款）审计业务（项）。年初预算为492.97万元，支出决算为301.9万元，完成年初预算的61.24%。决算数小于预算数的主要原因为一是年初预算207.54万元为罚没收入，实际本年未下达，二是审计项目跨年度，项目经费留存下年使用。</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3. 一般公共服务（类）审计事务（款）审计管理（项）。年初预算为22.9万元，支出决算为14.5万元，完成年初预算的63.32 %。决算数小于预算数的主要原因是压减专项培训费支出，财政收回。</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4. 一般公共服务（类）审计事务（款）信息化建设（项）。年初预算为6万元，支出决算为3.32万元，完成年初预算的 55.33%。决算数小于预算数的主要原因为审计项目跨年度，项目经费留存下年使用。</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5.一般公共服务（类）审计事务（款）其他审计事务支出（项）。年初预算为 0.5万元，支出决算为0.3万元，完成年初预算的60%。决算数小于预算数的主要原因是我局门面维护支出减少。</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6.社会保障和就业支出（类）行政事业单位养老支出（款）行政单位离退休（项）。年初预算为 56.44万元，支出决算为59.02 万元，完成年初预算的104.57%。决算数大于预算数的原因是人员变动，财政增加经费拨款。</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7. 社会保障和就业支出（类）行政单位养老支出（款）机关事业单位基本养老保险缴费支出（项）。年初预算为174.19万元，支出决算为 185.13万元，完成年初预算的106.28%，决算数大于预算数的原因是人员变动，财政增加经费拨款。</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8. 社会保障和就业支出（类）行政单位养老支出（款）机关事业单位职业年金缴费支出（项）。年初预算为87.1万元，支出决算为87.1万元，完成年初预算的100%。</w:t>
      </w:r>
    </w:p>
    <w:p>
      <w:pPr>
        <w:numPr>
          <w:ilvl w:val="255"/>
          <w:numId w:val="0"/>
        </w:num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bCs/>
          <w:kern w:val="0"/>
          <w:sz w:val="32"/>
          <w:szCs w:val="32"/>
          <w:highlight w:val="none"/>
        </w:rPr>
        <w:t>9. 社会保障和就业支出（类）抚恤（款）死亡抚恤（项）。年初无预算，支出决算26.75万元。</w:t>
      </w:r>
      <w:r>
        <w:rPr>
          <w:rFonts w:hint="eastAsia" w:ascii="仿宋_GB2312" w:hAnsi="黑体" w:eastAsia="仿宋_GB2312" w:cs="仿宋_GB2312"/>
          <w:color w:val="auto"/>
          <w:kern w:val="0"/>
          <w:sz w:val="32"/>
          <w:szCs w:val="32"/>
          <w:highlight w:val="none"/>
        </w:rPr>
        <w:t>决算大于预算的</w:t>
      </w:r>
      <w:r>
        <w:rPr>
          <w:rFonts w:hint="eastAsia" w:ascii="仿宋_GB2312" w:eastAsia="仿宋_GB2312" w:cs="仿宋_GB2312"/>
          <w:color w:val="auto"/>
          <w:kern w:val="0"/>
          <w:sz w:val="32"/>
          <w:szCs w:val="32"/>
          <w:highlight w:val="none"/>
        </w:rPr>
        <w:t>主要原因为</w:t>
      </w:r>
      <w:r>
        <w:rPr>
          <w:rFonts w:hint="eastAsia" w:ascii="仿宋_GB2312" w:eastAsia="仿宋_GB2312" w:cs="仿宋_GB2312"/>
          <w:color w:val="auto"/>
          <w:kern w:val="0"/>
          <w:sz w:val="32"/>
          <w:szCs w:val="32"/>
          <w:highlight w:val="none"/>
          <w:lang w:eastAsia="zh-CN"/>
        </w:rPr>
        <w:t>年中追加财政拨款预算</w:t>
      </w:r>
      <w:r>
        <w:rPr>
          <w:rFonts w:hint="eastAsia" w:ascii="仿宋_GB2312" w:eastAsia="仿宋_GB2312" w:cs="仿宋_GB2312"/>
          <w:color w:val="auto"/>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10.卫生健康支出（类）行政事业单位医疗（款）行政单位医疗（项）。年初预算为81.65万元，支出决算为86.56万元，完成年初预算的106.01%。决算数大于预算数的原因是人员变动，财政增加经费拨款。</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11.卫生健康支出（类）行政事业单位医疗（款）公务员医疗补助（项）。年初预算为78.67万元，支出决算为88.14万元，完成年初预算的112.04%。决算数大于预算数的原因是人员变动，财政增加经费拨款。</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12.城乡社区支出（类）城乡社区管理事务（款）其他城乡社区管理事务支出（项）。年初预算45万元，支出决算为39.41万元，完成年初预算的87.58%，决算数小于预算数的主要原因一是压减经费支出，财政收回；二是项目跨年度，经费留存下年使用。</w:t>
      </w:r>
    </w:p>
    <w:p>
      <w:pPr>
        <w:numPr>
          <w:ilvl w:val="255"/>
          <w:numId w:val="0"/>
        </w:num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bCs/>
          <w:kern w:val="0"/>
          <w:sz w:val="32"/>
          <w:szCs w:val="32"/>
          <w:highlight w:val="none"/>
        </w:rPr>
        <w:t>13.农林水支出（类）扶贫（款）其他扶贫支出（项）。年初无预算，支出决算为14.2万元。</w:t>
      </w:r>
      <w:r>
        <w:rPr>
          <w:rFonts w:hint="eastAsia" w:ascii="仿宋_GB2312" w:hAnsi="黑体" w:eastAsia="仿宋_GB2312" w:cs="仿宋_GB2312"/>
          <w:color w:val="auto"/>
          <w:kern w:val="0"/>
          <w:sz w:val="32"/>
          <w:szCs w:val="32"/>
          <w:highlight w:val="none"/>
        </w:rPr>
        <w:t>决算大于预算的</w:t>
      </w:r>
      <w:r>
        <w:rPr>
          <w:rFonts w:hint="eastAsia" w:ascii="仿宋_GB2312" w:eastAsia="仿宋_GB2312" w:cs="仿宋_GB2312"/>
          <w:color w:val="auto"/>
          <w:kern w:val="0"/>
          <w:sz w:val="32"/>
          <w:szCs w:val="32"/>
          <w:highlight w:val="none"/>
        </w:rPr>
        <w:t>主要原因为</w:t>
      </w:r>
      <w:r>
        <w:rPr>
          <w:rFonts w:hint="eastAsia" w:ascii="仿宋_GB2312" w:eastAsia="仿宋_GB2312" w:cs="仿宋_GB2312"/>
          <w:color w:val="auto"/>
          <w:kern w:val="0"/>
          <w:sz w:val="32"/>
          <w:szCs w:val="32"/>
          <w:highlight w:val="none"/>
          <w:lang w:eastAsia="zh-CN"/>
        </w:rPr>
        <w:t>年中追加财政拨款预算</w:t>
      </w:r>
      <w:r>
        <w:rPr>
          <w:rFonts w:hint="eastAsia" w:ascii="仿宋_GB2312" w:eastAsia="仿宋_GB2312" w:cs="仿宋_GB2312"/>
          <w:color w:val="auto"/>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14.住房保障支出（类）住房改革支出（款）住房公积金（项）。年初预算数为130.65万元，支出决算为138.49元，完成年初预算的106.00%。决算数大于预算数的原因是人员变动，财政增加经费拨款。</w:t>
      </w:r>
    </w:p>
    <w:p>
      <w:pPr>
        <w:numPr>
          <w:ilvl w:val="255"/>
          <w:numId w:val="0"/>
        </w:numPr>
        <w:autoSpaceDE w:val="0"/>
        <w:autoSpaceDN w:val="0"/>
        <w:adjustRightInd w:val="0"/>
        <w:spacing w:line="56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bCs/>
          <w:kern w:val="0"/>
          <w:sz w:val="32"/>
          <w:szCs w:val="32"/>
          <w:highlight w:val="none"/>
        </w:rPr>
        <w:t>15.住房保障支出（类）住房改革支出（款）购房补贴（项）。年初无预算，支出决算为2.6万元。</w:t>
      </w:r>
      <w:r>
        <w:rPr>
          <w:rFonts w:hint="eastAsia" w:ascii="仿宋_GB2312" w:hAnsi="黑体" w:eastAsia="仿宋_GB2312" w:cs="仿宋_GB2312"/>
          <w:color w:val="auto"/>
          <w:kern w:val="0"/>
          <w:sz w:val="32"/>
          <w:szCs w:val="32"/>
          <w:highlight w:val="none"/>
        </w:rPr>
        <w:t>决算大于预算的</w:t>
      </w:r>
      <w:r>
        <w:rPr>
          <w:rFonts w:hint="eastAsia" w:ascii="仿宋_GB2312" w:eastAsia="仿宋_GB2312" w:cs="仿宋_GB2312"/>
          <w:color w:val="auto"/>
          <w:kern w:val="0"/>
          <w:sz w:val="32"/>
          <w:szCs w:val="32"/>
          <w:highlight w:val="none"/>
        </w:rPr>
        <w:t>主要原因为</w:t>
      </w:r>
      <w:r>
        <w:rPr>
          <w:rFonts w:hint="eastAsia" w:ascii="仿宋_GB2312" w:eastAsia="仿宋_GB2312" w:cs="仿宋_GB2312"/>
          <w:color w:val="auto"/>
          <w:kern w:val="0"/>
          <w:sz w:val="32"/>
          <w:szCs w:val="32"/>
          <w:highlight w:val="none"/>
          <w:lang w:eastAsia="zh-CN"/>
        </w:rPr>
        <w:t>发放购房补贴</w:t>
      </w:r>
      <w:r>
        <w:rPr>
          <w:rFonts w:hint="eastAsia" w:ascii="仿宋_GB2312" w:eastAsia="仿宋_GB2312" w:cs="仿宋_GB2312"/>
          <w:color w:val="auto"/>
          <w:kern w:val="0"/>
          <w:sz w:val="32"/>
          <w:szCs w:val="32"/>
          <w:highlight w:val="none"/>
        </w:rPr>
        <w:t>，财政增加经费拨款。</w:t>
      </w:r>
    </w:p>
    <w:p>
      <w:pPr>
        <w:autoSpaceDE w:val="0"/>
        <w:autoSpaceDN w:val="0"/>
        <w:adjustRightInd w:val="0"/>
        <w:spacing w:line="580" w:lineRule="exact"/>
        <w:ind w:firstLine="640" w:firstLineChars="200"/>
        <w:jc w:val="left"/>
        <w:rPr>
          <w:rFonts w:ascii="仿宋_GB2312" w:eastAsia="仿宋_GB2312" w:cs="仿宋_GB2312"/>
          <w:b/>
          <w:kern w:val="0"/>
          <w:sz w:val="32"/>
          <w:szCs w:val="32"/>
          <w:highlight w:val="none"/>
        </w:rPr>
      </w:pPr>
      <w:r>
        <w:rPr>
          <w:rFonts w:hint="eastAsia" w:ascii="仿宋_GB2312" w:eastAsia="仿宋_GB2312" w:cs="仿宋_GB2312"/>
          <w:bCs/>
          <w:kern w:val="0"/>
          <w:sz w:val="32"/>
          <w:szCs w:val="32"/>
          <w:highlight w:val="none"/>
        </w:rPr>
        <w:t>六、</w:t>
      </w:r>
      <w:r>
        <w:rPr>
          <w:rFonts w:hint="eastAsia" w:ascii="仿宋_GB2312" w:eastAsia="仿宋_GB2312" w:cs="仿宋_GB2312"/>
          <w:b/>
          <w:kern w:val="0"/>
          <w:sz w:val="32"/>
          <w:szCs w:val="32"/>
          <w:highlight w:val="none"/>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2020年度财政拨款基本支出2103.18万元，其中：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人员经费1851.88万元，主要包括：基本工资、津贴补贴、 奖金、伙食补助费、绩效工资、机关事业单位基本养老保险缴费、职业年金缴费、职工基本医疗保险缴费、公务员医疗补助缴费、其他社会保障缴费、住房公积金、其他工资福利支出、 对个人和家庭的补助、退休费、抚恤金、其他对个人和家庭的补助。</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公用经费251.3万元，主要 包括：办公费、印刷费、水费、电费、邮电费、物业管理费、差旅费、维修（护）费、会议费、培训费、公务接待费、劳务费、工会经费、其他交通费用、其他商品和服务支出。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七、</w:t>
      </w:r>
      <w:r>
        <w:rPr>
          <w:rFonts w:hint="eastAsia" w:ascii="仿宋_GB2312" w:eastAsia="仿宋_GB2312" w:cs="仿宋_GB2312"/>
          <w:b/>
          <w:kern w:val="0"/>
          <w:sz w:val="32"/>
          <w:szCs w:val="32"/>
          <w:highlight w:val="none"/>
        </w:rPr>
        <w:t>2020 年度一般公共预算财政拨款“三公” 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2020 年度“三公”经费财政拨款支出预算为12.87万元，支出决算为1.78万元，完成预算的13.83%，其中：因公出国（境）费支出决算为0万元，年初无预算；公务用车购置及运行费支出决算为0万元，年初无预算；公务接待费支出决算为1.78万元，完成预算的13.83%。2020年度“三公”经费支出决算数小于预算数的主要原因是认真贯彻落实中央</w:t>
      </w:r>
      <w:bookmarkStart w:id="0" w:name="_GoBack"/>
      <w:r>
        <w:rPr>
          <w:rFonts w:hint="eastAsia" w:ascii="仿宋_GB2312" w:eastAsia="仿宋_GB2312" w:cs="仿宋_GB2312"/>
          <w:bCs/>
          <w:kern w:val="0"/>
          <w:sz w:val="32"/>
          <w:szCs w:val="32"/>
          <w:highlight w:val="none"/>
        </w:rPr>
        <w:t>八项</w:t>
      </w:r>
      <w:bookmarkEnd w:id="0"/>
      <w:r>
        <w:rPr>
          <w:rFonts w:hint="eastAsia" w:ascii="仿宋_GB2312" w:eastAsia="仿宋_GB2312" w:cs="仿宋_GB2312"/>
          <w:bCs/>
          <w:kern w:val="0"/>
          <w:sz w:val="32"/>
          <w:szCs w:val="32"/>
          <w:highlight w:val="none"/>
        </w:rPr>
        <w:t>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2020年度“三公”经费财政拨款支出决算数比2019年减少4.85万元，下降73.15%，其中：因公出国（境）费支出决 算0万元；公务用车购置及运行费支出决算0万元；公务接待费支出决算减少3.07万元，下降63.30%。</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因公出国（境）费支出与上年持平，都为0万元；公务用车购置及运行费支出减少的主要原因是我局不保有公务车的编制数，只保有公务车的使用权，2020年公务车经费支出不在我单位列支；公务接待费支出减少的主要原因是认真贯彻落实中央八项规定精神和厉行节约要求，进一步从严控制“三公”经费开支，全年实际支出比预算有所节约。</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2020年度“三公”经费财政拨款支出决算中，因公出国（境）费支出决算0万元；公务用车购置及运行费支出决算0万元；公务接待费支出决算1.78万元，占100 %。具体情况如下：  </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1.因公出国（境）费支出0万元。全年安排机关和所属单位因公出国 （境）团组0个，累计0人次。</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2.公务用车购置及运行费支出0万元。其中：公务用车购置支出为0万元。公务用车运行支出0万元。2020年，机关所属单位开支财政拨款的公务用车保有量为0辆。</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3.公务接待费支出1.78万元。其中：</w:t>
      </w:r>
    </w:p>
    <w:p>
      <w:pPr>
        <w:autoSpaceDE w:val="0"/>
        <w:autoSpaceDN w:val="0"/>
        <w:adjustRightInd w:val="0"/>
        <w:spacing w:line="580" w:lineRule="exact"/>
        <w:ind w:firstLine="645"/>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外宾接待支出0万元。</w:t>
      </w:r>
    </w:p>
    <w:p>
      <w:pPr>
        <w:autoSpaceDE w:val="0"/>
        <w:autoSpaceDN w:val="0"/>
        <w:adjustRightInd w:val="0"/>
        <w:spacing w:line="580" w:lineRule="exact"/>
        <w:ind w:firstLine="645"/>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国内公务接待支出1.78万元。主要用于上级审计机关和其他地市审计机关等。2020 年共接待国内来访团组17个、来宾145人次。</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八、</w:t>
      </w:r>
      <w:r>
        <w:rPr>
          <w:rFonts w:hint="eastAsia" w:ascii="仿宋_GB2312" w:eastAsia="仿宋_GB2312" w:cs="仿宋_GB2312"/>
          <w:b/>
          <w:kern w:val="0"/>
          <w:sz w:val="32"/>
          <w:szCs w:val="32"/>
          <w:highlight w:val="none"/>
        </w:rPr>
        <w:t xml:space="preserve">2020 年度政府性基金预算财政拨款收入支出决算情况说明 </w:t>
      </w:r>
    </w:p>
    <w:p>
      <w:pPr>
        <w:autoSpaceDE w:val="0"/>
        <w:autoSpaceDN w:val="0"/>
        <w:adjustRightInd w:val="0"/>
        <w:spacing w:line="560" w:lineRule="exact"/>
        <w:ind w:firstLine="645"/>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2020年度柳州市审计局没有政府性基金预算财政拨款收入，也没有政府性基金预算财政拨款安排的支出。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九、国有资本经营预算财政拨款支出情况说明</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
          <w:kern w:val="0"/>
          <w:sz w:val="32"/>
          <w:szCs w:val="32"/>
          <w:highlight w:val="none"/>
        </w:rPr>
        <w:t xml:space="preserve">    </w:t>
      </w:r>
      <w:r>
        <w:rPr>
          <w:rFonts w:hint="eastAsia" w:ascii="仿宋_GB2312" w:eastAsia="仿宋_GB2312" w:cs="仿宋_GB2312"/>
          <w:bCs/>
          <w:kern w:val="0"/>
          <w:sz w:val="32"/>
          <w:szCs w:val="32"/>
          <w:highlight w:val="none"/>
        </w:rPr>
        <w:t>2020年度国有资本经营预算财政拨款本年支出0万元。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eastAsia="仿宋_GB2312"/>
          <w:b/>
          <w:kern w:val="0"/>
          <w:sz w:val="32"/>
          <w:szCs w:val="32"/>
          <w:highlight w:val="none"/>
        </w:rPr>
        <w:t>十、2020</w:t>
      </w:r>
      <w:r>
        <w:rPr>
          <w:rFonts w:hint="eastAsia" w:ascii="仿宋_GB2312" w:eastAsia="仿宋_GB2312" w:cs="仿宋_GB2312"/>
          <w:b/>
          <w:kern w:val="0"/>
          <w:sz w:val="32"/>
          <w:szCs w:val="32"/>
          <w:highlight w:val="none"/>
        </w:rPr>
        <w:t xml:space="preserve"> 年度预算绩效情况说明</w:t>
      </w:r>
    </w:p>
    <w:p>
      <w:pPr>
        <w:numPr>
          <w:ilvl w:val="0"/>
          <w:numId w:val="2"/>
        </w:numPr>
        <w:autoSpaceDE w:val="0"/>
        <w:autoSpaceDN w:val="0"/>
        <w:adjustRightInd w:val="0"/>
        <w:spacing w:line="580" w:lineRule="exact"/>
        <w:ind w:firstLine="64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绩效管理工作开展情况</w:t>
      </w:r>
    </w:p>
    <w:p>
      <w:pPr>
        <w:autoSpaceDE w:val="0"/>
        <w:autoSpaceDN w:val="0"/>
        <w:adjustRightInd w:val="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为提高预算编制的科学性、合理性，更好地发挥财政资金使用效益，在编制年初预算的同时，我局每年还按要求上报单位整体支出绩效目标申报表（我单位的项目支出金额不符合项目支出绩效目标申报条件），经人大财经委审核通过后，用于指导我局全年的预算绩效管理工作。年度工作结束后积极开展单位整体支出预算绩效自评，并向市预算绩效管理局按时上报预算支出绩效自评表及自评报告。 </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（一）机关运行经费支出情况。2020年度部门机关运行经费支出251.30万元，比 2019年增加83.43万元，增长49.70%，增长的原因为人数增加，经费增加。</w:t>
      </w:r>
    </w:p>
    <w:p>
      <w:pPr>
        <w:autoSpaceDE w:val="0"/>
        <w:autoSpaceDN w:val="0"/>
        <w:adjustRightInd w:val="0"/>
        <w:spacing w:line="580" w:lineRule="exact"/>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（二）政府采购支出情况。2020年度部门政府采购支出总额5.99万元，其中：货物支出5.99万元、工程支出0万元、服务支出0万元。</w:t>
      </w:r>
    </w:p>
    <w:p>
      <w:pPr>
        <w:autoSpaceDE w:val="0"/>
        <w:autoSpaceDN w:val="0"/>
        <w:adjustRightInd w:val="0"/>
        <w:spacing w:line="580" w:lineRule="exact"/>
        <w:ind w:firstLine="627" w:firstLineChars="196"/>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 xml:space="preserve">（三）国有资产占用情况。截至年末部门共有车辆0辆，其中：公务用车0 辆；执法执勤用车0辆；专业技术用车0 辆；单价50万元 以上通用设备0台（套），单价100 万元以上专用设备0台（套）。 </w:t>
      </w:r>
    </w:p>
    <w:p>
      <w:pPr>
        <w:spacing w:line="580" w:lineRule="exact"/>
        <w:ind w:firstLine="645"/>
        <w:rPr>
          <w:rFonts w:ascii="仿宋_GB2312" w:eastAsia="仿宋_GB2312"/>
          <w:b/>
          <w:sz w:val="32"/>
          <w:szCs w:val="32"/>
          <w:highlight w:val="none"/>
        </w:rPr>
      </w:pPr>
      <w:r>
        <w:rPr>
          <w:rFonts w:hint="eastAsia" w:ascii="仿宋_GB2312" w:eastAsia="仿宋_GB2312"/>
          <w:b/>
          <w:sz w:val="32"/>
          <w:szCs w:val="32"/>
          <w:highlight w:val="none"/>
        </w:rPr>
        <w:t>第四部分：名词解释</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财政拨款收入：指市本级财政当年拨付的资金。</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sz w:val="32"/>
          <w:szCs w:val="32"/>
          <w:highlight w:val="none"/>
        </w:rPr>
        <w:t>使用非财政拨款结余</w:t>
      </w:r>
      <w:r>
        <w:rPr>
          <w:rFonts w:hint="eastAsia" w:ascii="仿宋_GB2312" w:eastAsia="仿宋_GB2312"/>
          <w:bCs/>
          <w:sz w:val="32"/>
          <w:szCs w:val="32"/>
          <w:highlight w:val="none"/>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highlight w:val="none"/>
        </w:rPr>
      </w:pPr>
    </w:p>
    <w:p>
      <w:pPr>
        <w:rPr>
          <w:highlight w:val="none"/>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- 7 -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E839E"/>
    <w:multiLevelType w:val="singleLevel"/>
    <w:tmpl w:val="197E839E"/>
    <w:lvl w:ilvl="0" w:tentative="0">
      <w:start w:val="1"/>
      <w:numFmt w:val="decimal"/>
      <w:lvlText w:val="%1."/>
      <w:lvlJc w:val="left"/>
      <w:pPr>
        <w:tabs>
          <w:tab w:val="left" w:pos="312"/>
        </w:tabs>
      </w:pPr>
    </w:lvl>
  </w:abstractNum>
  <w:abstractNum w:abstractNumId="1">
    <w:nsid w:val="5B3C894F"/>
    <w:multiLevelType w:val="singleLevel"/>
    <w:tmpl w:val="5B3C894F"/>
    <w:lvl w:ilvl="0" w:tentative="0">
      <w:start w:val="1"/>
      <w:numFmt w:val="chineseCounting"/>
      <w:suff w:val="nothing"/>
      <w:lvlText w:val="（%1）"/>
      <w:lvlJc w:val="left"/>
      <w:pPr>
        <w:ind w:left="-220"/>
      </w:pPr>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04F1F"/>
    <w:rsid w:val="00066CA3"/>
    <w:rsid w:val="00071FA8"/>
    <w:rsid w:val="00143E87"/>
    <w:rsid w:val="00374950"/>
    <w:rsid w:val="00385377"/>
    <w:rsid w:val="003B3E6D"/>
    <w:rsid w:val="004303DA"/>
    <w:rsid w:val="004422EA"/>
    <w:rsid w:val="00462E7D"/>
    <w:rsid w:val="004929D3"/>
    <w:rsid w:val="00526B13"/>
    <w:rsid w:val="00686296"/>
    <w:rsid w:val="006C1367"/>
    <w:rsid w:val="00715385"/>
    <w:rsid w:val="00727E66"/>
    <w:rsid w:val="00836AB6"/>
    <w:rsid w:val="008616E3"/>
    <w:rsid w:val="008817FC"/>
    <w:rsid w:val="008960B7"/>
    <w:rsid w:val="00A31E59"/>
    <w:rsid w:val="00AD143B"/>
    <w:rsid w:val="00AE1EFF"/>
    <w:rsid w:val="00B34392"/>
    <w:rsid w:val="00BA2E07"/>
    <w:rsid w:val="00C5554A"/>
    <w:rsid w:val="00CA0758"/>
    <w:rsid w:val="00CA7BAD"/>
    <w:rsid w:val="00DA28CF"/>
    <w:rsid w:val="00F339F9"/>
    <w:rsid w:val="00F66C5B"/>
    <w:rsid w:val="00F732E8"/>
    <w:rsid w:val="00FA197B"/>
    <w:rsid w:val="01176031"/>
    <w:rsid w:val="02490AD2"/>
    <w:rsid w:val="0589619D"/>
    <w:rsid w:val="0D804EF3"/>
    <w:rsid w:val="0E074DDF"/>
    <w:rsid w:val="0E903D58"/>
    <w:rsid w:val="124204B5"/>
    <w:rsid w:val="182962AB"/>
    <w:rsid w:val="19D073EB"/>
    <w:rsid w:val="1A3D4330"/>
    <w:rsid w:val="1AE34F7C"/>
    <w:rsid w:val="1CC31F67"/>
    <w:rsid w:val="1D472B83"/>
    <w:rsid w:val="2156796D"/>
    <w:rsid w:val="24D337DC"/>
    <w:rsid w:val="26460DBA"/>
    <w:rsid w:val="27B76B81"/>
    <w:rsid w:val="2B324E84"/>
    <w:rsid w:val="2B6F74EB"/>
    <w:rsid w:val="2C4219FE"/>
    <w:rsid w:val="2F84027F"/>
    <w:rsid w:val="34020F86"/>
    <w:rsid w:val="341938E1"/>
    <w:rsid w:val="3871196E"/>
    <w:rsid w:val="390926B5"/>
    <w:rsid w:val="39A63F06"/>
    <w:rsid w:val="3ED1439F"/>
    <w:rsid w:val="42636461"/>
    <w:rsid w:val="438A3ED5"/>
    <w:rsid w:val="48374EDC"/>
    <w:rsid w:val="4B350B7E"/>
    <w:rsid w:val="4C256E3D"/>
    <w:rsid w:val="4CB52F0F"/>
    <w:rsid w:val="4FE9132F"/>
    <w:rsid w:val="532F1F9A"/>
    <w:rsid w:val="546B5E9B"/>
    <w:rsid w:val="5C6E4AF1"/>
    <w:rsid w:val="5E995A3E"/>
    <w:rsid w:val="62163194"/>
    <w:rsid w:val="624D024D"/>
    <w:rsid w:val="650E086A"/>
    <w:rsid w:val="68907702"/>
    <w:rsid w:val="699B5F10"/>
    <w:rsid w:val="6A5B0EBA"/>
    <w:rsid w:val="6BAA0708"/>
    <w:rsid w:val="6EAF6468"/>
    <w:rsid w:val="701D5CA8"/>
    <w:rsid w:val="74211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6648</Words>
  <Characters>7239</Characters>
  <Lines>52</Lines>
  <Paragraphs>14</Paragraphs>
  <TotalTime>28</TotalTime>
  <ScaleCrop>false</ScaleCrop>
  <LinksUpToDate>false</LinksUpToDate>
  <CharactersWithSpaces>7356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2022-10-28T08:01:54Z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230AD7A56AFA4584AF0F2925BBBF7B61</vt:lpwstr>
  </property>
</Properties>
</file>