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48"/>
          <w:szCs w:val="48"/>
        </w:rPr>
      </w:pPr>
    </w:p>
    <w:p>
      <w:pPr>
        <w:spacing w:line="360" w:lineRule="auto"/>
        <w:rPr>
          <w:rFonts w:hint="eastAsia" w:ascii="宋体" w:hAnsi="宋体" w:eastAsia="宋体" w:cs="宋体"/>
          <w:kern w:val="0"/>
          <w:sz w:val="48"/>
          <w:szCs w:val="48"/>
        </w:rPr>
      </w:pPr>
    </w:p>
    <w:p>
      <w:pPr>
        <w:spacing w:line="360" w:lineRule="auto"/>
        <w:rPr>
          <w:rFonts w:hint="eastAsia" w:ascii="宋体" w:hAnsi="宋体" w:eastAsia="宋体" w:cs="宋体"/>
          <w:b/>
          <w:bCs/>
          <w:kern w:val="0"/>
          <w:sz w:val="48"/>
          <w:szCs w:val="48"/>
        </w:rPr>
      </w:pPr>
    </w:p>
    <w:p>
      <w:pPr>
        <w:spacing w:line="600" w:lineRule="auto"/>
        <w:jc w:val="center"/>
        <w:rPr>
          <w:rFonts w:hint="eastAsia" w:ascii="宋体" w:hAnsi="宋体" w:eastAsia="宋体" w:cs="宋体"/>
          <w:b/>
          <w:bCs/>
          <w:color w:val="000000"/>
          <w:sz w:val="48"/>
          <w:szCs w:val="48"/>
        </w:rPr>
      </w:pPr>
      <w:r>
        <w:rPr>
          <w:rFonts w:hint="eastAsia" w:ascii="宋体" w:hAnsi="宋体" w:eastAsia="宋体" w:cs="宋体"/>
          <w:b/>
          <w:bCs/>
          <w:kern w:val="0"/>
          <w:sz w:val="48"/>
          <w:szCs w:val="48"/>
        </w:rPr>
        <w:t>柳州市</w:t>
      </w:r>
      <w:r>
        <w:rPr>
          <w:rFonts w:hint="eastAsia" w:ascii="宋体" w:hAnsi="宋体" w:eastAsia="宋体" w:cs="宋体"/>
          <w:b/>
          <w:bCs/>
          <w:color w:val="000000"/>
          <w:sz w:val="48"/>
          <w:szCs w:val="48"/>
        </w:rPr>
        <w:t>人民政府办公室</w:t>
      </w:r>
    </w:p>
    <w:p>
      <w:pPr>
        <w:spacing w:line="600" w:lineRule="auto"/>
        <w:jc w:val="center"/>
        <w:rPr>
          <w:rFonts w:hint="eastAsia" w:ascii="宋体" w:hAnsi="宋体" w:eastAsia="宋体" w:cs="宋体"/>
          <w:b/>
          <w:bCs/>
          <w:kern w:val="0"/>
          <w:sz w:val="48"/>
          <w:szCs w:val="48"/>
        </w:rPr>
      </w:pPr>
      <w:r>
        <w:rPr>
          <w:rFonts w:hint="eastAsia" w:ascii="宋体" w:hAnsi="宋体" w:eastAsia="宋体" w:cs="宋体"/>
          <w:b/>
          <w:bCs/>
          <w:kern w:val="0"/>
          <w:sz w:val="48"/>
          <w:szCs w:val="48"/>
        </w:rPr>
        <w:t>2020年度部门决算</w:t>
      </w: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jc w:val="both"/>
        <w:rPr>
          <w:rFonts w:hint="eastAsia" w:ascii="宋体" w:hAnsi="宋体" w:eastAsia="宋体" w:cs="宋体"/>
          <w:kern w:val="0"/>
          <w:sz w:val="28"/>
          <w:szCs w:val="28"/>
        </w:rPr>
      </w:pPr>
    </w:p>
    <w:p>
      <w:pPr>
        <w:spacing w:line="360" w:lineRule="auto"/>
        <w:ind w:firstLine="646"/>
        <w:jc w:val="center"/>
        <w:rPr>
          <w:rFonts w:hint="eastAsia" w:ascii="宋体" w:hAnsi="宋体" w:eastAsia="宋体" w:cs="宋体"/>
          <w:b/>
          <w:bCs/>
          <w:sz w:val="28"/>
          <w:szCs w:val="28"/>
        </w:rPr>
      </w:pPr>
      <w:r>
        <w:rPr>
          <w:rFonts w:hint="eastAsia" w:ascii="宋体" w:hAnsi="宋体" w:eastAsia="宋体" w:cs="宋体"/>
          <w:b/>
          <w:bCs/>
          <w:sz w:val="28"/>
          <w:szCs w:val="28"/>
        </w:rPr>
        <w:t>目    录</w:t>
      </w:r>
    </w:p>
    <w:p>
      <w:pPr>
        <w:spacing w:line="360" w:lineRule="auto"/>
        <w:ind w:firstLine="645"/>
        <w:rPr>
          <w:rFonts w:hint="eastAsia" w:ascii="宋体" w:hAnsi="宋体" w:eastAsia="宋体" w:cs="宋体"/>
          <w:b/>
          <w:bCs/>
          <w:sz w:val="28"/>
          <w:szCs w:val="28"/>
        </w:rPr>
      </w:pPr>
    </w:p>
    <w:p>
      <w:pPr>
        <w:spacing w:line="360" w:lineRule="auto"/>
        <w:ind w:firstLine="645"/>
        <w:rPr>
          <w:rFonts w:hint="eastAsia" w:ascii="宋体" w:hAnsi="宋体" w:eastAsia="宋体" w:cs="宋体"/>
          <w:b/>
          <w:bCs/>
          <w:sz w:val="28"/>
          <w:szCs w:val="28"/>
        </w:rPr>
      </w:pPr>
      <w:r>
        <w:rPr>
          <w:rFonts w:hint="eastAsia" w:ascii="宋体" w:hAnsi="宋体" w:eastAsia="宋体" w:cs="宋体"/>
          <w:b/>
          <w:bCs/>
          <w:sz w:val="28"/>
          <w:szCs w:val="28"/>
        </w:rPr>
        <w:t>第一部分：</w:t>
      </w:r>
      <w:r>
        <w:rPr>
          <w:rFonts w:hint="eastAsia" w:ascii="宋体" w:hAnsi="宋体" w:eastAsia="宋体" w:cs="宋体"/>
          <w:b/>
          <w:bCs/>
          <w:color w:val="000000"/>
          <w:sz w:val="28"/>
          <w:szCs w:val="28"/>
        </w:rPr>
        <w:t>柳州市人民政府办公室</w:t>
      </w:r>
      <w:r>
        <w:rPr>
          <w:rFonts w:hint="eastAsia" w:ascii="宋体" w:hAnsi="宋体" w:eastAsia="宋体" w:cs="宋体"/>
          <w:b/>
          <w:bCs/>
          <w:sz w:val="28"/>
          <w:szCs w:val="28"/>
        </w:rPr>
        <w:t>概况</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一、主要职能</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二、部门决算单位构成</w:t>
      </w:r>
    </w:p>
    <w:p>
      <w:pPr>
        <w:spacing w:line="360" w:lineRule="auto"/>
        <w:ind w:firstLine="645"/>
        <w:rPr>
          <w:rFonts w:hint="eastAsia" w:ascii="宋体" w:hAnsi="宋体" w:eastAsia="宋体" w:cs="宋体"/>
          <w:b/>
          <w:bCs/>
          <w:sz w:val="28"/>
          <w:szCs w:val="28"/>
        </w:rPr>
      </w:pPr>
      <w:r>
        <w:rPr>
          <w:rFonts w:hint="eastAsia" w:ascii="宋体" w:hAnsi="宋体" w:eastAsia="宋体" w:cs="宋体"/>
          <w:b/>
          <w:bCs/>
          <w:sz w:val="28"/>
          <w:szCs w:val="28"/>
        </w:rPr>
        <w:t>第二部分：</w:t>
      </w:r>
      <w:r>
        <w:rPr>
          <w:rFonts w:hint="eastAsia" w:ascii="宋体" w:hAnsi="宋体" w:eastAsia="宋体" w:cs="宋体"/>
          <w:b/>
          <w:bCs/>
          <w:color w:val="000000"/>
          <w:sz w:val="28"/>
          <w:szCs w:val="28"/>
        </w:rPr>
        <w:t>柳州市人民政府办公室</w:t>
      </w:r>
      <w:r>
        <w:rPr>
          <w:rFonts w:hint="eastAsia" w:ascii="宋体" w:hAnsi="宋体" w:eastAsia="宋体" w:cs="宋体"/>
          <w:b/>
          <w:bCs/>
          <w:sz w:val="28"/>
          <w:szCs w:val="28"/>
        </w:rPr>
        <w:t>2020年部门决算报表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表一：收入支出决算总表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表二：收入决算表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表三：支出决算表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表四：财政拨款收入支出决算总表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表五：一般公共预算财政拨款支出决算表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表六：一般公共预算财政拨款基本支出决算表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表七：一般公共预算财政拨款安排的“三公”经费支出决算表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表八：政府性基金预算财政拨款收入支出决算表</w:t>
      </w:r>
    </w:p>
    <w:p>
      <w:pPr>
        <w:spacing w:line="360" w:lineRule="auto"/>
        <w:ind w:left="645"/>
        <w:rPr>
          <w:rFonts w:hint="eastAsia" w:ascii="宋体" w:hAnsi="宋体" w:eastAsia="宋体" w:cs="宋体"/>
          <w:sz w:val="28"/>
          <w:szCs w:val="28"/>
        </w:rPr>
      </w:pPr>
      <w:r>
        <w:rPr>
          <w:rFonts w:hint="eastAsia" w:ascii="宋体" w:hAnsi="宋体" w:eastAsia="宋体" w:cs="宋体"/>
          <w:sz w:val="28"/>
          <w:szCs w:val="28"/>
        </w:rPr>
        <w:t>表九：国有资本经营预算财政拨款支出决算表</w:t>
      </w:r>
    </w:p>
    <w:p>
      <w:pPr>
        <w:spacing w:line="360" w:lineRule="auto"/>
        <w:ind w:firstLine="645"/>
        <w:rPr>
          <w:rFonts w:hint="eastAsia" w:ascii="宋体" w:hAnsi="宋体" w:eastAsia="宋体" w:cs="宋体"/>
          <w:b/>
          <w:bCs/>
          <w:sz w:val="28"/>
          <w:szCs w:val="28"/>
        </w:rPr>
      </w:pPr>
      <w:r>
        <w:rPr>
          <w:rFonts w:hint="eastAsia" w:ascii="宋体" w:hAnsi="宋体" w:eastAsia="宋体" w:cs="宋体"/>
          <w:b/>
          <w:bCs/>
          <w:sz w:val="28"/>
          <w:szCs w:val="28"/>
        </w:rPr>
        <w:t>第三部分：</w:t>
      </w:r>
      <w:r>
        <w:rPr>
          <w:rFonts w:hint="eastAsia" w:ascii="宋体" w:hAnsi="宋体" w:eastAsia="宋体" w:cs="宋体"/>
          <w:b/>
          <w:bCs/>
          <w:color w:val="000000"/>
          <w:sz w:val="28"/>
          <w:szCs w:val="28"/>
        </w:rPr>
        <w:t>柳州市人民政府办公室</w:t>
      </w:r>
      <w:r>
        <w:rPr>
          <w:rFonts w:hint="eastAsia" w:ascii="宋体" w:hAnsi="宋体" w:eastAsia="宋体" w:cs="宋体"/>
          <w:b/>
          <w:bCs/>
          <w:sz w:val="28"/>
          <w:szCs w:val="28"/>
        </w:rPr>
        <w:t>2020年度部门决算情况说明</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一、2020 年度收入支出决算总体情况。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二、2020 年度收入决算情况。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三、2020 年度支出决算情况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四、2020年度财政拨款收入支出决算情况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五、2020 年度一般公共预算财政拨款支出决算情况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六、2020 年度一般公共预算财政拨款基本支出决算情况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七、2020 年度一般公共预算财政拨款“三公”经费支出决算情况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八、2020 年度政府性基金预算财政拨款收入支出决算情况</w:t>
      </w:r>
    </w:p>
    <w:p>
      <w:pPr>
        <w:spacing w:line="360" w:lineRule="auto"/>
        <w:ind w:left="645"/>
        <w:rPr>
          <w:rFonts w:hint="eastAsia" w:ascii="宋体" w:hAnsi="宋体" w:eastAsia="宋体" w:cs="宋体"/>
          <w:kern w:val="0"/>
          <w:sz w:val="28"/>
          <w:szCs w:val="28"/>
        </w:rPr>
      </w:pPr>
      <w:r>
        <w:rPr>
          <w:rFonts w:hint="eastAsia" w:ascii="宋体" w:hAnsi="宋体" w:eastAsia="宋体" w:cs="宋体"/>
          <w:kern w:val="0"/>
          <w:sz w:val="28"/>
          <w:szCs w:val="28"/>
        </w:rPr>
        <w:t>九、</w:t>
      </w:r>
      <w:r>
        <w:rPr>
          <w:rFonts w:hint="eastAsia" w:ascii="宋体" w:hAnsi="宋体" w:eastAsia="宋体" w:cs="宋体"/>
          <w:sz w:val="28"/>
          <w:szCs w:val="28"/>
        </w:rPr>
        <w:t>国有资本经营预算财政拨款支出决算情况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十、2020 年度预算绩效情况说明</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十一、其他重要事项的情况说明</w:t>
      </w:r>
    </w:p>
    <w:p>
      <w:pPr>
        <w:spacing w:line="360" w:lineRule="auto"/>
        <w:ind w:firstLine="645"/>
        <w:rPr>
          <w:rFonts w:hint="eastAsia" w:ascii="宋体" w:hAnsi="宋体" w:eastAsia="宋体" w:cs="宋体"/>
          <w:b/>
          <w:bCs/>
          <w:sz w:val="28"/>
          <w:szCs w:val="28"/>
        </w:rPr>
      </w:pPr>
      <w:r>
        <w:rPr>
          <w:rFonts w:hint="eastAsia" w:ascii="宋体" w:hAnsi="宋体" w:eastAsia="宋体" w:cs="宋体"/>
          <w:b/>
          <w:bCs/>
          <w:sz w:val="28"/>
          <w:szCs w:val="28"/>
        </w:rPr>
        <w:t>第四部分：名词解释</w:t>
      </w:r>
    </w:p>
    <w:p>
      <w:pPr>
        <w:spacing w:line="360" w:lineRule="auto"/>
        <w:ind w:firstLine="646"/>
        <w:jc w:val="center"/>
        <w:rPr>
          <w:rFonts w:hint="eastAsia" w:ascii="宋体" w:hAnsi="宋体" w:eastAsia="宋体" w:cs="宋体"/>
          <w:b/>
          <w:bCs/>
          <w:sz w:val="28"/>
          <w:szCs w:val="28"/>
        </w:rPr>
      </w:pPr>
      <w:r>
        <w:rPr>
          <w:rFonts w:hint="eastAsia" w:ascii="宋体" w:hAnsi="宋体" w:eastAsia="宋体" w:cs="宋体"/>
          <w:kern w:val="0"/>
          <w:sz w:val="28"/>
          <w:szCs w:val="28"/>
        </w:rPr>
        <w:br w:type="page"/>
      </w:r>
      <w:r>
        <w:rPr>
          <w:rFonts w:hint="eastAsia" w:ascii="宋体" w:hAnsi="宋体" w:eastAsia="宋体" w:cs="宋体"/>
          <w:b/>
          <w:bCs/>
          <w:sz w:val="28"/>
          <w:szCs w:val="28"/>
        </w:rPr>
        <w:t>第一部分：</w:t>
      </w:r>
      <w:r>
        <w:rPr>
          <w:rFonts w:hint="eastAsia" w:ascii="宋体" w:hAnsi="宋体" w:eastAsia="宋体" w:cs="宋体"/>
          <w:b/>
          <w:bCs/>
          <w:color w:val="000000"/>
          <w:sz w:val="28"/>
          <w:szCs w:val="28"/>
        </w:rPr>
        <w:t>柳州市人民政府办公室</w:t>
      </w:r>
      <w:r>
        <w:rPr>
          <w:rFonts w:hint="eastAsia" w:ascii="宋体" w:hAnsi="宋体" w:eastAsia="宋体" w:cs="宋体"/>
          <w:b/>
          <w:bCs/>
          <w:sz w:val="28"/>
          <w:szCs w:val="28"/>
        </w:rPr>
        <w:t>概况</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一、主要职能</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柳州市人民政府办公室是市人民政府的参谋部门和综合办事机构，承担市政府的日常政务和事务性工作。主要职责如下：</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（一）负责办理自治区人民政府和自治区人民政府办公厅下发的文电；</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（二）协助人民政府领导同志组织起草或审核以人民政府、市人民政府办公室名义发布的公文；</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三）负责督促检查市人民政府各部门和各级人民政府对自治区人民政府、自治区人民政府办公厅和市各级人民政府各项决议、决定、重要工作部署及领导同志重要批示的贯彻执行情况并跟踪调研，及时向市人民政府领导同志报告；</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（四）协助市人民政府领导同志组织处理需由市人民政府直接处理的突发事件和重大事故；</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（五）及时采编各类信息，全面反映全市经济和社会发展动态，为市政府领导决策服务；</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（六）负责市人民政府值班工作，及时向市人民政府领导同志报告重要情况，传达和督促落实市人民政府领导同志指示，协助处理市直各部门、各有关单位以及各级人民政府反映的重要问题；</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（七）负责搞好综合协调，加强督促检查；做好市领导外出、下基层、来宾接待等服务工作；</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（八）负责市政务服务、政府信息公开、政务公开工作，指导、协调全市政务服务、政府信息公开、政务公开工作；</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（九）做好接待和行政事务工作，为市人民政府领导同志服务；</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（十）管理市人民政府驻外办事（联络）处。</w:t>
      </w:r>
    </w:p>
    <w:p>
      <w:pPr>
        <w:spacing w:line="360" w:lineRule="auto"/>
        <w:ind w:firstLine="646"/>
        <w:rPr>
          <w:rFonts w:hint="eastAsia" w:ascii="宋体" w:hAnsi="宋体" w:eastAsia="宋体" w:cs="宋体"/>
          <w:sz w:val="28"/>
          <w:szCs w:val="28"/>
        </w:rPr>
      </w:pPr>
      <w:r>
        <w:rPr>
          <w:rFonts w:hint="eastAsia" w:ascii="宋体" w:hAnsi="宋体" w:eastAsia="宋体" w:cs="宋体"/>
          <w:sz w:val="28"/>
          <w:szCs w:val="28"/>
        </w:rPr>
        <w:t>二、部门决算单位构成</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（一）柳州市人民政府办公室（本级）</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（二）柳州市政府“12345”</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（三）柳州市人民政府驻上海联络处</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（四）柳州市人民政府驻深圳办事处</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（五）柳州市人民政府驻北京联络处</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（六）柳州市人民政府驻南宁办事处</w:t>
      </w:r>
    </w:p>
    <w:p>
      <w:p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（七）柳州市人民政府驻广州办事处</w:t>
      </w:r>
    </w:p>
    <w:p>
      <w:pPr>
        <w:spacing w:line="360" w:lineRule="auto"/>
        <w:ind w:firstLine="645"/>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both"/>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b/>
          <w:bCs/>
          <w:sz w:val="28"/>
          <w:szCs w:val="28"/>
        </w:rPr>
        <w:t>第二部分：</w:t>
      </w:r>
      <w:r>
        <w:rPr>
          <w:rFonts w:hint="eastAsia" w:ascii="宋体" w:hAnsi="宋体" w:eastAsia="宋体" w:cs="宋体"/>
          <w:b/>
          <w:bCs/>
          <w:color w:val="000000"/>
          <w:sz w:val="28"/>
          <w:szCs w:val="28"/>
        </w:rPr>
        <w:t>柳州市人民政府办公室</w:t>
      </w:r>
      <w:r>
        <w:rPr>
          <w:rFonts w:hint="eastAsia" w:ascii="宋体" w:hAnsi="宋体" w:eastAsia="宋体" w:cs="宋体"/>
          <w:b/>
          <w:bCs/>
          <w:sz w:val="28"/>
          <w:szCs w:val="28"/>
        </w:rPr>
        <w:t xml:space="preserve"> 2020年部门决算报表</w:t>
      </w:r>
    </w:p>
    <w:p>
      <w:pPr>
        <w:spacing w:line="360" w:lineRule="auto"/>
        <w:rPr>
          <w:rFonts w:hint="eastAsia" w:ascii="宋体" w:hAnsi="宋体" w:eastAsia="宋体" w:cs="宋体"/>
          <w:sz w:val="28"/>
          <w:szCs w:val="28"/>
        </w:rPr>
      </w:pPr>
    </w:p>
    <w:tbl>
      <w:tblPr>
        <w:tblStyle w:val="5"/>
        <w:tblW w:w="8813" w:type="dxa"/>
        <w:jc w:val="center"/>
        <w:tblLayout w:type="fixed"/>
        <w:tblCellMar>
          <w:top w:w="0" w:type="dxa"/>
          <w:left w:w="108" w:type="dxa"/>
          <w:bottom w:w="0" w:type="dxa"/>
          <w:right w:w="108" w:type="dxa"/>
        </w:tblCellMar>
      </w:tblPr>
      <w:tblGrid>
        <w:gridCol w:w="2895"/>
        <w:gridCol w:w="1085"/>
        <w:gridCol w:w="3123"/>
        <w:gridCol w:w="1710"/>
      </w:tblGrid>
      <w:tr>
        <w:tblPrEx>
          <w:tblCellMar>
            <w:top w:w="0" w:type="dxa"/>
            <w:left w:w="108" w:type="dxa"/>
            <w:bottom w:w="0" w:type="dxa"/>
            <w:right w:w="108" w:type="dxa"/>
          </w:tblCellMar>
        </w:tblPrEx>
        <w:trPr>
          <w:trHeight w:val="570" w:hRule="atLeast"/>
          <w:jc w:val="center"/>
        </w:trPr>
        <w:tc>
          <w:tcPr>
            <w:tcW w:w="8813" w:type="dxa"/>
            <w:gridSpan w:val="4"/>
            <w:tcBorders>
              <w:top w:val="nil"/>
              <w:left w:val="nil"/>
              <w:bottom w:val="nil"/>
              <w:right w:val="nil"/>
            </w:tcBorders>
            <w:vAlign w:val="bottom"/>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表一：收入支出决算总表</w:t>
            </w:r>
          </w:p>
          <w:p>
            <w:pPr>
              <w:widowControl/>
              <w:spacing w:line="360" w:lineRule="auto"/>
              <w:jc w:val="right"/>
              <w:rPr>
                <w:rFonts w:hint="eastAsia" w:ascii="宋体" w:hAnsi="宋体" w:eastAsia="宋体" w:cs="宋体"/>
                <w:kern w:val="0"/>
                <w:sz w:val="28"/>
                <w:szCs w:val="28"/>
              </w:rPr>
            </w:pPr>
            <w:r>
              <w:rPr>
                <w:rFonts w:hint="eastAsia" w:ascii="宋体" w:hAnsi="宋体" w:eastAsia="宋体" w:cs="宋体"/>
                <w:kern w:val="0"/>
                <w:sz w:val="24"/>
                <w:szCs w:val="24"/>
              </w:rPr>
              <w:t>单位：万元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    入</w:t>
            </w:r>
          </w:p>
        </w:tc>
        <w:tc>
          <w:tcPr>
            <w:tcW w:w="4833"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c>
          <w:tcPr>
            <w:tcW w:w="312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71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一、一般公共预算财政拨款收入</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3972.16</w:t>
            </w: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一、一般公共服务支出</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3179.95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二、政府性基金预算财政拨款收入</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二、外交支出</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三、上级补助收入</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三、教育支出</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四、事业收入</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四、科学技术支出</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五、经营收入</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五、文化旅游体育与传媒支出</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六、附属单位上缴收入</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七、其他收入</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八、社会保障和就业支出</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445.33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九、卫生健康支出</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231.59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十九、住房保障支出</w:t>
            </w:r>
          </w:p>
        </w:tc>
        <w:tc>
          <w:tcPr>
            <w:tcW w:w="171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175.10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二十三、其他支出</w:t>
            </w:r>
          </w:p>
        </w:tc>
        <w:tc>
          <w:tcPr>
            <w:tcW w:w="171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本年收入合计</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4106.66</w:t>
            </w:r>
          </w:p>
        </w:tc>
        <w:tc>
          <w:tcPr>
            <w:tcW w:w="312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本年支出合计</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4089.03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使用非财政拨款结余</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结余分配</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年初结转和结余</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687.23</w:t>
            </w: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年末结转与结余</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704.85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3123"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收入总计</w:t>
            </w:r>
          </w:p>
        </w:tc>
        <w:tc>
          <w:tcPr>
            <w:tcW w:w="10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4793.89</w:t>
            </w:r>
          </w:p>
        </w:tc>
        <w:tc>
          <w:tcPr>
            <w:tcW w:w="312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支出总计</w:t>
            </w:r>
          </w:p>
        </w:tc>
        <w:tc>
          <w:tcPr>
            <w:tcW w:w="171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4793.89</w:t>
            </w:r>
          </w:p>
        </w:tc>
      </w:tr>
    </w:tbl>
    <w:p>
      <w:pPr>
        <w:spacing w:line="360" w:lineRule="auto"/>
        <w:rPr>
          <w:rFonts w:hint="eastAsia" w:ascii="宋体" w:hAnsi="宋体" w:eastAsia="宋体" w:cs="宋体"/>
          <w:sz w:val="24"/>
          <w:szCs w:val="24"/>
        </w:rPr>
        <w:sectPr>
          <w:headerReference r:id="rId3" w:type="default"/>
          <w:footerReference r:id="rId4" w:type="default"/>
          <w:pgSz w:w="11906" w:h="16838"/>
          <w:pgMar w:top="1701" w:right="1418" w:bottom="1134" w:left="1588" w:header="851" w:footer="992" w:gutter="0"/>
          <w:cols w:space="720" w:num="1"/>
          <w:docGrid w:type="lines" w:linePitch="312" w:charSpace="0"/>
        </w:sectPr>
      </w:pPr>
      <w:r>
        <w:rPr>
          <w:rFonts w:hint="eastAsia" w:ascii="宋体" w:hAnsi="宋体" w:eastAsia="宋体" w:cs="宋体"/>
          <w:sz w:val="24"/>
          <w:szCs w:val="24"/>
        </w:rPr>
        <w:t>注：本表反映部门本年度的总收支和年末结转结余情况。</w:t>
      </w:r>
    </w:p>
    <w:p>
      <w:pPr>
        <w:spacing w:line="360" w:lineRule="auto"/>
        <w:jc w:val="center"/>
        <w:rPr>
          <w:rFonts w:hint="eastAsia" w:ascii="宋体" w:hAnsi="宋体" w:eastAsia="宋体" w:cs="宋体"/>
          <w:sz w:val="28"/>
          <w:szCs w:val="28"/>
        </w:rPr>
      </w:pPr>
      <w:r>
        <w:rPr>
          <w:rFonts w:hint="eastAsia" w:ascii="宋体" w:hAnsi="宋体" w:eastAsia="宋体" w:cs="宋体"/>
          <w:kern w:val="0"/>
          <w:sz w:val="28"/>
          <w:szCs w:val="28"/>
        </w:rPr>
        <w:t>表二：收入决算表</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单位：万元 </w:t>
      </w:r>
    </w:p>
    <w:tbl>
      <w:tblPr>
        <w:tblStyle w:val="5"/>
        <w:tblW w:w="14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964"/>
        <w:gridCol w:w="1540"/>
        <w:gridCol w:w="1540"/>
        <w:gridCol w:w="1540"/>
        <w:gridCol w:w="1540"/>
        <w:gridCol w:w="1540"/>
        <w:gridCol w:w="154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60" w:type="dxa"/>
            <w:gridSpan w:val="2"/>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支出功能项 目</w:t>
            </w:r>
          </w:p>
        </w:tc>
        <w:tc>
          <w:tcPr>
            <w:tcW w:w="1540" w:type="dxa"/>
            <w:vMerge w:val="restart"/>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本年收入合计</w:t>
            </w:r>
          </w:p>
        </w:tc>
        <w:tc>
          <w:tcPr>
            <w:tcW w:w="1540" w:type="dxa"/>
            <w:vMerge w:val="restart"/>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财政拨款收入</w:t>
            </w:r>
          </w:p>
        </w:tc>
        <w:tc>
          <w:tcPr>
            <w:tcW w:w="1540" w:type="dxa"/>
            <w:vMerge w:val="restart"/>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上级补助收入</w:t>
            </w:r>
          </w:p>
        </w:tc>
        <w:tc>
          <w:tcPr>
            <w:tcW w:w="1540" w:type="dxa"/>
            <w:vMerge w:val="restart"/>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事业收入</w:t>
            </w:r>
          </w:p>
          <w:p>
            <w:pPr>
              <w:widowControl/>
              <w:spacing w:line="360" w:lineRule="auto"/>
              <w:jc w:val="left"/>
              <w:rPr>
                <w:rFonts w:hint="eastAsia" w:ascii="宋体" w:hAnsi="宋体" w:eastAsia="宋体" w:cs="宋体"/>
                <w:color w:val="000000"/>
                <w:kern w:val="0"/>
                <w:sz w:val="24"/>
                <w:szCs w:val="24"/>
              </w:rPr>
            </w:pPr>
          </w:p>
        </w:tc>
        <w:tc>
          <w:tcPr>
            <w:tcW w:w="1540"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经营收入</w:t>
            </w:r>
          </w:p>
        </w:tc>
        <w:tc>
          <w:tcPr>
            <w:tcW w:w="1540" w:type="dxa"/>
            <w:vMerge w:val="restart"/>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附属单位上缴收入</w:t>
            </w:r>
          </w:p>
        </w:tc>
        <w:tc>
          <w:tcPr>
            <w:tcW w:w="1723" w:type="dxa"/>
            <w:vMerge w:val="restart"/>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支出功能分类科目编码</w:t>
            </w:r>
          </w:p>
        </w:tc>
        <w:tc>
          <w:tcPr>
            <w:tcW w:w="1964" w:type="dxa"/>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科目名称</w:t>
            </w:r>
          </w:p>
        </w:tc>
        <w:tc>
          <w:tcPr>
            <w:tcW w:w="1540" w:type="dxa"/>
            <w:vMerge w:val="continue"/>
            <w:vAlign w:val="center"/>
          </w:tcPr>
          <w:p>
            <w:pPr>
              <w:widowControl/>
              <w:spacing w:line="360" w:lineRule="auto"/>
              <w:jc w:val="left"/>
              <w:rPr>
                <w:rFonts w:hint="eastAsia" w:ascii="宋体" w:hAnsi="宋体" w:eastAsia="宋体" w:cs="宋体"/>
                <w:kern w:val="0"/>
                <w:sz w:val="24"/>
                <w:szCs w:val="24"/>
              </w:rPr>
            </w:pPr>
          </w:p>
        </w:tc>
        <w:tc>
          <w:tcPr>
            <w:tcW w:w="1540" w:type="dxa"/>
            <w:vMerge w:val="continue"/>
            <w:vAlign w:val="center"/>
          </w:tcPr>
          <w:p>
            <w:pPr>
              <w:widowControl/>
              <w:spacing w:line="360" w:lineRule="auto"/>
              <w:jc w:val="left"/>
              <w:rPr>
                <w:rFonts w:hint="eastAsia" w:ascii="宋体" w:hAnsi="宋体" w:eastAsia="宋体" w:cs="宋体"/>
                <w:kern w:val="0"/>
                <w:sz w:val="24"/>
                <w:szCs w:val="24"/>
              </w:rPr>
            </w:pPr>
          </w:p>
        </w:tc>
        <w:tc>
          <w:tcPr>
            <w:tcW w:w="1540" w:type="dxa"/>
            <w:vMerge w:val="continue"/>
            <w:vAlign w:val="center"/>
          </w:tcPr>
          <w:p>
            <w:pPr>
              <w:widowControl/>
              <w:spacing w:line="360" w:lineRule="auto"/>
              <w:jc w:val="left"/>
              <w:rPr>
                <w:rFonts w:hint="eastAsia" w:ascii="宋体" w:hAnsi="宋体" w:eastAsia="宋体" w:cs="宋体"/>
                <w:kern w:val="0"/>
                <w:sz w:val="24"/>
                <w:szCs w:val="24"/>
              </w:rPr>
            </w:pPr>
          </w:p>
        </w:tc>
        <w:tc>
          <w:tcPr>
            <w:tcW w:w="1540"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540" w:type="dxa"/>
            <w:vMerge w:val="continue"/>
            <w:vAlign w:val="center"/>
          </w:tcPr>
          <w:p>
            <w:pPr>
              <w:widowControl/>
              <w:spacing w:line="360" w:lineRule="auto"/>
              <w:jc w:val="left"/>
              <w:rPr>
                <w:rFonts w:hint="eastAsia" w:ascii="宋体" w:hAnsi="宋体" w:eastAsia="宋体" w:cs="宋体"/>
                <w:color w:val="000000"/>
                <w:kern w:val="0"/>
                <w:sz w:val="24"/>
                <w:szCs w:val="24"/>
              </w:rPr>
            </w:pPr>
          </w:p>
        </w:tc>
        <w:tc>
          <w:tcPr>
            <w:tcW w:w="1540" w:type="dxa"/>
            <w:vMerge w:val="continue"/>
            <w:vAlign w:val="center"/>
          </w:tcPr>
          <w:p>
            <w:pPr>
              <w:widowControl/>
              <w:spacing w:line="360" w:lineRule="auto"/>
              <w:jc w:val="left"/>
              <w:rPr>
                <w:rFonts w:hint="eastAsia" w:ascii="宋体" w:hAnsi="宋体" w:eastAsia="宋体" w:cs="宋体"/>
                <w:kern w:val="0"/>
                <w:sz w:val="24"/>
                <w:szCs w:val="24"/>
              </w:rPr>
            </w:pPr>
          </w:p>
        </w:tc>
        <w:tc>
          <w:tcPr>
            <w:tcW w:w="1723" w:type="dxa"/>
            <w:vMerge w:val="continue"/>
            <w:vAlign w:val="center"/>
          </w:tcPr>
          <w:p>
            <w:pPr>
              <w:widowControl/>
              <w:spacing w:line="360" w:lineRule="auto"/>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60" w:type="dxa"/>
            <w:gridSpan w:val="2"/>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栏次</w:t>
            </w:r>
          </w:p>
        </w:tc>
        <w:tc>
          <w:tcPr>
            <w:tcW w:w="1540" w:type="dxa"/>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1</w:t>
            </w:r>
          </w:p>
        </w:tc>
        <w:tc>
          <w:tcPr>
            <w:tcW w:w="1540" w:type="dxa"/>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w:t>
            </w:r>
          </w:p>
        </w:tc>
        <w:tc>
          <w:tcPr>
            <w:tcW w:w="1540" w:type="dxa"/>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3</w:t>
            </w:r>
          </w:p>
        </w:tc>
        <w:tc>
          <w:tcPr>
            <w:tcW w:w="1540" w:type="dxa"/>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4</w:t>
            </w:r>
          </w:p>
        </w:tc>
        <w:tc>
          <w:tcPr>
            <w:tcW w:w="1540" w:type="dxa"/>
          </w:tcPr>
          <w:p>
            <w:pPr>
              <w:widowControl/>
              <w:spacing w:line="360" w:lineRule="auto"/>
              <w:ind w:firstLine="720" w:firstLineChars="300"/>
              <w:rPr>
                <w:rFonts w:hint="eastAsia" w:ascii="宋体" w:hAnsi="宋体" w:eastAsia="宋体" w:cs="宋体"/>
                <w:color w:val="000000"/>
                <w:kern w:val="0"/>
                <w:sz w:val="24"/>
                <w:szCs w:val="24"/>
              </w:rPr>
            </w:pPr>
            <w:r>
              <w:rPr>
                <w:rFonts w:hint="eastAsia" w:ascii="宋体" w:hAnsi="宋体" w:eastAsia="宋体" w:cs="宋体"/>
                <w:kern w:val="0"/>
                <w:sz w:val="24"/>
                <w:szCs w:val="24"/>
              </w:rPr>
              <w:t>5</w:t>
            </w:r>
          </w:p>
        </w:tc>
        <w:tc>
          <w:tcPr>
            <w:tcW w:w="1540" w:type="dxa"/>
          </w:tcPr>
          <w:p>
            <w:pPr>
              <w:widowControl/>
              <w:spacing w:line="360" w:lineRule="auto"/>
              <w:ind w:firstLine="720" w:firstLineChars="300"/>
              <w:rPr>
                <w:rFonts w:hint="eastAsia" w:ascii="宋体" w:hAnsi="宋体" w:eastAsia="宋体" w:cs="宋体"/>
                <w:color w:val="000000"/>
                <w:kern w:val="0"/>
                <w:sz w:val="24"/>
                <w:szCs w:val="24"/>
              </w:rPr>
            </w:pPr>
            <w:r>
              <w:rPr>
                <w:rFonts w:hint="eastAsia" w:ascii="宋体" w:hAnsi="宋体" w:eastAsia="宋体" w:cs="宋体"/>
                <w:kern w:val="0"/>
                <w:sz w:val="24"/>
                <w:szCs w:val="24"/>
              </w:rPr>
              <w:t>6</w:t>
            </w:r>
          </w:p>
        </w:tc>
        <w:tc>
          <w:tcPr>
            <w:tcW w:w="1723" w:type="dxa"/>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60" w:type="dxa"/>
            <w:gridSpan w:val="2"/>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540" w:type="dxa"/>
            <w:vAlign w:val="center"/>
          </w:tcPr>
          <w:p>
            <w:pPr>
              <w:widowControl/>
              <w:spacing w:line="36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4106.66</w:t>
            </w:r>
          </w:p>
        </w:tc>
        <w:tc>
          <w:tcPr>
            <w:tcW w:w="1540" w:type="dxa"/>
            <w:vAlign w:val="center"/>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3972.16</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480" w:firstLineChars="2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480" w:firstLineChars="2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一般公共服务支出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3110.19</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3110.19</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960" w:firstLineChars="4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1200" w:firstLineChars="5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20103</w:t>
            </w:r>
          </w:p>
        </w:tc>
        <w:tc>
          <w:tcPr>
            <w:tcW w:w="1964" w:type="dxa"/>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政府办公厅（室）及相关机构事务</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3110.19</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3110.19</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960" w:firstLineChars="4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1200" w:firstLineChars="5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2010301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行政运行</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1772.39</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1772.39</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960" w:firstLineChars="4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1200" w:firstLineChars="5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2010302</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一般行政管理事务</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737.00</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737.00</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2010303</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机关服务</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227.05</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227.05</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2010305</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专项业务活动</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14.91</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14.91</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2010399</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其他政府办公厅（室）及相关机构事务支出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359.84</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358.94</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208</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社会保障和就业支出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453.72</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453.72</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20805</w:t>
            </w:r>
          </w:p>
        </w:tc>
        <w:tc>
          <w:tcPr>
            <w:tcW w:w="1964" w:type="dxa"/>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行政事业单位离退休</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453.72</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453.72</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2080501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行政单位离退休</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110.12</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110.12</w:t>
            </w: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723" w:type="dxa"/>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2080505</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机关事业单位基本养老保险缴费支出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227.65</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227.65</w:t>
            </w: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723" w:type="dxa"/>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2080506</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机关事业单位职业年金缴费支出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115.95</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115.95</w:t>
            </w: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723" w:type="dxa"/>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210</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卫生健康支出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232.02</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232.02</w:t>
            </w: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723" w:type="dxa"/>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21011</w:t>
            </w:r>
          </w:p>
        </w:tc>
        <w:tc>
          <w:tcPr>
            <w:tcW w:w="1964" w:type="dxa"/>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行政事业单位医疗</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222.61</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222.61</w:t>
            </w: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540" w:type="dxa"/>
          </w:tcPr>
          <w:p>
            <w:pPr>
              <w:widowControl/>
              <w:spacing w:line="360" w:lineRule="auto"/>
              <w:ind w:firstLine="240" w:firstLineChars="100"/>
              <w:jc w:val="left"/>
              <w:rPr>
                <w:rFonts w:hint="eastAsia" w:ascii="宋体" w:hAnsi="宋体" w:eastAsia="宋体" w:cs="宋体"/>
                <w:color w:val="000000"/>
                <w:kern w:val="0"/>
                <w:sz w:val="24"/>
                <w:szCs w:val="24"/>
              </w:rPr>
            </w:pPr>
          </w:p>
        </w:tc>
        <w:tc>
          <w:tcPr>
            <w:tcW w:w="1723" w:type="dxa"/>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2101101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行政单位医疗</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108.77</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108.77</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2101103</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公务员医疗补助</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113.84</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113.84</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21099</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其他卫生健康支出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2109901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其他卫生健康支出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221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住房保障支出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176.22</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176.22</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22102</w:t>
            </w:r>
          </w:p>
        </w:tc>
        <w:tc>
          <w:tcPr>
            <w:tcW w:w="1964" w:type="dxa"/>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住房改革支出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176.22</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176.22</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2210201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住房公积金</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176.11</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176.11</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2210203</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购房补贴</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w:t>
            </w: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229</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其他支出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c>
          <w:tcPr>
            <w:tcW w:w="1540" w:type="dxa"/>
            <w:vAlign w:val="center"/>
          </w:tcPr>
          <w:p>
            <w:pPr>
              <w:widowControl/>
              <w:spacing w:line="360" w:lineRule="auto"/>
              <w:ind w:firstLine="960" w:firstLineChars="4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22999</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其他支出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c>
          <w:tcPr>
            <w:tcW w:w="1540" w:type="dxa"/>
            <w:vAlign w:val="center"/>
          </w:tcPr>
          <w:p>
            <w:pPr>
              <w:widowControl/>
              <w:spacing w:line="360" w:lineRule="auto"/>
              <w:ind w:firstLine="960" w:firstLineChars="4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2299901</w:t>
            </w:r>
          </w:p>
        </w:tc>
        <w:tc>
          <w:tcPr>
            <w:tcW w:w="196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其他支出</w:t>
            </w:r>
          </w:p>
        </w:tc>
        <w:tc>
          <w:tcPr>
            <w:tcW w:w="1540"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c>
          <w:tcPr>
            <w:tcW w:w="1540" w:type="dxa"/>
            <w:vAlign w:val="center"/>
          </w:tcPr>
          <w:p>
            <w:pPr>
              <w:widowControl/>
              <w:spacing w:line="360" w:lineRule="auto"/>
              <w:ind w:firstLine="960" w:firstLineChars="4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540" w:type="dxa"/>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172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134.50</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注：本表反映部门本年度取得的各项收入情况。</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r>
        <w:rPr>
          <w:rFonts w:hint="eastAsia" w:ascii="宋体" w:hAnsi="宋体" w:eastAsia="宋体" w:cs="宋体"/>
          <w:kern w:val="0"/>
          <w:sz w:val="28"/>
          <w:szCs w:val="28"/>
        </w:rPr>
        <w:t>表三：支出决算表</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单位：万元</w:t>
      </w:r>
    </w:p>
    <w:tbl>
      <w:tblPr>
        <w:tblStyle w:val="5"/>
        <w:tblW w:w="14049" w:type="dxa"/>
        <w:jc w:val="center"/>
        <w:tblLayout w:type="fixed"/>
        <w:tblCellMar>
          <w:top w:w="0" w:type="dxa"/>
          <w:left w:w="108" w:type="dxa"/>
          <w:bottom w:w="0" w:type="dxa"/>
          <w:right w:w="108" w:type="dxa"/>
        </w:tblCellMar>
      </w:tblPr>
      <w:tblGrid>
        <w:gridCol w:w="1364"/>
        <w:gridCol w:w="1628"/>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支出功能分类科目编码</w:t>
            </w:r>
          </w:p>
        </w:tc>
        <w:tc>
          <w:tcPr>
            <w:tcW w:w="162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spacing w:line="360" w:lineRule="auto"/>
              <w:ind w:firstLine="2160" w:firstLineChars="9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栏次</w:t>
            </w:r>
          </w:p>
        </w:tc>
        <w:tc>
          <w:tcPr>
            <w:tcW w:w="1985"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1</w:t>
            </w:r>
          </w:p>
        </w:tc>
        <w:tc>
          <w:tcPr>
            <w:tcW w:w="1842"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2</w:t>
            </w:r>
          </w:p>
        </w:tc>
        <w:tc>
          <w:tcPr>
            <w:tcW w:w="1701"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3</w:t>
            </w:r>
          </w:p>
        </w:tc>
        <w:tc>
          <w:tcPr>
            <w:tcW w:w="170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4</w:t>
            </w:r>
          </w:p>
        </w:tc>
        <w:tc>
          <w:tcPr>
            <w:tcW w:w="1843"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5</w:t>
            </w:r>
          </w:p>
        </w:tc>
        <w:tc>
          <w:tcPr>
            <w:tcW w:w="1985"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spacing w:line="360" w:lineRule="auto"/>
              <w:ind w:firstLine="2160" w:firstLineChars="9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4089.03</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3234.59</w:t>
            </w: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854.45</w:t>
            </w: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一般公共服务支出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3179.95</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2325.50</w:t>
            </w: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854.45</w:t>
            </w: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政府办公厅（室）及相关机构事务</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3179.95</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2325.50</w:t>
            </w: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854.45</w:t>
            </w: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行政运行</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1802.75</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1801.25</w:t>
            </w: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2010302</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一般行政管理事务</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773.51</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198.40</w:t>
            </w: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575.11</w:t>
            </w: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2010303</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机关服务</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219.95</w:t>
            </w:r>
          </w:p>
        </w:tc>
        <w:tc>
          <w:tcPr>
            <w:tcW w:w="1842" w:type="dxa"/>
            <w:tcBorders>
              <w:top w:val="nil"/>
              <w:left w:val="nil"/>
              <w:bottom w:val="single" w:color="auto" w:sz="4" w:space="0"/>
              <w:right w:val="single" w:color="auto" w:sz="4" w:space="0"/>
            </w:tcBorders>
            <w:vAlign w:val="center"/>
          </w:tcPr>
          <w:p>
            <w:pPr>
              <w:widowControl/>
              <w:spacing w:line="36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219.95</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2010305</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专项业务活动</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14.77</w:t>
            </w:r>
          </w:p>
        </w:tc>
        <w:tc>
          <w:tcPr>
            <w:tcW w:w="1842" w:type="dxa"/>
            <w:tcBorders>
              <w:top w:val="nil"/>
              <w:left w:val="nil"/>
              <w:bottom w:val="single" w:color="auto" w:sz="4" w:space="0"/>
              <w:right w:val="single" w:color="auto" w:sz="4" w:space="0"/>
            </w:tcBorders>
            <w:vAlign w:val="center"/>
          </w:tcPr>
          <w:p>
            <w:pPr>
              <w:widowControl/>
              <w:spacing w:line="360" w:lineRule="auto"/>
              <w:ind w:firstLine="480" w:firstLineChars="2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14.77</w:t>
            </w: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2010399</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其他政府办公厅（室）及相关机构事务支出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368.98</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105.91</w:t>
            </w:r>
          </w:p>
        </w:tc>
        <w:tc>
          <w:tcPr>
            <w:tcW w:w="170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263.07</w:t>
            </w: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社会保障和就业支出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w:t>
            </w:r>
          </w:p>
        </w:tc>
        <w:tc>
          <w:tcPr>
            <w:tcW w:w="1628" w:type="dxa"/>
            <w:tcBorders>
              <w:top w:val="nil"/>
              <w:left w:val="nil"/>
              <w:bottom w:val="single" w:color="auto" w:sz="4" w:space="0"/>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行政事业单位离退休</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2080501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归口管理的行政单位离退休</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110.26</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110.26</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2080505</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机关事业单位基本养老保险缴费支出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220.30</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220.30</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2080506</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机关事业单位职业年金缴费支出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114.76</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114.76</w:t>
            </w:r>
          </w:p>
        </w:tc>
        <w:tc>
          <w:tcPr>
            <w:tcW w:w="1701" w:type="dxa"/>
            <w:tcBorders>
              <w:top w:val="nil"/>
              <w:left w:val="nil"/>
              <w:bottom w:val="single" w:color="auto" w:sz="4" w:space="0"/>
              <w:right w:val="single" w:color="auto" w:sz="4" w:space="0"/>
            </w:tcBorders>
          </w:tcPr>
          <w:p>
            <w:pPr>
              <w:widowControl/>
              <w:spacing w:line="360" w:lineRule="auto"/>
              <w:ind w:firstLine="1440" w:firstLineChars="600"/>
              <w:jc w:val="left"/>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卫生健康支出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231.59</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231.59</w:t>
            </w:r>
          </w:p>
        </w:tc>
        <w:tc>
          <w:tcPr>
            <w:tcW w:w="1701" w:type="dxa"/>
            <w:tcBorders>
              <w:top w:val="nil"/>
              <w:left w:val="nil"/>
              <w:bottom w:val="single" w:color="auto" w:sz="4" w:space="0"/>
              <w:right w:val="single" w:color="auto" w:sz="4" w:space="0"/>
            </w:tcBorders>
          </w:tcPr>
          <w:p>
            <w:pPr>
              <w:widowControl/>
              <w:spacing w:line="360" w:lineRule="auto"/>
              <w:ind w:firstLine="1440" w:firstLineChars="600"/>
              <w:jc w:val="left"/>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21011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行政事业单位医疗</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222.18</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222.18</w:t>
            </w:r>
          </w:p>
        </w:tc>
        <w:tc>
          <w:tcPr>
            <w:tcW w:w="1701" w:type="dxa"/>
            <w:tcBorders>
              <w:top w:val="nil"/>
              <w:left w:val="nil"/>
              <w:bottom w:val="single" w:color="auto" w:sz="4" w:space="0"/>
              <w:right w:val="single" w:color="auto" w:sz="4" w:space="0"/>
            </w:tcBorders>
          </w:tcPr>
          <w:p>
            <w:pPr>
              <w:widowControl/>
              <w:spacing w:line="360" w:lineRule="auto"/>
              <w:ind w:firstLine="1440" w:firstLineChars="600"/>
              <w:jc w:val="left"/>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2101101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行政单位医疗</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109.97</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109.97</w:t>
            </w:r>
          </w:p>
        </w:tc>
        <w:tc>
          <w:tcPr>
            <w:tcW w:w="1701" w:type="dxa"/>
            <w:tcBorders>
              <w:top w:val="nil"/>
              <w:left w:val="nil"/>
              <w:bottom w:val="single" w:color="auto" w:sz="4" w:space="0"/>
              <w:right w:val="single" w:color="auto" w:sz="4" w:space="0"/>
            </w:tcBorders>
          </w:tcPr>
          <w:p>
            <w:pPr>
              <w:widowControl/>
              <w:spacing w:line="360" w:lineRule="auto"/>
              <w:ind w:firstLine="1440" w:firstLineChars="600"/>
              <w:jc w:val="left"/>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2101103</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公务员医疗补助</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112.21</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112.21</w:t>
            </w:r>
          </w:p>
        </w:tc>
        <w:tc>
          <w:tcPr>
            <w:tcW w:w="1701" w:type="dxa"/>
            <w:tcBorders>
              <w:top w:val="nil"/>
              <w:left w:val="nil"/>
              <w:bottom w:val="single" w:color="auto" w:sz="4" w:space="0"/>
              <w:right w:val="single" w:color="auto" w:sz="4" w:space="0"/>
            </w:tcBorders>
          </w:tcPr>
          <w:p>
            <w:pPr>
              <w:widowControl/>
              <w:spacing w:line="360" w:lineRule="auto"/>
              <w:ind w:firstLine="1440" w:firstLineChars="600"/>
              <w:jc w:val="left"/>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nil"/>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21099</w:t>
            </w:r>
          </w:p>
        </w:tc>
        <w:tc>
          <w:tcPr>
            <w:tcW w:w="1628" w:type="dxa"/>
            <w:tcBorders>
              <w:top w:val="nil"/>
              <w:left w:val="nil"/>
              <w:bottom w:val="nil"/>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其他卫生健康支出</w:t>
            </w:r>
          </w:p>
        </w:tc>
        <w:tc>
          <w:tcPr>
            <w:tcW w:w="1985" w:type="dxa"/>
            <w:tcBorders>
              <w:top w:val="nil"/>
              <w:left w:val="nil"/>
              <w:bottom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842" w:type="dxa"/>
            <w:tcBorders>
              <w:top w:val="nil"/>
              <w:left w:val="nil"/>
              <w:bottom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701" w:type="dxa"/>
            <w:tcBorders>
              <w:top w:val="nil"/>
              <w:left w:val="nil"/>
              <w:bottom w:val="nil"/>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nil"/>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nil"/>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nil"/>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nil"/>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2109901</w:t>
            </w:r>
          </w:p>
        </w:tc>
        <w:tc>
          <w:tcPr>
            <w:tcW w:w="1628" w:type="dxa"/>
            <w:tcBorders>
              <w:top w:val="nil"/>
              <w:left w:val="nil"/>
              <w:bottom w:val="nil"/>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其他卫生健康支出</w:t>
            </w:r>
          </w:p>
        </w:tc>
        <w:tc>
          <w:tcPr>
            <w:tcW w:w="1985" w:type="dxa"/>
            <w:tcBorders>
              <w:top w:val="nil"/>
              <w:left w:val="nil"/>
              <w:bottom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842" w:type="dxa"/>
            <w:tcBorders>
              <w:top w:val="nil"/>
              <w:left w:val="nil"/>
              <w:bottom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1701" w:type="dxa"/>
            <w:tcBorders>
              <w:top w:val="nil"/>
              <w:left w:val="nil"/>
              <w:bottom w:val="nil"/>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nil"/>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nil"/>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nil"/>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住房保障支出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175.01</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175.01</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22102</w:t>
            </w:r>
          </w:p>
        </w:tc>
        <w:tc>
          <w:tcPr>
            <w:tcW w:w="1628" w:type="dxa"/>
            <w:tcBorders>
              <w:top w:val="nil"/>
              <w:left w:val="nil"/>
              <w:bottom w:val="single" w:color="auto" w:sz="4" w:space="0"/>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住房改革支出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175.01</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175.01</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2210201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住房公积金</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174.99</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174.99</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2210203</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购房补贴</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229</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其他支出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57.07</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57.07</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70"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22999</w:t>
            </w:r>
          </w:p>
        </w:tc>
        <w:tc>
          <w:tcPr>
            <w:tcW w:w="1628" w:type="dxa"/>
            <w:tcBorders>
              <w:top w:val="nil"/>
              <w:left w:val="nil"/>
              <w:bottom w:val="single" w:color="auto" w:sz="4" w:space="0"/>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其他支出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57.07</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57.07</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1364"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2299901</w:t>
            </w:r>
          </w:p>
        </w:tc>
        <w:tc>
          <w:tcPr>
            <w:tcW w:w="1628"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其他支出</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57.07</w:t>
            </w:r>
          </w:p>
        </w:tc>
        <w:tc>
          <w:tcPr>
            <w:tcW w:w="18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57.07</w:t>
            </w:r>
          </w:p>
        </w:tc>
        <w:tc>
          <w:tcPr>
            <w:tcW w:w="1701" w:type="dxa"/>
            <w:tcBorders>
              <w:top w:val="nil"/>
              <w:left w:val="nil"/>
              <w:bottom w:val="single" w:color="auto" w:sz="4" w:space="0"/>
              <w:right w:val="single" w:color="auto" w:sz="4" w:space="0"/>
            </w:tcBorders>
            <w:vAlign w:val="center"/>
          </w:tcPr>
          <w:p>
            <w:pPr>
              <w:widowControl/>
              <w:spacing w:line="360" w:lineRule="auto"/>
              <w:ind w:firstLine="1440" w:firstLineChars="600"/>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843"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注：本表反映部门本年度各项支出情况。</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5040" w:firstLineChars="1800"/>
        <w:jc w:val="left"/>
        <w:rPr>
          <w:rFonts w:hint="eastAsia" w:ascii="宋体" w:hAnsi="宋体" w:eastAsia="宋体" w:cs="宋体"/>
          <w:kern w:val="0"/>
          <w:sz w:val="28"/>
          <w:szCs w:val="28"/>
        </w:rPr>
      </w:pPr>
      <w:r>
        <w:rPr>
          <w:rFonts w:hint="eastAsia" w:ascii="宋体" w:hAnsi="宋体" w:eastAsia="宋体" w:cs="宋体"/>
          <w:kern w:val="0"/>
          <w:sz w:val="28"/>
          <w:szCs w:val="28"/>
        </w:rPr>
        <w:t>表四：财政拨款收入支出决算总表</w:t>
      </w:r>
    </w:p>
    <w:p>
      <w:pPr>
        <w:spacing w:line="360" w:lineRule="auto"/>
        <w:jc w:val="right"/>
        <w:rPr>
          <w:rFonts w:hint="eastAsia" w:ascii="宋体" w:hAnsi="宋体" w:eastAsia="宋体" w:cs="宋体"/>
          <w:kern w:val="0"/>
          <w:sz w:val="24"/>
          <w:szCs w:val="24"/>
        </w:rPr>
      </w:pPr>
      <w:r>
        <w:rPr>
          <w:rFonts w:hint="eastAsia" w:ascii="宋体" w:hAnsi="宋体" w:eastAsia="宋体" w:cs="宋体"/>
          <w:sz w:val="24"/>
          <w:szCs w:val="24"/>
        </w:rPr>
        <w:t>单位：万元</w:t>
      </w:r>
    </w:p>
    <w:tbl>
      <w:tblPr>
        <w:tblStyle w:val="5"/>
        <w:tblW w:w="13765" w:type="dxa"/>
        <w:jc w:val="center"/>
        <w:tblLayout w:type="fixed"/>
        <w:tblCellMar>
          <w:top w:w="0" w:type="dxa"/>
          <w:left w:w="108" w:type="dxa"/>
          <w:bottom w:w="0" w:type="dxa"/>
          <w:right w:w="108" w:type="dxa"/>
        </w:tblCellMar>
      </w:tblPr>
      <w:tblGrid>
        <w:gridCol w:w="4248"/>
        <w:gridCol w:w="540"/>
        <w:gridCol w:w="1192"/>
        <w:gridCol w:w="3372"/>
        <w:gridCol w:w="681"/>
        <w:gridCol w:w="1267"/>
        <w:gridCol w:w="1149"/>
        <w:gridCol w:w="1316"/>
      </w:tblGrid>
      <w:tr>
        <w:tblPrEx>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收 入</w:t>
            </w:r>
          </w:p>
        </w:tc>
        <w:tc>
          <w:tcPr>
            <w:tcW w:w="7785" w:type="dxa"/>
            <w:gridSpan w:val="5"/>
            <w:tcBorders>
              <w:top w:val="single" w:color="auto" w:sz="4" w:space="0"/>
              <w:left w:val="nil"/>
              <w:bottom w:val="single" w:color="auto" w:sz="4" w:space="0"/>
              <w:right w:val="single" w:color="000000"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支 出</w:t>
            </w:r>
          </w:p>
        </w:tc>
      </w:tr>
      <w:tr>
        <w:tblPrEx>
          <w:tblCellMar>
            <w:top w:w="0" w:type="dxa"/>
            <w:left w:w="108" w:type="dxa"/>
            <w:bottom w:w="0" w:type="dxa"/>
            <w:right w:w="108" w:type="dxa"/>
          </w:tblCellMar>
        </w:tblPrEx>
        <w:trPr>
          <w:trHeight w:val="732" w:hRule="atLeast"/>
          <w:jc w:val="center"/>
        </w:trPr>
        <w:tc>
          <w:tcPr>
            <w:tcW w:w="424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 目</w:t>
            </w:r>
          </w:p>
        </w:tc>
        <w:tc>
          <w:tcPr>
            <w:tcW w:w="54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行次</w:t>
            </w:r>
          </w:p>
        </w:tc>
        <w:tc>
          <w:tcPr>
            <w:tcW w:w="11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金额</w:t>
            </w:r>
          </w:p>
        </w:tc>
        <w:tc>
          <w:tcPr>
            <w:tcW w:w="337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 目</w:t>
            </w:r>
          </w:p>
        </w:tc>
        <w:tc>
          <w:tcPr>
            <w:tcW w:w="68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行次</w:t>
            </w:r>
          </w:p>
        </w:tc>
        <w:tc>
          <w:tcPr>
            <w:tcW w:w="12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14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1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政府性基金预算财政拨款</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栏 次</w:t>
            </w:r>
          </w:p>
        </w:tc>
        <w:tc>
          <w:tcPr>
            <w:tcW w:w="540"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92"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72"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栏 次</w:t>
            </w:r>
          </w:p>
        </w:tc>
        <w:tc>
          <w:tcPr>
            <w:tcW w:w="681"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67"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49"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316"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一、一般公共预算财政拨款收入</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9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3972.16</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一、一般公共服务支出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267"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3179.95　</w:t>
            </w:r>
          </w:p>
        </w:tc>
        <w:tc>
          <w:tcPr>
            <w:tcW w:w="1149" w:type="dxa"/>
            <w:tcBorders>
              <w:top w:val="nil"/>
              <w:left w:val="nil"/>
              <w:bottom w:val="single" w:color="auto" w:sz="4" w:space="0"/>
              <w:right w:val="single" w:color="auto" w:sz="4" w:space="0"/>
            </w:tcBorders>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3179.95</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二、政府性基金预算财政拨款收入</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92"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二、外交支出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267"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nil"/>
              <w:left w:val="nil"/>
              <w:bottom w:val="single" w:color="auto" w:sz="4" w:space="0"/>
              <w:right w:val="single" w:color="auto" w:sz="4" w:space="0"/>
            </w:tcBorders>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三、教育支出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267" w:type="dxa"/>
            <w:tcBorders>
              <w:top w:val="nil"/>
              <w:left w:val="nil"/>
              <w:bottom w:val="single" w:color="auto" w:sz="4" w:space="0"/>
              <w:right w:val="single" w:color="auto" w:sz="4" w:space="0"/>
            </w:tcBorders>
          </w:tcPr>
          <w:p>
            <w:pPr>
              <w:widowControl/>
              <w:spacing w:line="360" w:lineRule="auto"/>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nil"/>
              <w:left w:val="nil"/>
              <w:bottom w:val="single" w:color="auto" w:sz="4" w:space="0"/>
              <w:right w:val="single" w:color="auto" w:sz="4" w:space="0"/>
            </w:tcBorders>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四、科学技术支出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267" w:type="dxa"/>
            <w:tcBorders>
              <w:top w:val="nil"/>
              <w:left w:val="nil"/>
              <w:bottom w:val="single" w:color="auto" w:sz="4" w:space="0"/>
              <w:right w:val="single" w:color="auto" w:sz="4" w:space="0"/>
            </w:tcBorders>
          </w:tcPr>
          <w:p>
            <w:pPr>
              <w:widowControl/>
              <w:spacing w:line="360" w:lineRule="auto"/>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nil"/>
              <w:left w:val="nil"/>
              <w:bottom w:val="single" w:color="auto" w:sz="4" w:space="0"/>
              <w:right w:val="single" w:color="auto" w:sz="4" w:space="0"/>
            </w:tcBorders>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五、文化旅游体育与传媒支出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267" w:type="dxa"/>
            <w:tcBorders>
              <w:top w:val="nil"/>
              <w:left w:val="nil"/>
              <w:bottom w:val="single" w:color="auto" w:sz="4" w:space="0"/>
              <w:right w:val="single" w:color="auto" w:sz="4" w:space="0"/>
            </w:tcBorders>
          </w:tcPr>
          <w:p>
            <w:pPr>
              <w:widowControl/>
              <w:spacing w:line="360" w:lineRule="auto"/>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nil"/>
              <w:left w:val="nil"/>
              <w:bottom w:val="single" w:color="auto" w:sz="4" w:space="0"/>
              <w:right w:val="single" w:color="auto" w:sz="4" w:space="0"/>
            </w:tcBorders>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六、社会保障和就业支出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267" w:type="dxa"/>
            <w:tcBorders>
              <w:top w:val="nil"/>
              <w:left w:val="nil"/>
              <w:bottom w:val="single" w:color="auto" w:sz="4" w:space="0"/>
              <w:right w:val="single" w:color="auto" w:sz="4" w:space="0"/>
            </w:tcBorders>
          </w:tcPr>
          <w:p>
            <w:pPr>
              <w:widowControl/>
              <w:spacing w:line="360" w:lineRule="auto"/>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nil"/>
              <w:left w:val="nil"/>
              <w:bottom w:val="single" w:color="auto" w:sz="4" w:space="0"/>
              <w:right w:val="single" w:color="auto" w:sz="4" w:space="0"/>
            </w:tcBorders>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6"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267" w:type="dxa"/>
            <w:tcBorders>
              <w:top w:val="nil"/>
              <w:left w:val="nil"/>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nil"/>
              <w:left w:val="nil"/>
              <w:bottom w:val="single" w:color="auto" w:sz="4" w:space="0"/>
              <w:right w:val="single" w:color="auto" w:sz="4" w:space="0"/>
            </w:tcBorders>
          </w:tcPr>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八、社会保障和就业支出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267"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1149"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1316"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九、卫生健康支出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267"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231.59</w:t>
            </w:r>
          </w:p>
        </w:tc>
        <w:tc>
          <w:tcPr>
            <w:tcW w:w="1149"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231.59</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十九、住房保障支出</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267"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175.10</w:t>
            </w:r>
          </w:p>
        </w:tc>
        <w:tc>
          <w:tcPr>
            <w:tcW w:w="1149"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175.10</w:t>
            </w:r>
          </w:p>
        </w:tc>
        <w:tc>
          <w:tcPr>
            <w:tcW w:w="1316"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3732" w:type="dxa"/>
            <w:gridSpan w:val="3"/>
            <w:tcBorders>
              <w:top w:val="single" w:color="auto" w:sz="4" w:space="0"/>
              <w:left w:val="nil"/>
              <w:bottom w:val="single" w:color="auto" w:sz="4" w:space="0"/>
              <w:right w:val="single" w:color="auto" w:sz="4" w:space="0"/>
            </w:tcBorders>
          </w:tcPr>
          <w:p>
            <w:pPr>
              <w:widowControl/>
              <w:spacing w:line="360" w:lineRule="auto"/>
              <w:ind w:firstLine="2640" w:firstLineChars="1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ind w:firstLine="1680" w:firstLineChars="7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本年收入合计</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19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3972.16</w:t>
            </w:r>
          </w:p>
        </w:tc>
        <w:tc>
          <w:tcPr>
            <w:tcW w:w="3372"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本年支出合计</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3732" w:type="dxa"/>
            <w:gridSpan w:val="3"/>
            <w:tcBorders>
              <w:top w:val="single" w:color="auto" w:sz="4" w:space="0"/>
              <w:left w:val="nil"/>
              <w:bottom w:val="single" w:color="auto" w:sz="4" w:space="0"/>
              <w:right w:val="single" w:color="auto" w:sz="4" w:space="0"/>
            </w:tcBorders>
            <w:vAlign w:val="center"/>
          </w:tcPr>
          <w:p>
            <w:pPr>
              <w:widowControl/>
              <w:spacing w:line="360" w:lineRule="auto"/>
              <w:ind w:firstLine="2640" w:firstLineChars="11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4031.97</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年初财政拨款结转和结余</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19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275.01</w:t>
            </w:r>
          </w:p>
        </w:tc>
        <w:tc>
          <w:tcPr>
            <w:tcW w:w="3372"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年末财政拨款结转和结余</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3732" w:type="dxa"/>
            <w:gridSpan w:val="3"/>
            <w:tcBorders>
              <w:top w:val="single" w:color="auto" w:sz="4" w:space="0"/>
              <w:left w:val="nil"/>
              <w:bottom w:val="single" w:color="auto" w:sz="4" w:space="0"/>
              <w:right w:val="single" w:color="auto" w:sz="4" w:space="0"/>
            </w:tcBorders>
            <w:vAlign w:val="center"/>
          </w:tcPr>
          <w:p>
            <w:pPr>
              <w:widowControl/>
              <w:spacing w:line="360" w:lineRule="auto"/>
              <w:ind w:firstLine="2640" w:firstLineChars="11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215.20</w:t>
            </w: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ind w:firstLine="1680" w:firstLineChars="700"/>
              <w:jc w:val="left"/>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19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275.01</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3732" w:type="dxa"/>
            <w:gridSpan w:val="3"/>
            <w:tcBorders>
              <w:top w:val="single" w:color="auto" w:sz="4" w:space="0"/>
              <w:left w:val="nil"/>
              <w:bottom w:val="single" w:color="auto" w:sz="4" w:space="0"/>
              <w:right w:val="single" w:color="auto" w:sz="4" w:space="0"/>
            </w:tcBorders>
            <w:vAlign w:val="center"/>
          </w:tcPr>
          <w:p>
            <w:pPr>
              <w:widowControl/>
              <w:spacing w:line="360" w:lineRule="auto"/>
              <w:ind w:firstLine="2640" w:firstLineChars="11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ind w:firstLine="1680" w:firstLineChars="7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政府性基金预算财政拨款</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192" w:type="dxa"/>
            <w:tcBorders>
              <w:top w:val="nil"/>
              <w:left w:val="nil"/>
              <w:bottom w:val="single" w:color="auto" w:sz="4" w:space="0"/>
              <w:right w:val="single" w:color="auto" w:sz="4" w:space="0"/>
            </w:tcBorders>
          </w:tcPr>
          <w:p>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3732" w:type="dxa"/>
            <w:gridSpan w:val="3"/>
            <w:tcBorders>
              <w:top w:val="single" w:color="auto" w:sz="4" w:space="0"/>
              <w:left w:val="nil"/>
              <w:bottom w:val="single" w:color="auto" w:sz="4" w:space="0"/>
              <w:right w:val="single" w:color="auto" w:sz="4" w:space="0"/>
            </w:tcBorders>
            <w:vAlign w:val="center"/>
          </w:tcPr>
          <w:p>
            <w:pPr>
              <w:widowControl/>
              <w:spacing w:line="360" w:lineRule="auto"/>
              <w:ind w:firstLine="2640" w:firstLineChars="11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3732" w:type="dxa"/>
            <w:gridSpan w:val="3"/>
            <w:tcBorders>
              <w:top w:val="single" w:color="auto" w:sz="4" w:space="0"/>
              <w:left w:val="nil"/>
              <w:bottom w:val="single" w:color="auto" w:sz="4" w:space="0"/>
              <w:right w:val="single" w:color="auto" w:sz="4" w:space="0"/>
            </w:tcBorders>
            <w:vAlign w:val="center"/>
          </w:tcPr>
          <w:p>
            <w:pPr>
              <w:widowControl/>
              <w:spacing w:line="360" w:lineRule="auto"/>
              <w:ind w:firstLine="2640" w:firstLineChars="11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4248" w:type="dxa"/>
            <w:tcBorders>
              <w:top w:val="nil"/>
              <w:left w:val="single" w:color="auto" w:sz="4" w:space="0"/>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54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192" w:type="dxa"/>
            <w:tcBorders>
              <w:top w:val="nil"/>
              <w:left w:val="nil"/>
              <w:bottom w:val="single" w:color="auto" w:sz="4" w:space="0"/>
              <w:right w:val="single" w:color="auto" w:sz="4" w:space="0"/>
            </w:tcBorders>
          </w:tcPr>
          <w:p>
            <w:pPr>
              <w:widowControl/>
              <w:spacing w:line="360" w:lineRule="auto"/>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4247.17</w:t>
            </w:r>
          </w:p>
        </w:tc>
        <w:tc>
          <w:tcPr>
            <w:tcW w:w="3372"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681"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3732" w:type="dxa"/>
            <w:gridSpan w:val="3"/>
            <w:tcBorders>
              <w:top w:val="single" w:color="auto" w:sz="4" w:space="0"/>
              <w:left w:val="nil"/>
              <w:bottom w:val="single" w:color="auto" w:sz="4" w:space="0"/>
              <w:right w:val="single" w:color="auto" w:sz="4" w:space="0"/>
            </w:tcBorders>
            <w:vAlign w:val="center"/>
          </w:tcPr>
          <w:p>
            <w:pPr>
              <w:widowControl/>
              <w:spacing w:line="360" w:lineRule="auto"/>
              <w:ind w:firstLine="2640" w:firstLineChars="11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4247.17</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注：本表反映部门本年度一般公共预算财政拨款和政府性基金预算财政拨款的总收支和年末结转结余情况。</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表五：</w:t>
      </w:r>
      <w:r>
        <w:rPr>
          <w:rFonts w:hint="eastAsia" w:ascii="宋体" w:hAnsi="宋体" w:eastAsia="宋体" w:cs="宋体"/>
          <w:sz w:val="28"/>
          <w:szCs w:val="28"/>
        </w:rPr>
        <w:t>一般</w:t>
      </w:r>
      <w:r>
        <w:rPr>
          <w:rFonts w:hint="eastAsia" w:ascii="宋体" w:hAnsi="宋体" w:eastAsia="宋体" w:cs="宋体"/>
          <w:kern w:val="0"/>
          <w:sz w:val="28"/>
          <w:szCs w:val="28"/>
        </w:rPr>
        <w:t>公共预算财政拨款支出决算表</w:t>
      </w:r>
    </w:p>
    <w:p>
      <w:pPr>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bl>
      <w:tblPr>
        <w:tblStyle w:val="5"/>
        <w:tblW w:w="13479" w:type="dxa"/>
        <w:jc w:val="center"/>
        <w:tblLayout w:type="fixed"/>
        <w:tblCellMar>
          <w:top w:w="0" w:type="dxa"/>
          <w:left w:w="108" w:type="dxa"/>
          <w:bottom w:w="0" w:type="dxa"/>
          <w:right w:w="108" w:type="dxa"/>
        </w:tblCellMar>
      </w:tblPr>
      <w:tblGrid>
        <w:gridCol w:w="1499"/>
        <w:gridCol w:w="2784"/>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支出功能项目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300" w:hRule="atLeast"/>
          <w:jc w:val="center"/>
        </w:trPr>
        <w:tc>
          <w:tcPr>
            <w:tcW w:w="1499" w:type="dxa"/>
            <w:tcBorders>
              <w:top w:val="nil"/>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支出功能分类科目编码</w:t>
            </w:r>
          </w:p>
        </w:tc>
        <w:tc>
          <w:tcPr>
            <w:tcW w:w="278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栏次</w:t>
            </w:r>
          </w:p>
        </w:tc>
        <w:tc>
          <w:tcPr>
            <w:tcW w:w="290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900"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396" w:type="dxa"/>
            <w:tcBorders>
              <w:top w:val="nil"/>
              <w:left w:val="nil"/>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4031.97</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3177.52</w:t>
            </w:r>
          </w:p>
        </w:tc>
        <w:tc>
          <w:tcPr>
            <w:tcW w:w="339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854.45</w:t>
            </w:r>
          </w:p>
        </w:tc>
      </w:tr>
      <w:tr>
        <w:tblPrEx>
          <w:tblCellMar>
            <w:top w:w="0" w:type="dxa"/>
            <w:left w:w="108" w:type="dxa"/>
            <w:bottom w:w="0" w:type="dxa"/>
            <w:right w:w="108" w:type="dxa"/>
          </w:tblCellMar>
        </w:tblPrEx>
        <w:trPr>
          <w:trHeight w:val="288"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一般公共服务支出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3179.95</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2325.50</w:t>
            </w:r>
          </w:p>
        </w:tc>
        <w:tc>
          <w:tcPr>
            <w:tcW w:w="339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854.45</w:t>
            </w:r>
          </w:p>
        </w:tc>
      </w:tr>
      <w:tr>
        <w:tblPrEx>
          <w:tblCellMar>
            <w:top w:w="0" w:type="dxa"/>
            <w:left w:w="108" w:type="dxa"/>
            <w:bottom w:w="0" w:type="dxa"/>
            <w:right w:w="108" w:type="dxa"/>
          </w:tblCellMar>
        </w:tblPrEx>
        <w:trPr>
          <w:trHeight w:val="288"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政府办公厅（室）及相关机构事务</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3179.95</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2325.50</w:t>
            </w:r>
          </w:p>
        </w:tc>
        <w:tc>
          <w:tcPr>
            <w:tcW w:w="339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854.45</w:t>
            </w:r>
          </w:p>
        </w:tc>
      </w:tr>
      <w:tr>
        <w:tblPrEx>
          <w:tblCellMar>
            <w:top w:w="0" w:type="dxa"/>
            <w:left w:w="108" w:type="dxa"/>
            <w:bottom w:w="0" w:type="dxa"/>
            <w:right w:w="108" w:type="dxa"/>
          </w:tblCellMar>
        </w:tblPrEx>
        <w:trPr>
          <w:trHeight w:val="288"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2010301</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行政运行</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1802.75</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1801.25</w:t>
            </w:r>
          </w:p>
        </w:tc>
        <w:tc>
          <w:tcPr>
            <w:tcW w:w="339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w:t>
            </w: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2010302</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一般行政管理事务</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773.51</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198.40</w:t>
            </w:r>
          </w:p>
        </w:tc>
        <w:tc>
          <w:tcPr>
            <w:tcW w:w="339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575.11</w:t>
            </w: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2010303</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机关服务</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219.95</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219.95</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2010305</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专项业务活动</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14.77</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jc w:val="center"/>
              <w:rPr>
                <w:rFonts w:hint="eastAsia" w:ascii="宋体" w:hAnsi="宋体" w:eastAsia="宋体" w:cs="宋体"/>
                <w:color w:val="000000"/>
                <w:kern w:val="0"/>
                <w:sz w:val="24"/>
                <w:szCs w:val="24"/>
              </w:rPr>
            </w:pPr>
          </w:p>
        </w:tc>
        <w:tc>
          <w:tcPr>
            <w:tcW w:w="339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14.77</w:t>
            </w: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2010399</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其他政府办公厅（室）及相关机构事务支出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368.98</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105.91</w:t>
            </w:r>
          </w:p>
        </w:tc>
        <w:tc>
          <w:tcPr>
            <w:tcW w:w="339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263.07</w:t>
            </w: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社会保障和就业支出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w:t>
            </w:r>
          </w:p>
        </w:tc>
        <w:tc>
          <w:tcPr>
            <w:tcW w:w="2784" w:type="dxa"/>
            <w:tcBorders>
              <w:top w:val="nil"/>
              <w:left w:val="nil"/>
              <w:bottom w:val="single" w:color="auto" w:sz="4" w:space="0"/>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行政事业单位离退休</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445.33</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2080501</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归口管理的行政单位离退休</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110.26</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110.26</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2080505</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220.30</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220.30</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2080506</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机关事业单位职业年金缴费支出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114.76</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114.76</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卫生健康支出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231.59</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231.59</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nil"/>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21011</w:t>
            </w:r>
          </w:p>
        </w:tc>
        <w:tc>
          <w:tcPr>
            <w:tcW w:w="2784" w:type="dxa"/>
            <w:tcBorders>
              <w:top w:val="nil"/>
              <w:left w:val="nil"/>
              <w:bottom w:val="nil"/>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行政事业单位医疗</w:t>
            </w:r>
          </w:p>
        </w:tc>
        <w:tc>
          <w:tcPr>
            <w:tcW w:w="2900" w:type="dxa"/>
            <w:tcBorders>
              <w:top w:val="nil"/>
              <w:left w:val="nil"/>
              <w:bottom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222.18</w:t>
            </w:r>
          </w:p>
        </w:tc>
        <w:tc>
          <w:tcPr>
            <w:tcW w:w="2900" w:type="dxa"/>
            <w:tcBorders>
              <w:top w:val="nil"/>
              <w:left w:val="nil"/>
              <w:bottom w:val="nil"/>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222.18</w:t>
            </w:r>
          </w:p>
        </w:tc>
        <w:tc>
          <w:tcPr>
            <w:tcW w:w="3396" w:type="dxa"/>
            <w:tcBorders>
              <w:top w:val="nil"/>
              <w:left w:val="nil"/>
              <w:bottom w:val="nil"/>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2101101</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行政单位医疗</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109.97</w:t>
            </w:r>
          </w:p>
        </w:tc>
        <w:tc>
          <w:tcPr>
            <w:tcW w:w="2900" w:type="dxa"/>
            <w:tcBorders>
              <w:top w:val="nil"/>
              <w:left w:val="nil"/>
              <w:bottom w:val="single" w:color="auto" w:sz="4" w:space="0"/>
              <w:right w:val="single" w:color="auto" w:sz="4" w:space="0"/>
            </w:tcBorders>
            <w:vAlign w:val="center"/>
          </w:tcPr>
          <w:p>
            <w:pPr>
              <w:widowControl/>
              <w:spacing w:line="360" w:lineRule="auto"/>
              <w:ind w:firstLine="1200" w:firstLine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109.97</w:t>
            </w:r>
          </w:p>
        </w:tc>
        <w:tc>
          <w:tcPr>
            <w:tcW w:w="3396" w:type="dxa"/>
            <w:tcBorders>
              <w:top w:val="nil"/>
              <w:left w:val="nil"/>
              <w:bottom w:val="single" w:color="auto" w:sz="4" w:space="0"/>
              <w:right w:val="single" w:color="auto" w:sz="4" w:space="0"/>
            </w:tcBorders>
            <w:vAlign w:val="center"/>
          </w:tcPr>
          <w:p>
            <w:pPr>
              <w:widowControl/>
              <w:spacing w:line="360" w:lineRule="auto"/>
              <w:ind w:firstLine="3600" w:firstLineChars="1500"/>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2101103</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公务员医疗补助</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112.21</w:t>
            </w:r>
          </w:p>
        </w:tc>
        <w:tc>
          <w:tcPr>
            <w:tcW w:w="2900" w:type="dxa"/>
            <w:tcBorders>
              <w:top w:val="nil"/>
              <w:left w:val="nil"/>
              <w:bottom w:val="single" w:color="auto" w:sz="4" w:space="0"/>
              <w:right w:val="single" w:color="auto" w:sz="4" w:space="0"/>
            </w:tcBorders>
          </w:tcPr>
          <w:p>
            <w:pPr>
              <w:widowControl/>
              <w:spacing w:line="360" w:lineRule="auto"/>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112.21</w:t>
            </w:r>
          </w:p>
        </w:tc>
        <w:tc>
          <w:tcPr>
            <w:tcW w:w="3396" w:type="dxa"/>
            <w:tcBorders>
              <w:top w:val="nil"/>
              <w:left w:val="nil"/>
              <w:bottom w:val="single" w:color="auto" w:sz="4" w:space="0"/>
              <w:right w:val="single" w:color="auto" w:sz="4" w:space="0"/>
            </w:tcBorders>
          </w:tcPr>
          <w:p>
            <w:pPr>
              <w:widowControl/>
              <w:spacing w:line="360" w:lineRule="auto"/>
              <w:ind w:firstLine="3600" w:firstLineChars="15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21099</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其他卫生健康支出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2900" w:type="dxa"/>
            <w:tcBorders>
              <w:top w:val="nil"/>
              <w:left w:val="nil"/>
              <w:bottom w:val="single" w:color="auto" w:sz="4" w:space="0"/>
              <w:right w:val="single" w:color="auto" w:sz="4" w:space="0"/>
            </w:tcBorders>
          </w:tcPr>
          <w:p>
            <w:pPr>
              <w:widowControl/>
              <w:spacing w:line="360" w:lineRule="auto"/>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3396" w:type="dxa"/>
            <w:tcBorders>
              <w:top w:val="nil"/>
              <w:left w:val="nil"/>
              <w:bottom w:val="single" w:color="auto" w:sz="4" w:space="0"/>
              <w:right w:val="single" w:color="auto" w:sz="4" w:space="0"/>
            </w:tcBorders>
          </w:tcPr>
          <w:p>
            <w:pPr>
              <w:widowControl/>
              <w:spacing w:line="360" w:lineRule="auto"/>
              <w:ind w:firstLine="3600" w:firstLineChars="15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2109901</w:t>
            </w:r>
          </w:p>
        </w:tc>
        <w:tc>
          <w:tcPr>
            <w:tcW w:w="2784" w:type="dxa"/>
            <w:tcBorders>
              <w:top w:val="nil"/>
              <w:left w:val="nil"/>
              <w:bottom w:val="single" w:color="auto" w:sz="4" w:space="0"/>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其他卫生健康支出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2900" w:type="dxa"/>
            <w:tcBorders>
              <w:top w:val="nil"/>
              <w:left w:val="nil"/>
              <w:bottom w:val="single" w:color="auto" w:sz="4" w:space="0"/>
              <w:right w:val="single" w:color="auto" w:sz="4" w:space="0"/>
            </w:tcBorders>
          </w:tcPr>
          <w:p>
            <w:pPr>
              <w:widowControl/>
              <w:spacing w:line="360" w:lineRule="auto"/>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9.41</w:t>
            </w:r>
          </w:p>
        </w:tc>
        <w:tc>
          <w:tcPr>
            <w:tcW w:w="3396" w:type="dxa"/>
            <w:tcBorders>
              <w:top w:val="nil"/>
              <w:left w:val="nil"/>
              <w:bottom w:val="single" w:color="auto" w:sz="4" w:space="0"/>
              <w:right w:val="single" w:color="auto" w:sz="4" w:space="0"/>
            </w:tcBorders>
          </w:tcPr>
          <w:p>
            <w:pPr>
              <w:widowControl/>
              <w:spacing w:line="360" w:lineRule="auto"/>
              <w:ind w:firstLine="3600" w:firstLineChars="15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住房保障支出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175.10</w:t>
            </w:r>
          </w:p>
        </w:tc>
        <w:tc>
          <w:tcPr>
            <w:tcW w:w="2900" w:type="dxa"/>
            <w:tcBorders>
              <w:top w:val="nil"/>
              <w:left w:val="nil"/>
              <w:bottom w:val="single" w:color="auto" w:sz="4" w:space="0"/>
              <w:right w:val="single" w:color="auto" w:sz="4" w:space="0"/>
            </w:tcBorders>
          </w:tcPr>
          <w:p>
            <w:pPr>
              <w:widowControl/>
              <w:spacing w:line="360" w:lineRule="auto"/>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175.10</w:t>
            </w:r>
          </w:p>
        </w:tc>
        <w:tc>
          <w:tcPr>
            <w:tcW w:w="3396" w:type="dxa"/>
            <w:tcBorders>
              <w:top w:val="nil"/>
              <w:left w:val="nil"/>
              <w:bottom w:val="single" w:color="auto" w:sz="4" w:space="0"/>
              <w:right w:val="single" w:color="auto" w:sz="4" w:space="0"/>
            </w:tcBorders>
          </w:tcPr>
          <w:p>
            <w:pPr>
              <w:widowControl/>
              <w:spacing w:line="360" w:lineRule="auto"/>
              <w:ind w:firstLine="3600" w:firstLineChars="15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22102</w:t>
            </w:r>
          </w:p>
        </w:tc>
        <w:tc>
          <w:tcPr>
            <w:tcW w:w="2784" w:type="dxa"/>
            <w:tcBorders>
              <w:top w:val="nil"/>
              <w:left w:val="nil"/>
              <w:bottom w:val="single" w:color="auto" w:sz="4" w:space="0"/>
              <w:right w:val="single" w:color="auto" w:sz="4" w:space="0"/>
            </w:tcBorders>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住房改革支出</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175.10</w:t>
            </w:r>
          </w:p>
        </w:tc>
        <w:tc>
          <w:tcPr>
            <w:tcW w:w="2900" w:type="dxa"/>
            <w:tcBorders>
              <w:top w:val="nil"/>
              <w:left w:val="nil"/>
              <w:bottom w:val="single" w:color="auto" w:sz="4" w:space="0"/>
              <w:right w:val="single" w:color="auto" w:sz="4" w:space="0"/>
            </w:tcBorders>
          </w:tcPr>
          <w:p>
            <w:pPr>
              <w:widowControl/>
              <w:spacing w:line="360" w:lineRule="auto"/>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175.10</w:t>
            </w:r>
          </w:p>
        </w:tc>
        <w:tc>
          <w:tcPr>
            <w:tcW w:w="3396" w:type="dxa"/>
            <w:tcBorders>
              <w:top w:val="nil"/>
              <w:left w:val="nil"/>
              <w:bottom w:val="single" w:color="auto" w:sz="4" w:space="0"/>
              <w:right w:val="single" w:color="auto" w:sz="4" w:space="0"/>
            </w:tcBorders>
          </w:tcPr>
          <w:p>
            <w:pPr>
              <w:widowControl/>
              <w:spacing w:line="360" w:lineRule="auto"/>
              <w:ind w:firstLine="3600" w:firstLineChars="15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2210201</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住房公积金</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174.99</w:t>
            </w:r>
          </w:p>
        </w:tc>
        <w:tc>
          <w:tcPr>
            <w:tcW w:w="2900" w:type="dxa"/>
            <w:tcBorders>
              <w:top w:val="nil"/>
              <w:left w:val="nil"/>
              <w:bottom w:val="single" w:color="auto" w:sz="4" w:space="0"/>
              <w:right w:val="single" w:color="auto" w:sz="4" w:space="0"/>
            </w:tcBorders>
          </w:tcPr>
          <w:p>
            <w:pPr>
              <w:widowControl/>
              <w:spacing w:line="360" w:lineRule="auto"/>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174.99</w:t>
            </w:r>
          </w:p>
        </w:tc>
        <w:tc>
          <w:tcPr>
            <w:tcW w:w="3396" w:type="dxa"/>
            <w:tcBorders>
              <w:top w:val="nil"/>
              <w:left w:val="nil"/>
              <w:bottom w:val="single" w:color="auto" w:sz="4" w:space="0"/>
              <w:right w:val="single" w:color="auto" w:sz="4" w:space="0"/>
            </w:tcBorders>
          </w:tcPr>
          <w:p>
            <w:pPr>
              <w:widowControl/>
              <w:spacing w:line="360" w:lineRule="auto"/>
              <w:ind w:firstLine="3600" w:firstLineChars="1500"/>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64" w:hRule="atLeast"/>
          <w:jc w:val="center"/>
        </w:trPr>
        <w:tc>
          <w:tcPr>
            <w:tcW w:w="1499" w:type="dxa"/>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2210203</w:t>
            </w:r>
          </w:p>
        </w:tc>
        <w:tc>
          <w:tcPr>
            <w:tcW w:w="2784"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购房补贴</w:t>
            </w:r>
          </w:p>
        </w:tc>
        <w:tc>
          <w:tcPr>
            <w:tcW w:w="29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w:t>
            </w:r>
          </w:p>
        </w:tc>
        <w:tc>
          <w:tcPr>
            <w:tcW w:w="2900" w:type="dxa"/>
            <w:tcBorders>
              <w:top w:val="nil"/>
              <w:left w:val="nil"/>
              <w:bottom w:val="single" w:color="auto" w:sz="4" w:space="0"/>
              <w:right w:val="single" w:color="auto" w:sz="4" w:space="0"/>
            </w:tcBorders>
          </w:tcPr>
          <w:p>
            <w:pPr>
              <w:widowControl/>
              <w:spacing w:line="360" w:lineRule="auto"/>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w:t>
            </w:r>
          </w:p>
        </w:tc>
        <w:tc>
          <w:tcPr>
            <w:tcW w:w="3396" w:type="dxa"/>
            <w:tcBorders>
              <w:top w:val="nil"/>
              <w:left w:val="nil"/>
              <w:bottom w:val="single" w:color="auto" w:sz="4" w:space="0"/>
              <w:right w:val="single" w:color="auto" w:sz="4" w:space="0"/>
            </w:tcBorders>
          </w:tcPr>
          <w:p>
            <w:pPr>
              <w:widowControl/>
              <w:spacing w:line="360" w:lineRule="auto"/>
              <w:ind w:firstLine="3600" w:firstLineChars="1500"/>
              <w:jc w:val="left"/>
              <w:rPr>
                <w:rFonts w:hint="eastAsia" w:ascii="宋体" w:hAnsi="宋体" w:eastAsia="宋体" w:cs="宋体"/>
                <w:color w:val="000000"/>
                <w:kern w:val="0"/>
                <w:sz w:val="24"/>
                <w:szCs w:val="24"/>
              </w:rPr>
            </w:pPr>
          </w:p>
        </w:tc>
      </w:tr>
    </w:tbl>
    <w:p>
      <w:pPr>
        <w:spacing w:line="360" w:lineRule="auto"/>
        <w:rPr>
          <w:rFonts w:hint="eastAsia" w:ascii="宋体" w:hAnsi="宋体" w:eastAsia="宋体" w:cs="宋体"/>
          <w:sz w:val="28"/>
          <w:szCs w:val="28"/>
        </w:rPr>
      </w:pPr>
      <w:r>
        <w:rPr>
          <w:rFonts w:hint="eastAsia" w:ascii="宋体" w:hAnsi="宋体" w:eastAsia="宋体" w:cs="宋体"/>
          <w:sz w:val="24"/>
          <w:szCs w:val="24"/>
        </w:rPr>
        <w:t>注：本表反映部门本年度一般公共预算财政拨款实际支出情况。</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sectPr>
          <w:footerReference r:id="rId5" w:type="default"/>
          <w:pgSz w:w="16838" w:h="11906" w:orient="landscape"/>
          <w:pgMar w:top="1377" w:right="1440" w:bottom="1797" w:left="1440" w:header="851" w:footer="992" w:gutter="0"/>
          <w:pgNumType w:fmt="numberInDash"/>
          <w:cols w:space="720" w:num="1"/>
          <w:docGrid w:type="lines" w:linePitch="312" w:charSpace="0"/>
        </w:sectPr>
      </w:pPr>
    </w:p>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表六</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一般</w:t>
      </w:r>
      <w:r>
        <w:rPr>
          <w:rFonts w:hint="eastAsia" w:ascii="宋体" w:hAnsi="宋体" w:eastAsia="宋体" w:cs="宋体"/>
          <w:color w:val="000000"/>
          <w:kern w:val="0"/>
          <w:sz w:val="28"/>
          <w:szCs w:val="28"/>
        </w:rPr>
        <w:t>公共预算财政拨</w:t>
      </w:r>
      <w:r>
        <w:rPr>
          <w:rFonts w:hint="eastAsia" w:ascii="宋体" w:hAnsi="宋体" w:eastAsia="宋体" w:cs="宋体"/>
          <w:kern w:val="0"/>
          <w:sz w:val="28"/>
          <w:szCs w:val="28"/>
        </w:rPr>
        <w:t>款基本支出决算表</w:t>
      </w:r>
    </w:p>
    <w:p>
      <w:pPr>
        <w:spacing w:line="360" w:lineRule="auto"/>
        <w:ind w:right="330"/>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bl>
      <w:tblPr>
        <w:tblStyle w:val="5"/>
        <w:tblW w:w="9151" w:type="dxa"/>
        <w:jc w:val="center"/>
        <w:tblLayout w:type="fixed"/>
        <w:tblCellMar>
          <w:top w:w="0" w:type="dxa"/>
          <w:left w:w="108" w:type="dxa"/>
          <w:bottom w:w="0" w:type="dxa"/>
          <w:right w:w="108" w:type="dxa"/>
        </w:tblCellMar>
      </w:tblPr>
      <w:tblGrid>
        <w:gridCol w:w="2050"/>
        <w:gridCol w:w="1838"/>
        <w:gridCol w:w="1099"/>
        <w:gridCol w:w="1458"/>
        <w:gridCol w:w="1530"/>
        <w:gridCol w:w="1176"/>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公用经费</w:t>
            </w:r>
          </w:p>
        </w:tc>
      </w:tr>
      <w:tr>
        <w:tblPrEx>
          <w:tblCellMar>
            <w:top w:w="0" w:type="dxa"/>
            <w:left w:w="108" w:type="dxa"/>
            <w:bottom w:w="0" w:type="dxa"/>
            <w:right w:w="108" w:type="dxa"/>
          </w:tblCellMar>
        </w:tblPrEx>
        <w:trPr>
          <w:trHeight w:val="312" w:hRule="atLeast"/>
          <w:jc w:val="center"/>
        </w:trPr>
        <w:tc>
          <w:tcPr>
            <w:tcW w:w="2050" w:type="dxa"/>
            <w:tcBorders>
              <w:top w:val="nil"/>
              <w:left w:val="single" w:color="auto" w:sz="4" w:space="0"/>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支出经济分类科目编码</w:t>
            </w:r>
          </w:p>
        </w:tc>
        <w:tc>
          <w:tcPr>
            <w:tcW w:w="1838"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科目名称</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w:t>
            </w:r>
          </w:p>
        </w:tc>
        <w:tc>
          <w:tcPr>
            <w:tcW w:w="1458"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经济分类科目编码</w:t>
            </w:r>
          </w:p>
        </w:tc>
        <w:tc>
          <w:tcPr>
            <w:tcW w:w="1530"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科目名称</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w:t>
            </w:r>
          </w:p>
        </w:tc>
      </w:tr>
      <w:tr>
        <w:tblPrEx>
          <w:tblCellMar>
            <w:top w:w="0" w:type="dxa"/>
            <w:left w:w="108" w:type="dxa"/>
            <w:bottom w:w="0" w:type="dxa"/>
            <w:right w:w="108" w:type="dxa"/>
          </w:tblCellMar>
        </w:tblPrEx>
        <w:trPr>
          <w:trHeight w:val="264"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工资福利支出</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2641.04</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商品和服务支出　</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425.17</w:t>
            </w:r>
          </w:p>
        </w:tc>
      </w:tr>
      <w:tr>
        <w:tblPrEx>
          <w:tblCellMar>
            <w:top w:w="0" w:type="dxa"/>
            <w:left w:w="108" w:type="dxa"/>
            <w:bottom w:w="0" w:type="dxa"/>
            <w:right w:w="108" w:type="dxa"/>
          </w:tblCellMar>
        </w:tblPrEx>
        <w:trPr>
          <w:trHeight w:val="264"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30101</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基本工资</w:t>
            </w:r>
          </w:p>
        </w:tc>
        <w:tc>
          <w:tcPr>
            <w:tcW w:w="109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660.21</w:t>
            </w:r>
          </w:p>
        </w:tc>
        <w:tc>
          <w:tcPr>
            <w:tcW w:w="145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30201</w:t>
            </w:r>
          </w:p>
        </w:tc>
        <w:tc>
          <w:tcPr>
            <w:tcW w:w="153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办公费　</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53.55</w:t>
            </w:r>
          </w:p>
        </w:tc>
      </w:tr>
      <w:tr>
        <w:tblPrEx>
          <w:tblCellMar>
            <w:top w:w="0" w:type="dxa"/>
            <w:left w:w="108" w:type="dxa"/>
            <w:bottom w:w="0" w:type="dxa"/>
            <w:right w:w="108" w:type="dxa"/>
          </w:tblCellMar>
        </w:tblPrEx>
        <w:trPr>
          <w:trHeight w:val="264"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30102</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津贴补贴</w:t>
            </w:r>
          </w:p>
        </w:tc>
        <w:tc>
          <w:tcPr>
            <w:tcW w:w="109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504.94</w:t>
            </w:r>
          </w:p>
        </w:tc>
        <w:tc>
          <w:tcPr>
            <w:tcW w:w="145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30202</w:t>
            </w:r>
          </w:p>
        </w:tc>
        <w:tc>
          <w:tcPr>
            <w:tcW w:w="153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印刷费　</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4.23</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30103</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奖金  　</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618.20</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30203</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咨询费　</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30106</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伙食补助费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38.41</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30204</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手续费　</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0.52</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30107</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绩效工资</w:t>
            </w:r>
          </w:p>
        </w:tc>
        <w:tc>
          <w:tcPr>
            <w:tcW w:w="109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71.52</w:t>
            </w:r>
          </w:p>
        </w:tc>
        <w:tc>
          <w:tcPr>
            <w:tcW w:w="145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30205</w:t>
            </w:r>
          </w:p>
        </w:tc>
        <w:tc>
          <w:tcPr>
            <w:tcW w:w="153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水费　</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0.74</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30108</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机关事业单位基本养老保险缴费</w:t>
            </w:r>
          </w:p>
        </w:tc>
        <w:tc>
          <w:tcPr>
            <w:tcW w:w="109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217.65</w:t>
            </w:r>
          </w:p>
        </w:tc>
        <w:tc>
          <w:tcPr>
            <w:tcW w:w="145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30206</w:t>
            </w:r>
          </w:p>
        </w:tc>
        <w:tc>
          <w:tcPr>
            <w:tcW w:w="153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电费　</w:t>
            </w:r>
          </w:p>
        </w:tc>
        <w:tc>
          <w:tcPr>
            <w:tcW w:w="117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3.68</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30109</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职业年金缴费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113.89</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30207</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邮电费　</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36.35</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30110</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职工基本医疗保险缴费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107.07</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30208</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取暖费　</w:t>
            </w:r>
          </w:p>
        </w:tc>
        <w:tc>
          <w:tcPr>
            <w:tcW w:w="117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30111</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公务员医疗补助缴费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117.03</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30209</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物业管理费　</w:t>
            </w:r>
          </w:p>
        </w:tc>
        <w:tc>
          <w:tcPr>
            <w:tcW w:w="117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9.81</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30112</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其他社会保障缴费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4.66</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30211</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差旅费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61.99</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30113</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住房公积金</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177.10</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30213</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维修（护）费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18.41</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30114</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医疗费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30214</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租赁费</w:t>
            </w:r>
          </w:p>
        </w:tc>
        <w:tc>
          <w:tcPr>
            <w:tcW w:w="117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11.90</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30199</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其他工资福利支出</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10.36</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30215</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会议费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1.56</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对个人和家庭的补助</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105.98</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30216</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培训费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3.16</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30301</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离休费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30217</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公务接待费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3.45</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30302</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退休费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53.92</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30226</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劳务费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49.80</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30304</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抚恤金</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51.52</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30227</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委托业务费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0.03</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30305</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生活补助</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30228</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工会经费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28.89</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30306</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救济费</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30229</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福利费</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9.90</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30399</w:t>
            </w: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其他对个人和家庭的补助</w:t>
            </w:r>
          </w:p>
        </w:tc>
        <w:tc>
          <w:tcPr>
            <w:tcW w:w="109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0.54</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30231</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公务用车运行维护费</w:t>
            </w:r>
          </w:p>
        </w:tc>
        <w:tc>
          <w:tcPr>
            <w:tcW w:w="117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27.68</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1838" w:type="dxa"/>
            <w:tcBorders>
              <w:top w:val="nil"/>
              <w:left w:val="nil"/>
              <w:bottom w:val="single" w:color="auto" w:sz="4" w:space="0"/>
              <w:right w:val="single" w:color="auto" w:sz="4" w:space="0"/>
            </w:tcBorders>
            <w:vAlign w:val="center"/>
          </w:tcPr>
          <w:p>
            <w:pPr>
              <w:widowControl/>
              <w:spacing w:line="360" w:lineRule="auto"/>
              <w:jc w:val="left"/>
              <w:textAlignment w:val="center"/>
              <w:rPr>
                <w:rFonts w:hint="eastAsia" w:ascii="宋体" w:hAnsi="宋体" w:eastAsia="宋体" w:cs="宋体"/>
                <w:color w:val="000000"/>
                <w:kern w:val="0"/>
                <w:sz w:val="24"/>
                <w:szCs w:val="24"/>
              </w:rPr>
            </w:pP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30239</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其他交通费用</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24.35</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307</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债务利息支出　</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30240</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税金及附加费用</w:t>
            </w:r>
          </w:p>
        </w:tc>
        <w:tc>
          <w:tcPr>
            <w:tcW w:w="1176"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0.89</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310</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资本性支出</w:t>
            </w:r>
          </w:p>
        </w:tc>
        <w:tc>
          <w:tcPr>
            <w:tcW w:w="109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w:t>
            </w:r>
          </w:p>
        </w:tc>
        <w:tc>
          <w:tcPr>
            <w:tcW w:w="145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30299</w:t>
            </w: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其他商品和服务支出</w:t>
            </w:r>
          </w:p>
        </w:tc>
        <w:tc>
          <w:tcPr>
            <w:tcW w:w="117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74.26</w:t>
            </w: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31002</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办公设备购置</w:t>
            </w:r>
          </w:p>
        </w:tc>
        <w:tc>
          <w:tcPr>
            <w:tcW w:w="1099" w:type="dxa"/>
            <w:tcBorders>
              <w:top w:val="nil"/>
              <w:left w:val="nil"/>
              <w:bottom w:val="single" w:color="auto" w:sz="4" w:space="0"/>
              <w:right w:val="single" w:color="auto" w:sz="4" w:space="0"/>
            </w:tcBorders>
            <w:vAlign w:val="bottom"/>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w:t>
            </w: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p>
        </w:tc>
        <w:tc>
          <w:tcPr>
            <w:tcW w:w="1176"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76" w:hRule="atLeast"/>
          <w:jc w:val="center"/>
        </w:trPr>
        <w:tc>
          <w:tcPr>
            <w:tcW w:w="2050" w:type="dxa"/>
            <w:tcBorders>
              <w:top w:val="nil"/>
              <w:left w:val="single" w:color="auto" w:sz="4" w:space="0"/>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399</w:t>
            </w:r>
          </w:p>
        </w:tc>
        <w:tc>
          <w:tcPr>
            <w:tcW w:w="183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其他支出　</w:t>
            </w:r>
          </w:p>
        </w:tc>
        <w:tc>
          <w:tcPr>
            <w:tcW w:w="1099"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p>
        </w:tc>
        <w:tc>
          <w:tcPr>
            <w:tcW w:w="1458"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p>
        </w:tc>
        <w:tc>
          <w:tcPr>
            <w:tcW w:w="1530"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p>
        </w:tc>
        <w:tc>
          <w:tcPr>
            <w:tcW w:w="1176"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64" w:hRule="atLeast"/>
          <w:jc w:val="center"/>
        </w:trPr>
        <w:tc>
          <w:tcPr>
            <w:tcW w:w="3888" w:type="dxa"/>
            <w:gridSpan w:val="2"/>
            <w:tcBorders>
              <w:top w:val="nil"/>
              <w:left w:val="single" w:color="auto" w:sz="4" w:space="0"/>
              <w:bottom w:val="single" w:color="auto" w:sz="4" w:space="0"/>
              <w:right w:val="single" w:color="auto" w:sz="4" w:space="0"/>
            </w:tcBorders>
            <w:vAlign w:val="center"/>
          </w:tcPr>
          <w:p>
            <w:pPr>
              <w:widowControl/>
              <w:spacing w:line="360" w:lineRule="auto"/>
              <w:ind w:firstLine="840" w:firstLineChars="3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人员经费合计</w:t>
            </w:r>
          </w:p>
        </w:tc>
        <w:tc>
          <w:tcPr>
            <w:tcW w:w="1099"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2747.02</w:t>
            </w:r>
          </w:p>
        </w:tc>
        <w:tc>
          <w:tcPr>
            <w:tcW w:w="2988"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公用经费合计</w:t>
            </w:r>
          </w:p>
        </w:tc>
        <w:tc>
          <w:tcPr>
            <w:tcW w:w="1176" w:type="dxa"/>
            <w:tcBorders>
              <w:top w:val="nil"/>
              <w:left w:val="nil"/>
              <w:bottom w:val="single" w:color="auto" w:sz="4" w:space="0"/>
              <w:right w:val="single" w:color="auto" w:sz="4" w:space="0"/>
            </w:tcBorders>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430.50</w:t>
            </w:r>
          </w:p>
        </w:tc>
      </w:tr>
    </w:tbl>
    <w:p>
      <w:pPr>
        <w:spacing w:line="360" w:lineRule="auto"/>
        <w:rPr>
          <w:rFonts w:hint="eastAsia" w:ascii="宋体" w:hAnsi="宋体" w:eastAsia="宋体" w:cs="宋体"/>
          <w:sz w:val="24"/>
          <w:szCs w:val="24"/>
        </w:rPr>
        <w:sectPr>
          <w:pgSz w:w="11906" w:h="16838"/>
          <w:pgMar w:top="1440" w:right="1797" w:bottom="1440" w:left="1797" w:header="851" w:footer="992" w:gutter="0"/>
          <w:pgNumType w:fmt="numberInDash"/>
          <w:cols w:space="720" w:num="1"/>
          <w:docGrid w:type="lines" w:linePitch="312" w:charSpace="0"/>
        </w:sectPr>
      </w:pPr>
      <w:r>
        <w:rPr>
          <w:rFonts w:hint="eastAsia" w:ascii="宋体" w:hAnsi="宋体" w:eastAsia="宋体" w:cs="宋体"/>
          <w:sz w:val="24"/>
          <w:szCs w:val="24"/>
        </w:rPr>
        <w:t>注：本表反映部门本年度一般公共预算财政拨款基本支出明细情况。</w:t>
      </w:r>
    </w:p>
    <w:p>
      <w:pPr>
        <w:spacing w:line="360" w:lineRule="auto"/>
        <w:jc w:val="center"/>
        <w:rPr>
          <w:rFonts w:hint="eastAsia" w:ascii="宋体" w:hAnsi="宋体" w:eastAsia="宋体" w:cs="宋体"/>
          <w:kern w:val="0"/>
          <w:sz w:val="28"/>
          <w:szCs w:val="28"/>
        </w:rPr>
      </w:pPr>
    </w:p>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表七：</w:t>
      </w:r>
      <w:r>
        <w:rPr>
          <w:rFonts w:hint="eastAsia" w:ascii="宋体" w:hAnsi="宋体" w:eastAsia="宋体" w:cs="宋体"/>
          <w:sz w:val="28"/>
          <w:szCs w:val="28"/>
        </w:rPr>
        <w:t>一般</w:t>
      </w:r>
      <w:r>
        <w:rPr>
          <w:rFonts w:hint="eastAsia" w:ascii="宋体" w:hAnsi="宋体" w:eastAsia="宋体" w:cs="宋体"/>
          <w:kern w:val="0"/>
          <w:sz w:val="28"/>
          <w:szCs w:val="28"/>
        </w:rPr>
        <w:t>公共预算财政拨款安排的“三公”经费支出决算表</w:t>
      </w:r>
    </w:p>
    <w:p>
      <w:pPr>
        <w:spacing w:line="360" w:lineRule="auto"/>
        <w:rPr>
          <w:rFonts w:hint="eastAsia" w:ascii="宋体" w:hAnsi="宋体" w:eastAsia="宋体" w:cs="宋体"/>
          <w:sz w:val="28"/>
          <w:szCs w:val="28"/>
        </w:rPr>
      </w:pP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603" w:type="dxa"/>
            <w:vMerge w:val="restart"/>
            <w:tcBorders>
              <w:top w:val="nil"/>
              <w:left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公务用车购置及运行费</w:t>
            </w:r>
          </w:p>
        </w:tc>
        <w:tc>
          <w:tcPr>
            <w:tcW w:w="1216" w:type="dxa"/>
            <w:vMerge w:val="restart"/>
            <w:tcBorders>
              <w:top w:val="nil"/>
              <w:left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560" w:type="dxa"/>
            <w:vMerge w:val="restart"/>
            <w:tcBorders>
              <w:top w:val="nil"/>
              <w:left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公务用车购置及运行费</w:t>
            </w:r>
          </w:p>
        </w:tc>
        <w:tc>
          <w:tcPr>
            <w:tcW w:w="1183" w:type="dxa"/>
            <w:vMerge w:val="restart"/>
            <w:tcBorders>
              <w:top w:val="nil"/>
              <w:left w:val="nil"/>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603" w:type="dxa"/>
            <w:vMerge w:val="continue"/>
            <w:tcBorders>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小计</w:t>
            </w:r>
          </w:p>
        </w:tc>
        <w:tc>
          <w:tcPr>
            <w:tcW w:w="12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购置费</w:t>
            </w:r>
          </w:p>
        </w:tc>
        <w:tc>
          <w:tcPr>
            <w:tcW w:w="12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运行费</w:t>
            </w:r>
          </w:p>
        </w:tc>
        <w:tc>
          <w:tcPr>
            <w:tcW w:w="1216" w:type="dxa"/>
            <w:vMerge w:val="continue"/>
            <w:tcBorders>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80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560" w:type="dxa"/>
            <w:vMerge w:val="continue"/>
            <w:tcBorders>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小计</w:t>
            </w:r>
          </w:p>
        </w:tc>
        <w:tc>
          <w:tcPr>
            <w:tcW w:w="139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购置费</w:t>
            </w:r>
          </w:p>
        </w:tc>
        <w:tc>
          <w:tcPr>
            <w:tcW w:w="120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运行费</w:t>
            </w:r>
          </w:p>
        </w:tc>
        <w:tc>
          <w:tcPr>
            <w:tcW w:w="1183" w:type="dxa"/>
            <w:vMerge w:val="continue"/>
            <w:tcBorders>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60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1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56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39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20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8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40.50</w:t>
            </w:r>
          </w:p>
        </w:tc>
        <w:tc>
          <w:tcPr>
            <w:tcW w:w="1603" w:type="dxa"/>
            <w:tcBorders>
              <w:top w:val="nil"/>
              <w:left w:val="nil"/>
              <w:bottom w:val="single" w:color="auto" w:sz="4" w:space="0"/>
              <w:right w:val="single" w:color="auto" w:sz="4" w:space="0"/>
            </w:tcBorders>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29.09</w:t>
            </w:r>
          </w:p>
        </w:tc>
        <w:tc>
          <w:tcPr>
            <w:tcW w:w="12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p>
        </w:tc>
        <w:tc>
          <w:tcPr>
            <w:tcW w:w="124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29.09</w:t>
            </w:r>
          </w:p>
        </w:tc>
        <w:tc>
          <w:tcPr>
            <w:tcW w:w="1216" w:type="dxa"/>
            <w:tcBorders>
              <w:top w:val="nil"/>
              <w:left w:val="nil"/>
              <w:bottom w:val="single" w:color="auto" w:sz="4" w:space="0"/>
              <w:right w:val="single" w:color="auto" w:sz="4" w:space="0"/>
            </w:tcBorders>
            <w:vAlign w:val="center"/>
          </w:tcPr>
          <w:p>
            <w:pPr>
              <w:widowControl/>
              <w:spacing w:line="360" w:lineRule="auto"/>
              <w:ind w:firstLine="240" w:firstLineChars="1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11.40</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28.07</w:t>
            </w:r>
          </w:p>
        </w:tc>
        <w:tc>
          <w:tcPr>
            <w:tcW w:w="1560" w:type="dxa"/>
            <w:tcBorders>
              <w:top w:val="nil"/>
              <w:left w:val="nil"/>
              <w:bottom w:val="single" w:color="auto" w:sz="4" w:space="0"/>
              <w:right w:val="single" w:color="auto" w:sz="4" w:space="0"/>
            </w:tcBorders>
            <w:vAlign w:val="center"/>
          </w:tcPr>
          <w:p>
            <w:pPr>
              <w:widowControl/>
              <w:spacing w:line="360" w:lineRule="auto"/>
              <w:ind w:firstLine="240" w:firstLineChars="100"/>
              <w:jc w:val="center"/>
              <w:rPr>
                <w:rFonts w:hint="eastAsia" w:ascii="宋体" w:hAnsi="宋体" w:eastAsia="宋体" w:cs="宋体"/>
                <w:color w:val="000000"/>
                <w:kern w:val="0"/>
                <w:sz w:val="24"/>
                <w:szCs w:val="24"/>
              </w:rPr>
            </w:pP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23.68</w:t>
            </w:r>
          </w:p>
        </w:tc>
        <w:tc>
          <w:tcPr>
            <w:tcW w:w="1398" w:type="dxa"/>
            <w:tcBorders>
              <w:top w:val="nil"/>
              <w:left w:val="nil"/>
              <w:bottom w:val="single" w:color="auto" w:sz="4" w:space="0"/>
              <w:right w:val="single" w:color="auto" w:sz="4" w:space="0"/>
            </w:tcBorders>
            <w:vAlign w:val="center"/>
          </w:tcPr>
          <w:p>
            <w:pPr>
              <w:widowControl/>
              <w:spacing w:line="360" w:lineRule="auto"/>
              <w:ind w:firstLine="480" w:firstLineChars="200"/>
              <w:jc w:val="center"/>
              <w:rPr>
                <w:rFonts w:hint="eastAsia" w:ascii="宋体" w:hAnsi="宋体" w:eastAsia="宋体" w:cs="宋体"/>
                <w:color w:val="000000"/>
                <w:kern w:val="0"/>
                <w:sz w:val="24"/>
                <w:szCs w:val="24"/>
              </w:rPr>
            </w:pPr>
          </w:p>
        </w:tc>
        <w:tc>
          <w:tcPr>
            <w:tcW w:w="1208"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23.68</w:t>
            </w:r>
          </w:p>
        </w:tc>
        <w:tc>
          <w:tcPr>
            <w:tcW w:w="1183" w:type="dxa"/>
            <w:tcBorders>
              <w:top w:val="nil"/>
              <w:left w:val="nil"/>
              <w:bottom w:val="single" w:color="auto" w:sz="4" w:space="0"/>
              <w:right w:val="single" w:color="auto" w:sz="4" w:space="0"/>
            </w:tcBorders>
            <w:vAlign w:val="center"/>
          </w:tcPr>
          <w:p>
            <w:pPr>
              <w:widowControl/>
              <w:spacing w:line="360" w:lineRule="auto"/>
              <w:ind w:firstLine="240" w:firstLineChars="1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4.38</w:t>
            </w:r>
          </w:p>
        </w:tc>
      </w:tr>
    </w:tbl>
    <w:p>
      <w:pPr>
        <w:spacing w:line="360" w:lineRule="auto"/>
        <w:rPr>
          <w:rFonts w:hint="eastAsia" w:ascii="宋体" w:hAnsi="宋体" w:eastAsia="宋体" w:cs="宋体"/>
          <w:sz w:val="24"/>
          <w:szCs w:val="24"/>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sz w:val="24"/>
          <w:szCs w:val="24"/>
        </w:rPr>
        <w:t>注：本表反映部门本年度“三公”经费支出预决算情况。其中，2020年度预算数为“三公”经费年初预算数，决算数是包括当年一般公共预算财政拨款和以前年度结转资金安排的实际支出。</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385"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765"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1040" w:type="dxa"/>
            <w:tcBorders>
              <w:top w:val="nil"/>
              <w:left w:val="nil"/>
              <w:bottom w:val="nil"/>
              <w:right w:val="nil"/>
            </w:tcBorders>
            <w:vAlign w:val="bottom"/>
          </w:tcPr>
          <w:p>
            <w:pPr>
              <w:widowControl/>
              <w:spacing w:line="360" w:lineRule="auto"/>
              <w:jc w:val="left"/>
              <w:rPr>
                <w:rFonts w:hint="eastAsia" w:ascii="宋体" w:hAnsi="宋体" w:eastAsia="宋体" w:cs="宋体"/>
                <w:kern w:val="0"/>
                <w:sz w:val="28"/>
                <w:szCs w:val="28"/>
              </w:rPr>
            </w:pPr>
          </w:p>
        </w:tc>
        <w:tc>
          <w:tcPr>
            <w:tcW w:w="2010" w:type="dxa"/>
            <w:gridSpan w:val="2"/>
            <w:tcBorders>
              <w:top w:val="nil"/>
              <w:left w:val="nil"/>
              <w:bottom w:val="nil"/>
              <w:right w:val="nil"/>
            </w:tcBorders>
            <w:vAlign w:val="bottom"/>
          </w:tcPr>
          <w:p>
            <w:pPr>
              <w:widowControl/>
              <w:spacing w:line="360" w:lineRule="auto"/>
              <w:jc w:val="right"/>
              <w:rPr>
                <w:rFonts w:hint="eastAsia" w:ascii="宋体" w:hAnsi="宋体" w:eastAsia="宋体" w:cs="宋体"/>
                <w:kern w:val="0"/>
                <w:sz w:val="28"/>
                <w:szCs w:val="28"/>
              </w:rPr>
            </w:pPr>
            <w:r>
              <w:rPr>
                <w:rFonts w:hint="eastAsia" w:ascii="宋体" w:hAnsi="宋体" w:eastAsia="宋体" w:cs="宋体"/>
                <w:kern w:val="0"/>
                <w:sz w:val="24"/>
                <w:szCs w:val="24"/>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spacing w:line="360" w:lineRule="auto"/>
              <w:jc w:val="left"/>
              <w:rPr>
                <w:rFonts w:hint="eastAsia" w:ascii="宋体" w:hAnsi="宋体" w:eastAsia="宋体" w:cs="宋体"/>
                <w:kern w:val="0"/>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spacing w:line="360" w:lineRule="auto"/>
              <w:jc w:val="left"/>
              <w:rPr>
                <w:rFonts w:hint="eastAsia" w:ascii="宋体" w:hAnsi="宋体" w:eastAsia="宋体" w:cs="宋体"/>
                <w:kern w:val="0"/>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65" w:type="dxa"/>
            <w:vMerge w:val="continue"/>
            <w:tcBorders>
              <w:top w:val="nil"/>
              <w:left w:val="single" w:color="auto" w:sz="4" w:space="0"/>
              <w:bottom w:val="nil"/>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nil"/>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nil"/>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continue"/>
            <w:tcBorders>
              <w:top w:val="single" w:color="auto" w:sz="4" w:space="0"/>
              <w:left w:val="single" w:color="auto" w:sz="4" w:space="0"/>
              <w:bottom w:val="nil"/>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102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合  计</w:t>
            </w:r>
          </w:p>
        </w:tc>
        <w:tc>
          <w:tcPr>
            <w:tcW w:w="765" w:type="dxa"/>
            <w:tcBorders>
              <w:top w:val="single" w:color="auto" w:sz="4" w:space="0"/>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single" w:color="auto" w:sz="4" w:space="0"/>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single" w:color="auto" w:sz="4" w:space="0"/>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single" w:color="auto" w:sz="4" w:space="0"/>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类</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款</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项</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65"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4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注：本表反映部门本年度政府性基金预算财政拨款收入支出及结转和结余情况。</w:t>
      </w:r>
    </w:p>
    <w:p>
      <w:pPr>
        <w:spacing w:line="360" w:lineRule="auto"/>
        <w:ind w:firstLine="420"/>
        <w:rPr>
          <w:rFonts w:hint="eastAsia" w:ascii="宋体" w:hAnsi="宋体" w:eastAsia="宋体" w:cs="宋体"/>
          <w:sz w:val="28"/>
          <w:szCs w:val="28"/>
        </w:rPr>
      </w:pPr>
      <w:r>
        <w:rPr>
          <w:rFonts w:hint="eastAsia" w:ascii="宋体" w:hAnsi="宋体" w:eastAsia="宋体" w:cs="宋体"/>
          <w:sz w:val="24"/>
          <w:szCs w:val="24"/>
        </w:rPr>
        <w:t>柳州市人民政府办公室没有政府性基金收入，也没有政府性基金安排的支出，故本表无数据。</w:t>
      </w:r>
    </w:p>
    <w:p>
      <w:pPr>
        <w:spacing w:line="360" w:lineRule="auto"/>
        <w:ind w:firstLine="420"/>
        <w:rPr>
          <w:rFonts w:hint="eastAsia" w:ascii="宋体" w:hAnsi="宋体" w:eastAsia="宋体" w:cs="宋体"/>
          <w:sz w:val="28"/>
          <w:szCs w:val="28"/>
        </w:rPr>
      </w:pPr>
    </w:p>
    <w:tbl>
      <w:tblPr>
        <w:tblStyle w:val="5"/>
        <w:tblW w:w="13520" w:type="dxa"/>
        <w:tblInd w:w="-13"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部门：</w:t>
            </w:r>
          </w:p>
        </w:tc>
        <w:tc>
          <w:tcPr>
            <w:tcW w:w="1292" w:type="dxa"/>
            <w:shd w:val="clear" w:color="auto" w:fill="FFFFFF"/>
            <w:vAlign w:val="center"/>
          </w:tcPr>
          <w:p>
            <w:pPr>
              <w:spacing w:line="360" w:lineRule="auto"/>
              <w:jc w:val="center"/>
              <w:rPr>
                <w:rFonts w:hint="eastAsia" w:ascii="宋体" w:hAnsi="宋体" w:eastAsia="宋体" w:cs="宋体"/>
                <w:color w:val="000000"/>
                <w:sz w:val="24"/>
                <w:szCs w:val="24"/>
              </w:rPr>
            </w:pPr>
          </w:p>
        </w:tc>
        <w:tc>
          <w:tcPr>
            <w:tcW w:w="2249" w:type="dxa"/>
            <w:shd w:val="clear" w:color="auto" w:fill="FFFFFF"/>
            <w:vAlign w:val="center"/>
          </w:tcPr>
          <w:p>
            <w:pPr>
              <w:spacing w:line="360" w:lineRule="auto"/>
              <w:jc w:val="center"/>
              <w:rPr>
                <w:rFonts w:hint="eastAsia" w:ascii="宋体" w:hAnsi="宋体" w:eastAsia="宋体" w:cs="宋体"/>
                <w:color w:val="000000"/>
                <w:sz w:val="24"/>
                <w:szCs w:val="24"/>
              </w:rPr>
            </w:pPr>
          </w:p>
        </w:tc>
        <w:tc>
          <w:tcPr>
            <w:tcW w:w="3242" w:type="dxa"/>
            <w:tcBorders>
              <w:bottom w:val="single" w:color="000000" w:sz="12" w:space="0"/>
            </w:tcBorders>
            <w:shd w:val="clear" w:color="auto" w:fill="FFFFFF"/>
            <w:vAlign w:val="center"/>
          </w:tcPr>
          <w:p>
            <w:pPr>
              <w:spacing w:line="360" w:lineRule="auto"/>
              <w:rPr>
                <w:rFonts w:hint="eastAsia" w:ascii="宋体" w:hAnsi="宋体" w:eastAsia="宋体" w:cs="宋体"/>
                <w:color w:val="000000"/>
                <w:sz w:val="24"/>
                <w:szCs w:val="24"/>
              </w:rPr>
            </w:pPr>
          </w:p>
        </w:tc>
        <w:tc>
          <w:tcPr>
            <w:tcW w:w="1344" w:type="dxa"/>
            <w:tcBorders>
              <w:bottom w:val="single" w:color="000000" w:sz="12" w:space="0"/>
            </w:tcBorders>
            <w:shd w:val="clear" w:color="auto" w:fill="FFFFFF"/>
            <w:vAlign w:val="center"/>
          </w:tcPr>
          <w:p>
            <w:pPr>
              <w:spacing w:line="360" w:lineRule="auto"/>
              <w:rPr>
                <w:rFonts w:hint="eastAsia" w:ascii="宋体" w:hAnsi="宋体" w:eastAsia="宋体" w:cs="宋体"/>
                <w:color w:val="000000"/>
                <w:sz w:val="24"/>
                <w:szCs w:val="24"/>
              </w:rPr>
            </w:pPr>
          </w:p>
        </w:tc>
        <w:tc>
          <w:tcPr>
            <w:tcW w:w="4075" w:type="dxa"/>
            <w:shd w:val="clear" w:color="auto" w:fill="FFFFFF"/>
            <w:vAlign w:val="center"/>
          </w:tcPr>
          <w:p>
            <w:pPr>
              <w:widowControl/>
              <w:spacing w:line="360" w:lineRule="auto"/>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1"/>
                <w:rFonts w:hint="eastAsia" w:ascii="宋体" w:hAnsi="宋体" w:eastAsia="宋体" w:cs="宋体"/>
                <w:sz w:val="24"/>
                <w:szCs w:val="24"/>
              </w:rPr>
              <w:t xml:space="preserve">   </w:t>
            </w:r>
            <w:r>
              <w:rPr>
                <w:rStyle w:val="12"/>
                <w:rFonts w:hint="eastAsia" w:ascii="宋体" w:hAnsi="宋体" w:eastAsia="宋体" w:cs="宋体"/>
                <w:sz w:val="24"/>
                <w:szCs w:val="24"/>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12"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spacing w:line="360" w:lineRule="auto"/>
              <w:jc w:val="center"/>
              <w:rPr>
                <w:rFonts w:hint="eastAsia" w:ascii="宋体" w:hAnsi="宋体" w:eastAsia="宋体" w:cs="宋体"/>
                <w:color w:val="000000"/>
                <w:sz w:val="24"/>
                <w:szCs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spacing w:line="360" w:lineRule="auto"/>
              <w:rPr>
                <w:rFonts w:hint="eastAsia" w:ascii="宋体" w:hAnsi="宋体" w:eastAsia="宋体" w:cs="宋体"/>
                <w:color w:val="000000"/>
                <w:sz w:val="24"/>
                <w:szCs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spacing w:line="360" w:lineRule="auto"/>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注：本表反映部门本年度国有资本经营预算财政拨款支出情况。</w:t>
            </w:r>
          </w:p>
        </w:tc>
      </w:tr>
    </w:tbl>
    <w:p>
      <w:pPr>
        <w:spacing w:line="360" w:lineRule="auto"/>
        <w:ind w:firstLine="420"/>
        <w:rPr>
          <w:rFonts w:hint="eastAsia" w:ascii="宋体" w:hAnsi="宋体" w:eastAsia="宋体" w:cs="宋体"/>
          <w:sz w:val="28"/>
          <w:szCs w:val="28"/>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sz w:val="24"/>
          <w:szCs w:val="24"/>
        </w:rPr>
        <w:t>柳州市人民政府办公室没有政府性基金收入，也没有政府性基金安排的支出，故本表无数据。</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第三部分：</w:t>
      </w:r>
      <w:r>
        <w:rPr>
          <w:rFonts w:hint="eastAsia" w:ascii="宋体" w:hAnsi="宋体" w:eastAsia="宋体" w:cs="宋体"/>
          <w:b/>
          <w:bCs/>
          <w:sz w:val="28"/>
          <w:szCs w:val="28"/>
        </w:rPr>
        <w:t>柳州市人民政府办公室</w:t>
      </w:r>
      <w:r>
        <w:rPr>
          <w:rFonts w:hint="eastAsia" w:ascii="宋体" w:hAnsi="宋体" w:eastAsia="宋体" w:cs="宋体"/>
          <w:b/>
          <w:bCs/>
          <w:sz w:val="28"/>
          <w:szCs w:val="28"/>
        </w:rPr>
        <w:t>2020</w:t>
      </w:r>
      <w:r>
        <w:rPr>
          <w:rFonts w:hint="eastAsia" w:ascii="宋体" w:hAnsi="宋体" w:eastAsia="宋体" w:cs="宋体"/>
          <w:b/>
          <w:bCs/>
          <w:sz w:val="28"/>
          <w:szCs w:val="28"/>
        </w:rPr>
        <w:t>年度部门决算情况说明</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一、</w:t>
      </w:r>
      <w:r>
        <w:rPr>
          <w:rFonts w:hint="eastAsia" w:ascii="宋体" w:hAnsi="宋体" w:eastAsia="宋体" w:cs="宋体"/>
          <w:b/>
          <w:bCs/>
          <w:kern w:val="0"/>
          <w:sz w:val="28"/>
          <w:szCs w:val="28"/>
        </w:rPr>
        <w:t>2020</w:t>
      </w:r>
      <w:r>
        <w:rPr>
          <w:rFonts w:hint="eastAsia" w:ascii="宋体" w:hAnsi="宋体" w:eastAsia="宋体" w:cs="宋体"/>
          <w:b/>
          <w:bCs/>
          <w:kern w:val="0"/>
          <w:sz w:val="28"/>
          <w:szCs w:val="28"/>
        </w:rPr>
        <w:t>年度收入支出决算总体情况</w:t>
      </w:r>
    </w:p>
    <w:p>
      <w:pPr>
        <w:autoSpaceDE w:val="0"/>
        <w:autoSpaceDN w:val="0"/>
        <w:adjustRightInd w:val="0"/>
        <w:spacing w:line="360" w:lineRule="auto"/>
        <w:ind w:firstLine="562" w:firstLineChars="200"/>
        <w:jc w:val="left"/>
        <w:rPr>
          <w:rFonts w:hint="eastAsia" w:ascii="宋体" w:hAnsi="宋体" w:eastAsia="宋体" w:cs="宋体"/>
          <w:kern w:val="0"/>
          <w:sz w:val="28"/>
          <w:szCs w:val="28"/>
        </w:rPr>
      </w:pPr>
      <w:r>
        <w:rPr>
          <w:rFonts w:hint="eastAsia" w:ascii="宋体" w:hAnsi="宋体" w:eastAsia="宋体" w:cs="宋体"/>
          <w:b/>
          <w:bCs/>
          <w:kern w:val="0"/>
          <w:sz w:val="28"/>
          <w:szCs w:val="28"/>
        </w:rPr>
        <w:t xml:space="preserve"> </w:t>
      </w:r>
      <w:r>
        <w:rPr>
          <w:rFonts w:hint="eastAsia" w:ascii="宋体" w:hAnsi="宋体" w:eastAsia="宋体" w:cs="宋体"/>
          <w:kern w:val="0"/>
          <w:sz w:val="28"/>
          <w:szCs w:val="28"/>
        </w:rPr>
        <w:t>2020</w:t>
      </w:r>
      <w:r>
        <w:rPr>
          <w:rFonts w:hint="eastAsia" w:ascii="宋体" w:hAnsi="宋体" w:eastAsia="宋体" w:cs="宋体"/>
          <w:kern w:val="0"/>
          <w:sz w:val="28"/>
          <w:szCs w:val="28"/>
        </w:rPr>
        <w:t>年度收入总计</w:t>
      </w:r>
      <w:r>
        <w:rPr>
          <w:rFonts w:hint="eastAsia" w:ascii="宋体" w:hAnsi="宋体" w:eastAsia="宋体" w:cs="宋体"/>
          <w:kern w:val="0"/>
          <w:sz w:val="28"/>
          <w:szCs w:val="28"/>
        </w:rPr>
        <w:t>4793.89</w:t>
      </w:r>
      <w:r>
        <w:rPr>
          <w:rFonts w:hint="eastAsia" w:ascii="宋体" w:hAnsi="宋体" w:eastAsia="宋体" w:cs="宋体"/>
          <w:kern w:val="0"/>
          <w:sz w:val="28"/>
          <w:szCs w:val="28"/>
        </w:rPr>
        <w:t>元，支出总计</w:t>
      </w:r>
      <w:r>
        <w:rPr>
          <w:rFonts w:hint="eastAsia" w:ascii="宋体" w:hAnsi="宋体" w:eastAsia="宋体" w:cs="宋体"/>
          <w:kern w:val="0"/>
          <w:sz w:val="28"/>
          <w:szCs w:val="28"/>
        </w:rPr>
        <w:t>4793.89</w:t>
      </w:r>
      <w:r>
        <w:rPr>
          <w:rFonts w:hint="eastAsia" w:ascii="宋体" w:hAnsi="宋体" w:eastAsia="宋体" w:cs="宋体"/>
          <w:kern w:val="0"/>
          <w:sz w:val="28"/>
          <w:szCs w:val="28"/>
        </w:rPr>
        <w:t>万元，与</w:t>
      </w:r>
      <w:r>
        <w:rPr>
          <w:rFonts w:hint="eastAsia" w:ascii="宋体" w:hAnsi="宋体" w:eastAsia="宋体" w:cs="宋体"/>
          <w:kern w:val="0"/>
          <w:sz w:val="28"/>
          <w:szCs w:val="28"/>
        </w:rPr>
        <w:t>2019</w:t>
      </w:r>
      <w:r>
        <w:rPr>
          <w:rFonts w:hint="eastAsia" w:ascii="宋体" w:hAnsi="宋体" w:eastAsia="宋体" w:cs="宋体"/>
          <w:kern w:val="0"/>
          <w:sz w:val="28"/>
          <w:szCs w:val="28"/>
        </w:rPr>
        <w:t>年相比，收、支分别减少</w:t>
      </w:r>
      <w:r>
        <w:rPr>
          <w:rFonts w:hint="eastAsia" w:ascii="宋体" w:hAnsi="宋体" w:eastAsia="宋体" w:cs="宋体"/>
          <w:kern w:val="0"/>
          <w:sz w:val="28"/>
          <w:szCs w:val="28"/>
        </w:rPr>
        <w:t>1176.75</w:t>
      </w:r>
      <w:r>
        <w:rPr>
          <w:rFonts w:hint="eastAsia" w:ascii="宋体" w:hAnsi="宋体" w:eastAsia="宋体" w:cs="宋体"/>
          <w:kern w:val="0"/>
          <w:sz w:val="28"/>
          <w:szCs w:val="28"/>
        </w:rPr>
        <w:t>万元；分别下降</w:t>
      </w:r>
      <w:r>
        <w:rPr>
          <w:rFonts w:hint="eastAsia" w:ascii="宋体" w:hAnsi="宋体" w:eastAsia="宋体" w:cs="宋体"/>
          <w:kern w:val="0"/>
          <w:sz w:val="28"/>
          <w:szCs w:val="28"/>
        </w:rPr>
        <w:t>19.71%</w:t>
      </w:r>
      <w:bookmarkStart w:id="0" w:name="_GoBack"/>
      <w:bookmarkEnd w:id="0"/>
      <w:r>
        <w:rPr>
          <w:rFonts w:hint="eastAsia" w:ascii="宋体" w:hAnsi="宋体" w:eastAsia="宋体" w:cs="宋体"/>
          <w:kern w:val="0"/>
          <w:sz w:val="28"/>
          <w:szCs w:val="28"/>
        </w:rPr>
        <w:t>。</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二、</w:t>
      </w:r>
      <w:r>
        <w:rPr>
          <w:rFonts w:hint="eastAsia" w:ascii="宋体" w:hAnsi="宋体" w:eastAsia="宋体" w:cs="宋体"/>
          <w:b/>
          <w:bCs/>
          <w:kern w:val="0"/>
          <w:sz w:val="28"/>
          <w:szCs w:val="28"/>
        </w:rPr>
        <w:t>2020</w:t>
      </w:r>
      <w:r>
        <w:rPr>
          <w:rFonts w:hint="eastAsia" w:ascii="宋体" w:hAnsi="宋体" w:eastAsia="宋体" w:cs="宋体"/>
          <w:b/>
          <w:bCs/>
          <w:kern w:val="0"/>
          <w:sz w:val="28"/>
          <w:szCs w:val="28"/>
        </w:rPr>
        <w:t>年度收入决算情况</w:t>
      </w:r>
    </w:p>
    <w:p>
      <w:pPr>
        <w:autoSpaceDE w:val="0"/>
        <w:autoSpaceDN w:val="0"/>
        <w:adjustRightInd w:val="0"/>
        <w:spacing w:line="360" w:lineRule="auto"/>
        <w:ind w:firstLine="560" w:firstLineChars="200"/>
        <w:jc w:val="left"/>
        <w:rPr>
          <w:rFonts w:hint="eastAsia" w:ascii="宋体" w:hAnsi="宋体" w:eastAsia="宋体" w:cs="宋体"/>
          <w:b/>
          <w:bCs/>
          <w:kern w:val="0"/>
          <w:sz w:val="28"/>
          <w:szCs w:val="28"/>
        </w:rPr>
      </w:pPr>
      <w:r>
        <w:rPr>
          <w:rFonts w:hint="eastAsia" w:ascii="宋体" w:hAnsi="宋体" w:eastAsia="宋体" w:cs="宋体"/>
          <w:kern w:val="0"/>
          <w:sz w:val="28"/>
          <w:szCs w:val="28"/>
        </w:rPr>
        <w:t>本年收入总计</w:t>
      </w:r>
      <w:r>
        <w:rPr>
          <w:rFonts w:hint="eastAsia" w:ascii="宋体" w:hAnsi="宋体" w:eastAsia="宋体" w:cs="宋体"/>
          <w:kern w:val="0"/>
          <w:sz w:val="28"/>
          <w:szCs w:val="28"/>
        </w:rPr>
        <w:t>4106.66</w:t>
      </w:r>
      <w:r>
        <w:rPr>
          <w:rFonts w:hint="eastAsia" w:ascii="宋体" w:hAnsi="宋体" w:eastAsia="宋体" w:cs="宋体"/>
          <w:kern w:val="0"/>
          <w:sz w:val="28"/>
          <w:szCs w:val="28"/>
        </w:rPr>
        <w:t>万元</w:t>
      </w:r>
      <w:r>
        <w:rPr>
          <w:rFonts w:hint="eastAsia" w:ascii="宋体" w:hAnsi="宋体" w:eastAsia="宋体" w:cs="宋体"/>
          <w:kern w:val="0"/>
          <w:sz w:val="28"/>
          <w:szCs w:val="28"/>
        </w:rPr>
        <w:t> </w:t>
      </w:r>
      <w:r>
        <w:rPr>
          <w:rFonts w:hint="eastAsia" w:ascii="宋体" w:hAnsi="宋体" w:eastAsia="宋体" w:cs="宋体"/>
          <w:kern w:val="0"/>
          <w:sz w:val="28"/>
          <w:szCs w:val="28"/>
        </w:rPr>
        <w:t>，其中：一般公共预算财政拨款收入</w:t>
      </w:r>
      <w:r>
        <w:rPr>
          <w:rFonts w:hint="eastAsia" w:ascii="宋体" w:hAnsi="宋体" w:eastAsia="宋体" w:cs="宋体"/>
          <w:kern w:val="0"/>
          <w:sz w:val="28"/>
          <w:szCs w:val="28"/>
        </w:rPr>
        <w:t>3972.16</w:t>
      </w:r>
      <w:r>
        <w:rPr>
          <w:rFonts w:hint="eastAsia" w:ascii="宋体" w:hAnsi="宋体" w:eastAsia="宋体" w:cs="宋体"/>
          <w:kern w:val="0"/>
          <w:sz w:val="28"/>
          <w:szCs w:val="28"/>
        </w:rPr>
        <w:t>万元；占比</w:t>
      </w:r>
      <w:r>
        <w:rPr>
          <w:rFonts w:hint="eastAsia" w:ascii="宋体" w:hAnsi="宋体" w:eastAsia="宋体" w:cs="宋体"/>
          <w:kern w:val="0"/>
          <w:sz w:val="28"/>
          <w:szCs w:val="28"/>
        </w:rPr>
        <w:t>96.73%</w:t>
      </w:r>
      <w:r>
        <w:rPr>
          <w:rFonts w:hint="eastAsia" w:ascii="宋体" w:hAnsi="宋体" w:eastAsia="宋体" w:cs="宋体"/>
          <w:kern w:val="0"/>
          <w:sz w:val="28"/>
          <w:szCs w:val="28"/>
        </w:rPr>
        <w:t> </w:t>
      </w:r>
      <w:r>
        <w:rPr>
          <w:rFonts w:hint="eastAsia" w:ascii="宋体" w:hAnsi="宋体" w:eastAsia="宋体" w:cs="宋体"/>
          <w:kern w:val="0"/>
          <w:sz w:val="28"/>
          <w:szCs w:val="28"/>
        </w:rPr>
        <w:t>；其他收入</w:t>
      </w:r>
      <w:r>
        <w:rPr>
          <w:rFonts w:hint="eastAsia" w:ascii="宋体" w:hAnsi="宋体" w:eastAsia="宋体" w:cs="宋体"/>
          <w:kern w:val="0"/>
          <w:sz w:val="28"/>
          <w:szCs w:val="28"/>
        </w:rPr>
        <w:t>134.05</w:t>
      </w:r>
      <w:r>
        <w:rPr>
          <w:rFonts w:hint="eastAsia" w:ascii="宋体" w:hAnsi="宋体" w:eastAsia="宋体" w:cs="宋体"/>
          <w:kern w:val="0"/>
          <w:sz w:val="28"/>
          <w:szCs w:val="28"/>
        </w:rPr>
        <w:t>万元，占比</w:t>
      </w:r>
      <w:r>
        <w:rPr>
          <w:rFonts w:hint="eastAsia" w:ascii="宋体" w:hAnsi="宋体" w:eastAsia="宋体" w:cs="宋体"/>
          <w:kern w:val="0"/>
          <w:sz w:val="28"/>
          <w:szCs w:val="28"/>
        </w:rPr>
        <w:t>3.27%</w:t>
      </w:r>
      <w:r>
        <w:rPr>
          <w:rFonts w:hint="eastAsia" w:ascii="宋体" w:hAnsi="宋体" w:eastAsia="宋体" w:cs="宋体"/>
          <w:kern w:val="0"/>
          <w:sz w:val="28"/>
          <w:szCs w:val="28"/>
        </w:rPr>
        <w:t>。</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w:t>
      </w:r>
      <w:r>
        <w:rPr>
          <w:rFonts w:hint="eastAsia" w:ascii="宋体" w:hAnsi="宋体" w:eastAsia="宋体" w:cs="宋体"/>
          <w:b/>
          <w:bCs/>
          <w:kern w:val="0"/>
          <w:sz w:val="28"/>
          <w:szCs w:val="28"/>
        </w:rPr>
        <w:t>2020</w:t>
      </w:r>
      <w:r>
        <w:rPr>
          <w:rFonts w:hint="eastAsia" w:ascii="宋体" w:hAnsi="宋体" w:eastAsia="宋体" w:cs="宋体"/>
          <w:b/>
          <w:bCs/>
          <w:kern w:val="0"/>
          <w:sz w:val="28"/>
          <w:szCs w:val="28"/>
        </w:rPr>
        <w:t>年度支出决算情况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本年支出合计</w:t>
      </w:r>
      <w:r>
        <w:rPr>
          <w:rFonts w:hint="eastAsia" w:ascii="宋体" w:hAnsi="宋体" w:eastAsia="宋体" w:cs="宋体"/>
          <w:kern w:val="0"/>
          <w:sz w:val="28"/>
          <w:szCs w:val="28"/>
        </w:rPr>
        <w:t>4089.03</w:t>
      </w:r>
      <w:r>
        <w:rPr>
          <w:rFonts w:hint="eastAsia" w:ascii="宋体" w:hAnsi="宋体" w:eastAsia="宋体" w:cs="宋体"/>
          <w:kern w:val="0"/>
          <w:sz w:val="28"/>
          <w:szCs w:val="28"/>
        </w:rPr>
        <w:t>万元，其中：基本支出</w:t>
      </w:r>
      <w:r>
        <w:rPr>
          <w:rFonts w:hint="eastAsia" w:ascii="宋体" w:hAnsi="宋体" w:eastAsia="宋体" w:cs="宋体"/>
          <w:kern w:val="0"/>
          <w:sz w:val="28"/>
          <w:szCs w:val="28"/>
        </w:rPr>
        <w:t>3234.59</w:t>
      </w:r>
      <w:r>
        <w:rPr>
          <w:rFonts w:hint="eastAsia" w:ascii="宋体" w:hAnsi="宋体" w:eastAsia="宋体" w:cs="宋体"/>
          <w:kern w:val="0"/>
          <w:sz w:val="28"/>
          <w:szCs w:val="28"/>
        </w:rPr>
        <w:t>万元，占</w:t>
      </w:r>
      <w:r>
        <w:rPr>
          <w:rFonts w:hint="eastAsia" w:ascii="宋体" w:hAnsi="宋体" w:eastAsia="宋体" w:cs="宋体"/>
          <w:kern w:val="0"/>
          <w:sz w:val="28"/>
          <w:szCs w:val="28"/>
        </w:rPr>
        <w:t>79.1%</w:t>
      </w:r>
      <w:r>
        <w:rPr>
          <w:rFonts w:hint="eastAsia" w:ascii="宋体" w:hAnsi="宋体" w:eastAsia="宋体" w:cs="宋体"/>
          <w:kern w:val="0"/>
          <w:sz w:val="28"/>
          <w:szCs w:val="28"/>
        </w:rPr>
        <w:t>；项目支出</w:t>
      </w:r>
      <w:r>
        <w:rPr>
          <w:rFonts w:hint="eastAsia" w:ascii="宋体" w:hAnsi="宋体" w:eastAsia="宋体" w:cs="宋体"/>
          <w:kern w:val="0"/>
          <w:sz w:val="28"/>
          <w:szCs w:val="28"/>
        </w:rPr>
        <w:t>854.45</w:t>
      </w:r>
      <w:r>
        <w:rPr>
          <w:rFonts w:hint="eastAsia" w:ascii="宋体" w:hAnsi="宋体" w:eastAsia="宋体" w:cs="宋体"/>
          <w:kern w:val="0"/>
          <w:sz w:val="28"/>
          <w:szCs w:val="28"/>
        </w:rPr>
        <w:t>万元，占</w:t>
      </w:r>
      <w:r>
        <w:rPr>
          <w:rFonts w:hint="eastAsia" w:ascii="宋体" w:hAnsi="宋体" w:eastAsia="宋体" w:cs="宋体"/>
          <w:kern w:val="0"/>
          <w:sz w:val="28"/>
          <w:szCs w:val="28"/>
        </w:rPr>
        <w:t>20.9%</w:t>
      </w:r>
      <w:r>
        <w:rPr>
          <w:rFonts w:hint="eastAsia" w:ascii="宋体" w:hAnsi="宋体" w:eastAsia="宋体" w:cs="宋体"/>
          <w:kern w:val="0"/>
          <w:sz w:val="28"/>
          <w:szCs w:val="28"/>
        </w:rPr>
        <w:t>。</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四、</w:t>
      </w:r>
      <w:r>
        <w:rPr>
          <w:rFonts w:hint="eastAsia" w:ascii="宋体" w:hAnsi="宋体" w:eastAsia="宋体" w:cs="宋体"/>
          <w:b/>
          <w:bCs/>
          <w:kern w:val="0"/>
          <w:sz w:val="28"/>
          <w:szCs w:val="28"/>
        </w:rPr>
        <w:t>2020</w:t>
      </w:r>
      <w:r>
        <w:rPr>
          <w:rFonts w:hint="eastAsia" w:ascii="宋体" w:hAnsi="宋体" w:eastAsia="宋体" w:cs="宋体"/>
          <w:b/>
          <w:bCs/>
          <w:kern w:val="0"/>
          <w:sz w:val="28"/>
          <w:szCs w:val="28"/>
        </w:rPr>
        <w:t>年度财政拨款收入支出决算情况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t>本部门</w:t>
      </w:r>
      <w:r>
        <w:rPr>
          <w:rFonts w:hint="eastAsia" w:ascii="宋体" w:hAnsi="宋体" w:eastAsia="宋体" w:cs="宋体"/>
          <w:kern w:val="0"/>
          <w:sz w:val="28"/>
          <w:szCs w:val="28"/>
        </w:rPr>
        <w:t xml:space="preserve"> 2020</w:t>
      </w:r>
      <w:r>
        <w:rPr>
          <w:rFonts w:hint="eastAsia" w:ascii="宋体" w:hAnsi="宋体" w:eastAsia="宋体" w:cs="宋体"/>
          <w:kern w:val="0"/>
          <w:sz w:val="28"/>
          <w:szCs w:val="28"/>
        </w:rPr>
        <w:t>年度财政拨款收、支总决算</w:t>
      </w:r>
      <w:r>
        <w:rPr>
          <w:rFonts w:hint="eastAsia" w:ascii="宋体" w:hAnsi="宋体" w:eastAsia="宋体" w:cs="宋体"/>
          <w:kern w:val="0"/>
          <w:sz w:val="28"/>
          <w:szCs w:val="28"/>
        </w:rPr>
        <w:t>4247.17</w:t>
      </w:r>
      <w:r>
        <w:rPr>
          <w:rFonts w:hint="eastAsia" w:ascii="宋体" w:hAnsi="宋体" w:eastAsia="宋体" w:cs="宋体"/>
          <w:kern w:val="0"/>
          <w:sz w:val="28"/>
          <w:szCs w:val="28"/>
        </w:rPr>
        <w:t>万元、</w:t>
      </w:r>
      <w:r>
        <w:rPr>
          <w:rFonts w:hint="eastAsia" w:ascii="宋体" w:hAnsi="宋体" w:eastAsia="宋体" w:cs="宋体"/>
          <w:kern w:val="0"/>
          <w:sz w:val="28"/>
          <w:szCs w:val="28"/>
        </w:rPr>
        <w:t>4247.17</w:t>
      </w:r>
      <w:r>
        <w:rPr>
          <w:rFonts w:hint="eastAsia" w:ascii="宋体" w:hAnsi="宋体" w:eastAsia="宋体" w:cs="宋体"/>
          <w:kern w:val="0"/>
          <w:sz w:val="28"/>
          <w:szCs w:val="28"/>
        </w:rPr>
        <w:t>万元。与</w:t>
      </w:r>
      <w:r>
        <w:rPr>
          <w:rFonts w:hint="eastAsia" w:ascii="宋体" w:hAnsi="宋体" w:eastAsia="宋体" w:cs="宋体"/>
          <w:kern w:val="0"/>
          <w:sz w:val="28"/>
          <w:szCs w:val="28"/>
        </w:rPr>
        <w:t xml:space="preserve"> 2019 </w:t>
      </w:r>
      <w:r>
        <w:rPr>
          <w:rFonts w:hint="eastAsia" w:ascii="宋体" w:hAnsi="宋体" w:eastAsia="宋体" w:cs="宋体"/>
          <w:kern w:val="0"/>
          <w:sz w:val="28"/>
          <w:szCs w:val="28"/>
        </w:rPr>
        <w:t>年相比，财政拨款收、支总计各减少</w:t>
      </w:r>
      <w:r>
        <w:rPr>
          <w:rFonts w:hint="eastAsia" w:ascii="宋体" w:hAnsi="宋体" w:eastAsia="宋体" w:cs="宋体"/>
          <w:kern w:val="0"/>
          <w:sz w:val="28"/>
          <w:szCs w:val="28"/>
        </w:rPr>
        <w:t>427.08</w:t>
      </w:r>
      <w:r>
        <w:rPr>
          <w:rFonts w:hint="eastAsia" w:ascii="宋体" w:hAnsi="宋体" w:eastAsia="宋体" w:cs="宋体"/>
          <w:kern w:val="0"/>
          <w:sz w:val="28"/>
          <w:szCs w:val="28"/>
        </w:rPr>
        <w:t>万元，下降</w:t>
      </w:r>
      <w:r>
        <w:rPr>
          <w:rFonts w:hint="eastAsia" w:ascii="宋体" w:hAnsi="宋体" w:eastAsia="宋体" w:cs="宋体"/>
          <w:kern w:val="0"/>
          <w:sz w:val="28"/>
          <w:szCs w:val="28"/>
        </w:rPr>
        <w:t>9.14%</w:t>
      </w:r>
      <w:r>
        <w:rPr>
          <w:rFonts w:hint="eastAsia" w:ascii="宋体" w:hAnsi="宋体" w:eastAsia="宋体" w:cs="宋体"/>
          <w:kern w:val="0"/>
          <w:sz w:val="28"/>
          <w:szCs w:val="28"/>
        </w:rPr>
        <w:t>。</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五、</w:t>
      </w:r>
      <w:r>
        <w:rPr>
          <w:rFonts w:hint="eastAsia" w:ascii="宋体" w:hAnsi="宋体" w:eastAsia="宋体" w:cs="宋体"/>
          <w:b/>
          <w:bCs/>
          <w:kern w:val="0"/>
          <w:sz w:val="28"/>
          <w:szCs w:val="28"/>
        </w:rPr>
        <w:t>2020</w:t>
      </w:r>
      <w:r>
        <w:rPr>
          <w:rFonts w:hint="eastAsia" w:ascii="宋体" w:hAnsi="宋体" w:eastAsia="宋体" w:cs="宋体"/>
          <w:b/>
          <w:bCs/>
          <w:kern w:val="0"/>
          <w:sz w:val="28"/>
          <w:szCs w:val="28"/>
        </w:rPr>
        <w:t>年度一般公共预算财政拨款支出决算情况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（一）财政拨款支出决算情况。</w:t>
      </w:r>
      <w:r>
        <w:rPr>
          <w:rFonts w:hint="eastAsia" w:ascii="宋体" w:hAnsi="宋体" w:eastAsia="宋体" w:cs="宋体"/>
          <w:kern w:val="0"/>
          <w:sz w:val="28"/>
          <w:szCs w:val="28"/>
        </w:rPr>
        <w:t xml:space="preserve"> </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部门</w:t>
      </w:r>
      <w:r>
        <w:rPr>
          <w:rFonts w:hint="eastAsia" w:ascii="宋体" w:hAnsi="宋体" w:eastAsia="宋体" w:cs="宋体"/>
          <w:kern w:val="0"/>
          <w:sz w:val="28"/>
          <w:szCs w:val="28"/>
        </w:rPr>
        <w:t xml:space="preserve"> 2020</w:t>
      </w:r>
      <w:r>
        <w:rPr>
          <w:rFonts w:hint="eastAsia" w:ascii="宋体" w:hAnsi="宋体" w:eastAsia="宋体" w:cs="宋体"/>
          <w:kern w:val="0"/>
          <w:sz w:val="28"/>
          <w:szCs w:val="28"/>
        </w:rPr>
        <w:t>年度财政拨款支出</w:t>
      </w:r>
      <w:r>
        <w:rPr>
          <w:rFonts w:hint="eastAsia" w:ascii="宋体" w:hAnsi="宋体" w:eastAsia="宋体" w:cs="宋体"/>
          <w:kern w:val="0"/>
          <w:sz w:val="28"/>
          <w:szCs w:val="28"/>
        </w:rPr>
        <w:t xml:space="preserve"> 4031.97</w:t>
      </w:r>
      <w:r>
        <w:rPr>
          <w:rFonts w:hint="eastAsia" w:ascii="宋体" w:hAnsi="宋体" w:eastAsia="宋体" w:cs="宋体"/>
          <w:kern w:val="0"/>
          <w:sz w:val="28"/>
          <w:szCs w:val="28"/>
        </w:rPr>
        <w:t>万元，占本年支出合计的</w:t>
      </w:r>
      <w:r>
        <w:rPr>
          <w:rFonts w:hint="eastAsia" w:ascii="宋体" w:hAnsi="宋体" w:eastAsia="宋体" w:cs="宋体"/>
          <w:kern w:val="0"/>
          <w:sz w:val="28"/>
          <w:szCs w:val="28"/>
        </w:rPr>
        <w:t>94.93%</w:t>
      </w:r>
      <w:r>
        <w:rPr>
          <w:rFonts w:hint="eastAsia" w:ascii="宋体" w:hAnsi="宋体" w:eastAsia="宋体" w:cs="宋体"/>
          <w:kern w:val="0"/>
          <w:sz w:val="28"/>
          <w:szCs w:val="28"/>
        </w:rPr>
        <w:t>。与</w:t>
      </w:r>
      <w:r>
        <w:rPr>
          <w:rFonts w:hint="eastAsia" w:ascii="宋体" w:hAnsi="宋体" w:eastAsia="宋体" w:cs="宋体"/>
          <w:kern w:val="0"/>
          <w:sz w:val="28"/>
          <w:szCs w:val="28"/>
        </w:rPr>
        <w:t xml:space="preserve"> 2019 </w:t>
      </w:r>
      <w:r>
        <w:rPr>
          <w:rFonts w:hint="eastAsia" w:ascii="宋体" w:hAnsi="宋体" w:eastAsia="宋体" w:cs="宋体"/>
          <w:kern w:val="0"/>
          <w:sz w:val="28"/>
          <w:szCs w:val="28"/>
        </w:rPr>
        <w:t>年相比，财政拨款支出减少</w:t>
      </w:r>
      <w:r>
        <w:rPr>
          <w:rFonts w:hint="eastAsia" w:ascii="宋体" w:hAnsi="宋体" w:eastAsia="宋体" w:cs="宋体"/>
          <w:kern w:val="0"/>
          <w:sz w:val="28"/>
          <w:szCs w:val="28"/>
        </w:rPr>
        <w:t xml:space="preserve"> 137.83</w:t>
      </w:r>
      <w:r>
        <w:rPr>
          <w:rFonts w:hint="eastAsia" w:ascii="宋体" w:hAnsi="宋体" w:eastAsia="宋体" w:cs="宋体"/>
          <w:kern w:val="0"/>
          <w:sz w:val="28"/>
          <w:szCs w:val="28"/>
        </w:rPr>
        <w:t>万元，下降</w:t>
      </w:r>
      <w:r>
        <w:rPr>
          <w:rFonts w:hint="eastAsia" w:ascii="宋体" w:hAnsi="宋体" w:eastAsia="宋体" w:cs="宋体"/>
          <w:kern w:val="0"/>
          <w:sz w:val="28"/>
          <w:szCs w:val="28"/>
        </w:rPr>
        <w:t>3.31%</w:t>
      </w:r>
      <w:r>
        <w:rPr>
          <w:rFonts w:hint="eastAsia" w:ascii="宋体" w:hAnsi="宋体" w:eastAsia="宋体" w:cs="宋体"/>
          <w:kern w:val="0"/>
          <w:sz w:val="28"/>
          <w:szCs w:val="28"/>
        </w:rPr>
        <w:t>。</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（二）财政拨款支出决算结构情况</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2020 </w:t>
      </w:r>
      <w:r>
        <w:rPr>
          <w:rFonts w:hint="eastAsia" w:ascii="宋体" w:hAnsi="宋体" w:eastAsia="宋体" w:cs="宋体"/>
          <w:kern w:val="0"/>
          <w:sz w:val="28"/>
          <w:szCs w:val="28"/>
        </w:rPr>
        <w:t>年度财政拨款支出</w:t>
      </w:r>
      <w:r>
        <w:rPr>
          <w:rFonts w:hint="eastAsia" w:ascii="宋体" w:hAnsi="宋体" w:eastAsia="宋体" w:cs="宋体"/>
          <w:kern w:val="0"/>
          <w:sz w:val="28"/>
          <w:szCs w:val="28"/>
        </w:rPr>
        <w:t>4031.97</w:t>
      </w:r>
      <w:r>
        <w:rPr>
          <w:rFonts w:hint="eastAsia" w:ascii="宋体" w:hAnsi="宋体" w:eastAsia="宋体" w:cs="宋体"/>
          <w:kern w:val="0"/>
          <w:sz w:val="28"/>
          <w:szCs w:val="28"/>
        </w:rPr>
        <w:t>万元，主要用于以下方面：一般公共服务（类）支出</w:t>
      </w:r>
      <w:r>
        <w:rPr>
          <w:rFonts w:hint="eastAsia" w:ascii="宋体" w:hAnsi="宋体" w:eastAsia="宋体" w:cs="宋体"/>
          <w:kern w:val="0"/>
          <w:sz w:val="28"/>
          <w:szCs w:val="28"/>
        </w:rPr>
        <w:t xml:space="preserve"> 3179.95</w:t>
      </w:r>
      <w:r>
        <w:rPr>
          <w:rFonts w:hint="eastAsia" w:ascii="宋体" w:hAnsi="宋体" w:eastAsia="宋体" w:cs="宋体"/>
          <w:kern w:val="0"/>
          <w:sz w:val="28"/>
          <w:szCs w:val="28"/>
        </w:rPr>
        <w:t>万元，</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占</w:t>
      </w:r>
      <w:r>
        <w:rPr>
          <w:rFonts w:hint="eastAsia" w:ascii="宋体" w:hAnsi="宋体" w:eastAsia="宋体" w:cs="宋体"/>
          <w:kern w:val="0"/>
          <w:sz w:val="28"/>
          <w:szCs w:val="28"/>
        </w:rPr>
        <w:t>78.87%</w:t>
      </w:r>
      <w:r>
        <w:rPr>
          <w:rFonts w:hint="eastAsia" w:ascii="宋体" w:hAnsi="宋体" w:eastAsia="宋体" w:cs="宋体"/>
          <w:kern w:val="0"/>
          <w:sz w:val="28"/>
          <w:szCs w:val="28"/>
        </w:rPr>
        <w:t>；社会保障和就业（类）支出</w:t>
      </w:r>
      <w:r>
        <w:rPr>
          <w:rFonts w:hint="eastAsia" w:ascii="宋体" w:hAnsi="宋体" w:eastAsia="宋体" w:cs="宋体"/>
          <w:kern w:val="0"/>
          <w:sz w:val="28"/>
          <w:szCs w:val="28"/>
        </w:rPr>
        <w:t>445.33</w:t>
      </w:r>
      <w:r>
        <w:rPr>
          <w:rFonts w:hint="eastAsia" w:ascii="宋体" w:hAnsi="宋体" w:eastAsia="宋体" w:cs="宋体"/>
          <w:kern w:val="0"/>
          <w:sz w:val="28"/>
          <w:szCs w:val="28"/>
        </w:rPr>
        <w:t>万元，占</w:t>
      </w:r>
      <w:r>
        <w:rPr>
          <w:rFonts w:hint="eastAsia" w:ascii="宋体" w:hAnsi="宋体" w:eastAsia="宋体" w:cs="宋体"/>
          <w:kern w:val="0"/>
          <w:sz w:val="28"/>
          <w:szCs w:val="28"/>
        </w:rPr>
        <w:t>11.05%</w:t>
      </w:r>
      <w:r>
        <w:rPr>
          <w:rFonts w:hint="eastAsia" w:ascii="宋体" w:hAnsi="宋体" w:eastAsia="宋体" w:cs="宋体"/>
          <w:kern w:val="0"/>
          <w:sz w:val="28"/>
          <w:szCs w:val="28"/>
        </w:rPr>
        <w:t>；卫生健康（类）支出</w:t>
      </w:r>
      <w:r>
        <w:rPr>
          <w:rFonts w:hint="eastAsia" w:ascii="宋体" w:hAnsi="宋体" w:eastAsia="宋体" w:cs="宋体"/>
          <w:kern w:val="0"/>
          <w:sz w:val="28"/>
          <w:szCs w:val="28"/>
        </w:rPr>
        <w:t>231.59</w:t>
      </w:r>
      <w:r>
        <w:rPr>
          <w:rFonts w:hint="eastAsia" w:ascii="宋体" w:hAnsi="宋体" w:eastAsia="宋体" w:cs="宋体"/>
          <w:kern w:val="0"/>
          <w:sz w:val="28"/>
          <w:szCs w:val="28"/>
        </w:rPr>
        <w:t>万元，占</w:t>
      </w:r>
      <w:r>
        <w:rPr>
          <w:rFonts w:hint="eastAsia" w:ascii="宋体" w:hAnsi="宋体" w:eastAsia="宋体" w:cs="宋体"/>
          <w:kern w:val="0"/>
          <w:sz w:val="28"/>
          <w:szCs w:val="28"/>
        </w:rPr>
        <w:t>5.74%</w:t>
      </w:r>
      <w:r>
        <w:rPr>
          <w:rFonts w:hint="eastAsia" w:ascii="宋体" w:hAnsi="宋体" w:eastAsia="宋体" w:cs="宋体"/>
          <w:kern w:val="0"/>
          <w:sz w:val="28"/>
          <w:szCs w:val="28"/>
        </w:rPr>
        <w:t>；</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住房保障（类）支出</w:t>
      </w:r>
      <w:r>
        <w:rPr>
          <w:rFonts w:hint="eastAsia" w:ascii="宋体" w:hAnsi="宋体" w:eastAsia="宋体" w:cs="宋体"/>
          <w:kern w:val="0"/>
          <w:sz w:val="28"/>
          <w:szCs w:val="28"/>
        </w:rPr>
        <w:t>175.10</w:t>
      </w:r>
      <w:r>
        <w:rPr>
          <w:rFonts w:hint="eastAsia" w:ascii="宋体" w:hAnsi="宋体" w:eastAsia="宋体" w:cs="宋体"/>
          <w:kern w:val="0"/>
          <w:sz w:val="28"/>
          <w:szCs w:val="28"/>
        </w:rPr>
        <w:t>万元，占</w:t>
      </w:r>
      <w:r>
        <w:rPr>
          <w:rFonts w:hint="eastAsia" w:ascii="宋体" w:hAnsi="宋体" w:eastAsia="宋体" w:cs="宋体"/>
          <w:kern w:val="0"/>
          <w:sz w:val="28"/>
          <w:szCs w:val="28"/>
        </w:rPr>
        <w:t>4.34%</w:t>
      </w:r>
      <w:r>
        <w:rPr>
          <w:rFonts w:hint="eastAsia" w:ascii="宋体" w:hAnsi="宋体" w:eastAsia="宋体" w:cs="宋体"/>
          <w:kern w:val="0"/>
          <w:sz w:val="28"/>
          <w:szCs w:val="28"/>
        </w:rPr>
        <w:t>。</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（三）财政拨款支出决算具体情况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2020 </w:t>
      </w:r>
      <w:r>
        <w:rPr>
          <w:rFonts w:hint="eastAsia" w:ascii="宋体" w:hAnsi="宋体" w:eastAsia="宋体" w:cs="宋体"/>
          <w:kern w:val="0"/>
          <w:sz w:val="28"/>
          <w:szCs w:val="28"/>
        </w:rPr>
        <w:t>年度财政拨款支出年初预算为</w:t>
      </w:r>
      <w:r>
        <w:rPr>
          <w:rFonts w:hint="eastAsia" w:ascii="宋体" w:hAnsi="宋体" w:eastAsia="宋体" w:cs="宋体"/>
          <w:kern w:val="0"/>
          <w:sz w:val="28"/>
          <w:szCs w:val="28"/>
        </w:rPr>
        <w:t>3598.96</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4031.97</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112.03%</w:t>
      </w:r>
      <w:r>
        <w:rPr>
          <w:rFonts w:hint="eastAsia" w:ascii="宋体" w:hAnsi="宋体" w:eastAsia="宋体" w:cs="宋体"/>
          <w:kern w:val="0"/>
          <w:sz w:val="28"/>
          <w:szCs w:val="28"/>
        </w:rPr>
        <w:t>。决算数大于预算数的主要原因：一是本年度增人增资等人员经费的调整；二是部分支出按规定，通过使用以前年度财政拨款结转资金解决。其中：</w:t>
      </w:r>
      <w:r>
        <w:rPr>
          <w:rFonts w:hint="eastAsia" w:ascii="宋体" w:hAnsi="宋体" w:eastAsia="宋体" w:cs="宋体"/>
          <w:kern w:val="0"/>
          <w:sz w:val="28"/>
          <w:szCs w:val="28"/>
        </w:rPr>
        <w:t xml:space="preserve"> </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rPr>
        <w:t>一般公共服务（类）财政事务（款）行政运行（项）。</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年初预算为</w:t>
      </w:r>
      <w:r>
        <w:rPr>
          <w:rFonts w:hint="eastAsia" w:ascii="宋体" w:hAnsi="宋体" w:eastAsia="宋体" w:cs="宋体"/>
          <w:kern w:val="0"/>
          <w:sz w:val="28"/>
          <w:szCs w:val="28"/>
        </w:rPr>
        <w:t>1309.42</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1802.75</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137.68%</w:t>
      </w:r>
      <w:r>
        <w:rPr>
          <w:rFonts w:hint="eastAsia" w:ascii="宋体" w:hAnsi="宋体" w:eastAsia="宋体" w:cs="宋体"/>
          <w:kern w:val="0"/>
          <w:sz w:val="28"/>
          <w:szCs w:val="28"/>
        </w:rPr>
        <w:t>。决算数大于预算数的主要原因是年度增人增资等人员经费增加。</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rPr>
        <w:t>一般公共服务（类）财政事务（款）一般行政管理事</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务（项）。年初预算为</w:t>
      </w:r>
      <w:r>
        <w:rPr>
          <w:rFonts w:hint="eastAsia" w:ascii="宋体" w:hAnsi="宋体" w:eastAsia="宋体" w:cs="宋体"/>
          <w:kern w:val="0"/>
          <w:sz w:val="28"/>
          <w:szCs w:val="28"/>
        </w:rPr>
        <w:t>826.46</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773.51</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93.59%</w:t>
      </w:r>
      <w:r>
        <w:rPr>
          <w:rFonts w:hint="eastAsia" w:ascii="宋体" w:hAnsi="宋体" w:eastAsia="宋体" w:cs="宋体"/>
          <w:kern w:val="0"/>
          <w:sz w:val="28"/>
          <w:szCs w:val="28"/>
        </w:rPr>
        <w:t>。决算数小于预算数的主要原因是部分项目支出经费结转下年。</w:t>
      </w:r>
      <w:r>
        <w:rPr>
          <w:rFonts w:hint="eastAsia" w:ascii="宋体" w:hAnsi="宋体" w:eastAsia="宋体" w:cs="宋体"/>
          <w:kern w:val="0"/>
          <w:sz w:val="28"/>
          <w:szCs w:val="28"/>
        </w:rPr>
        <w:t xml:space="preserve"> </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3. </w:t>
      </w:r>
      <w:r>
        <w:rPr>
          <w:rFonts w:hint="eastAsia" w:ascii="宋体" w:hAnsi="宋体" w:eastAsia="宋体" w:cs="宋体"/>
          <w:kern w:val="0"/>
          <w:sz w:val="28"/>
          <w:szCs w:val="28"/>
        </w:rPr>
        <w:t>一般公共服务（类）政府办公厅（室）及相关机构事务（款）机关服务（项）。年初预算为</w:t>
      </w:r>
      <w:r>
        <w:rPr>
          <w:rFonts w:hint="eastAsia" w:ascii="宋体" w:hAnsi="宋体" w:eastAsia="宋体" w:cs="宋体"/>
          <w:kern w:val="0"/>
          <w:sz w:val="28"/>
          <w:szCs w:val="28"/>
        </w:rPr>
        <w:t>208.87</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219.95</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105.3%</w:t>
      </w:r>
      <w:r>
        <w:rPr>
          <w:rFonts w:hint="eastAsia" w:ascii="宋体" w:hAnsi="宋体" w:eastAsia="宋体" w:cs="宋体"/>
          <w:kern w:val="0"/>
          <w:sz w:val="28"/>
          <w:szCs w:val="28"/>
        </w:rPr>
        <w:t>。决算数大于预算数的主要原因是年度调级调资等人员经费增加。</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rPr>
        <w:t>一般公共服务（类）政府办公厅（室）及相关机构事务（款）专项业务活动（项）。年初预算为</w:t>
      </w:r>
      <w:r>
        <w:rPr>
          <w:rFonts w:hint="eastAsia" w:ascii="宋体" w:hAnsi="宋体" w:eastAsia="宋体" w:cs="宋体"/>
          <w:kern w:val="0"/>
          <w:sz w:val="28"/>
          <w:szCs w:val="28"/>
        </w:rPr>
        <w:t>40</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14.77</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36.93%</w:t>
      </w:r>
      <w:r>
        <w:rPr>
          <w:rFonts w:hint="eastAsia" w:ascii="宋体" w:hAnsi="宋体" w:eastAsia="宋体" w:cs="宋体"/>
          <w:kern w:val="0"/>
          <w:sz w:val="28"/>
          <w:szCs w:val="28"/>
        </w:rPr>
        <w:t>。决算数小于预算数的主要原因是项目经费未使用完结转下年。</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一般公共服务（类）政府办公厅（室）及相关机构事务（款）其他政府办公厅（室）及相关机构事务支出（项）。年初预算为</w:t>
      </w:r>
      <w:r>
        <w:rPr>
          <w:rFonts w:hint="eastAsia" w:ascii="宋体" w:hAnsi="宋体" w:eastAsia="宋体" w:cs="宋体"/>
          <w:kern w:val="0"/>
          <w:sz w:val="28"/>
          <w:szCs w:val="28"/>
        </w:rPr>
        <w:t>410.52</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368.98</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89.88%</w:t>
      </w:r>
      <w:r>
        <w:rPr>
          <w:rFonts w:hint="eastAsia" w:ascii="宋体" w:hAnsi="宋体" w:eastAsia="宋体" w:cs="宋体"/>
          <w:kern w:val="0"/>
          <w:sz w:val="28"/>
          <w:szCs w:val="28"/>
        </w:rPr>
        <w:t>。决算数小于预算数的主要原因是项目经费未使用完结转下年。</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eastAsia="宋体" w:cs="宋体"/>
          <w:kern w:val="0"/>
          <w:sz w:val="28"/>
          <w:szCs w:val="28"/>
        </w:rPr>
        <w:t>社会保障和就业支出（类）行政事业单位养老支出（款）行政单位离退休（项）。年初预算为</w:t>
      </w:r>
      <w:r>
        <w:rPr>
          <w:rFonts w:hint="eastAsia" w:ascii="宋体" w:hAnsi="宋体" w:eastAsia="宋体" w:cs="宋体"/>
          <w:kern w:val="0"/>
          <w:sz w:val="28"/>
          <w:szCs w:val="28"/>
        </w:rPr>
        <w:t>59.74</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110.26</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184.57%</w:t>
      </w:r>
      <w:r>
        <w:rPr>
          <w:rFonts w:hint="eastAsia" w:ascii="宋体" w:hAnsi="宋体" w:eastAsia="宋体" w:cs="宋体"/>
          <w:kern w:val="0"/>
          <w:sz w:val="28"/>
          <w:szCs w:val="28"/>
        </w:rPr>
        <w:t>。决算数大于预算数的主要原因是年中增加了抚恤金。</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社会保障和就业支出（类）行政事业单位养老支出（款）机关事业单位基本养老保险缴费支出（项）。年初预算为</w:t>
      </w:r>
      <w:r>
        <w:rPr>
          <w:rFonts w:hint="eastAsia" w:ascii="宋体" w:hAnsi="宋体" w:eastAsia="宋体" w:cs="宋体"/>
          <w:kern w:val="0"/>
          <w:sz w:val="28"/>
          <w:szCs w:val="28"/>
        </w:rPr>
        <w:t>231.91</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220.3</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94.99%</w:t>
      </w:r>
      <w:r>
        <w:rPr>
          <w:rFonts w:hint="eastAsia" w:ascii="宋体" w:hAnsi="宋体" w:eastAsia="宋体" w:cs="宋体"/>
          <w:kern w:val="0"/>
          <w:sz w:val="28"/>
          <w:szCs w:val="28"/>
        </w:rPr>
        <w:t>。决算数小于预算数的主要原因是人员变动导致养老保险费用支出减少。</w:t>
      </w:r>
    </w:p>
    <w:p>
      <w:pPr>
        <w:autoSpaceDE w:val="0"/>
        <w:autoSpaceDN w:val="0"/>
        <w:adjustRightInd w:val="0"/>
        <w:spacing w:line="360" w:lineRule="auto"/>
        <w:ind w:firstLine="560" w:firstLineChars="200"/>
        <w:jc w:val="left"/>
        <w:rPr>
          <w:rFonts w:hint="eastAsia" w:ascii="宋体" w:hAnsi="宋体" w:eastAsia="宋体" w:cs="宋体"/>
          <w:color w:val="FF00FF"/>
          <w:kern w:val="0"/>
          <w:sz w:val="28"/>
          <w:szCs w:val="28"/>
        </w:rPr>
      </w:pPr>
      <w:r>
        <w:rPr>
          <w:rFonts w:hint="eastAsia" w:ascii="宋体" w:hAnsi="宋体" w:eastAsia="宋体" w:cs="宋体"/>
          <w:kern w:val="0"/>
          <w:sz w:val="28"/>
          <w:szCs w:val="28"/>
        </w:rPr>
        <w:t>8.</w:t>
      </w:r>
      <w:r>
        <w:rPr>
          <w:rFonts w:hint="eastAsia" w:ascii="宋体" w:hAnsi="宋体" w:eastAsia="宋体" w:cs="宋体"/>
          <w:kern w:val="0"/>
          <w:sz w:val="28"/>
          <w:szCs w:val="28"/>
        </w:rPr>
        <w:t>社会保障和就业支出（类）行政事业单位养老支出（款）机关事业单位职业年金缴费支出（项）。年初预算为</w:t>
      </w:r>
      <w:r>
        <w:rPr>
          <w:rFonts w:hint="eastAsia" w:ascii="宋体" w:hAnsi="宋体" w:eastAsia="宋体" w:cs="宋体"/>
          <w:kern w:val="0"/>
          <w:sz w:val="28"/>
          <w:szCs w:val="28"/>
        </w:rPr>
        <w:t>115.95</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114.76</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98.97%</w:t>
      </w:r>
      <w:r>
        <w:rPr>
          <w:rFonts w:hint="eastAsia" w:ascii="宋体" w:hAnsi="宋体" w:eastAsia="宋体" w:cs="宋体"/>
          <w:kern w:val="0"/>
          <w:sz w:val="28"/>
          <w:szCs w:val="28"/>
        </w:rPr>
        <w:t>。决算小于预算数的主要原因是人员变动导致职业年金费用支出减少</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w:t>
      </w:r>
      <w:r>
        <w:rPr>
          <w:rFonts w:hint="eastAsia" w:ascii="宋体" w:hAnsi="宋体" w:eastAsia="宋体" w:cs="宋体"/>
          <w:kern w:val="0"/>
          <w:sz w:val="28"/>
          <w:szCs w:val="28"/>
        </w:rPr>
        <w:t>卫生健康支出（类）行政事业单位医疗（款）行政单位医疗（项）。年初预算为</w:t>
      </w:r>
      <w:r>
        <w:rPr>
          <w:rFonts w:hint="eastAsia" w:ascii="宋体" w:hAnsi="宋体" w:eastAsia="宋体" w:cs="宋体"/>
          <w:kern w:val="0"/>
          <w:sz w:val="28"/>
          <w:szCs w:val="28"/>
        </w:rPr>
        <w:t>108.71</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109.97</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101.16%</w:t>
      </w:r>
      <w:r>
        <w:rPr>
          <w:rFonts w:hint="eastAsia" w:ascii="宋体" w:hAnsi="宋体" w:eastAsia="宋体" w:cs="宋体"/>
          <w:kern w:val="0"/>
          <w:sz w:val="28"/>
          <w:szCs w:val="28"/>
        </w:rPr>
        <w:t>。决算数大于预算数的主要原因是增人增资因素导致医保费用增加。</w:t>
      </w:r>
    </w:p>
    <w:p>
      <w:pPr>
        <w:autoSpaceDE w:val="0"/>
        <w:autoSpaceDN w:val="0"/>
        <w:adjustRightInd w:val="0"/>
        <w:spacing w:line="360" w:lineRule="auto"/>
        <w:ind w:firstLine="560" w:firstLineChars="200"/>
        <w:jc w:val="left"/>
        <w:rPr>
          <w:rFonts w:hint="eastAsia" w:ascii="宋体" w:hAnsi="宋体" w:eastAsia="宋体" w:cs="宋体"/>
          <w:color w:val="FF00FF"/>
          <w:kern w:val="0"/>
          <w:sz w:val="28"/>
          <w:szCs w:val="28"/>
        </w:rPr>
      </w:pPr>
      <w:r>
        <w:rPr>
          <w:rFonts w:hint="eastAsia" w:ascii="宋体" w:hAnsi="宋体" w:eastAsia="宋体" w:cs="宋体"/>
          <w:kern w:val="0"/>
          <w:sz w:val="28"/>
          <w:szCs w:val="28"/>
        </w:rPr>
        <w:t>10.</w:t>
      </w:r>
      <w:r>
        <w:rPr>
          <w:rFonts w:hint="eastAsia" w:ascii="宋体" w:hAnsi="宋体" w:eastAsia="宋体" w:cs="宋体"/>
          <w:kern w:val="0"/>
          <w:sz w:val="28"/>
          <w:szCs w:val="28"/>
        </w:rPr>
        <w:t>卫生健康支出（类）行政事业单位医疗（款）公务员医疗补助（项）。年初预算为</w:t>
      </w:r>
      <w:r>
        <w:rPr>
          <w:rFonts w:hint="eastAsia" w:ascii="宋体" w:hAnsi="宋体" w:eastAsia="宋体" w:cs="宋体"/>
          <w:kern w:val="0"/>
          <w:sz w:val="28"/>
          <w:szCs w:val="28"/>
        </w:rPr>
        <w:t>113.46</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112.21</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98.9%</w:t>
      </w:r>
      <w:r>
        <w:rPr>
          <w:rFonts w:hint="eastAsia" w:ascii="宋体" w:hAnsi="宋体" w:eastAsia="宋体" w:cs="宋体"/>
          <w:kern w:val="0"/>
          <w:sz w:val="28"/>
          <w:szCs w:val="28"/>
        </w:rPr>
        <w:t>。决算数小于预算数的主要原因是人员变动导致公补费用支出减少。</w:t>
      </w:r>
    </w:p>
    <w:p>
      <w:pPr>
        <w:autoSpaceDE w:val="0"/>
        <w:autoSpaceDN w:val="0"/>
        <w:adjustRightInd w:val="0"/>
        <w:spacing w:line="360" w:lineRule="auto"/>
        <w:ind w:firstLine="560" w:firstLineChars="200"/>
        <w:jc w:val="left"/>
        <w:rPr>
          <w:rFonts w:hint="eastAsia" w:ascii="宋体" w:hAnsi="宋体" w:eastAsia="宋体" w:cs="宋体"/>
          <w:color w:val="FF00FF"/>
          <w:kern w:val="0"/>
          <w:sz w:val="28"/>
          <w:szCs w:val="28"/>
        </w:rPr>
      </w:pPr>
      <w:r>
        <w:rPr>
          <w:rFonts w:hint="eastAsia" w:ascii="宋体" w:hAnsi="宋体" w:eastAsia="宋体" w:cs="宋体"/>
          <w:kern w:val="0"/>
          <w:sz w:val="28"/>
          <w:szCs w:val="28"/>
        </w:rPr>
        <w:t xml:space="preserve">11. </w:t>
      </w:r>
      <w:r>
        <w:rPr>
          <w:rFonts w:hint="eastAsia" w:ascii="宋体" w:hAnsi="宋体" w:eastAsia="宋体" w:cs="宋体"/>
          <w:kern w:val="0"/>
          <w:sz w:val="28"/>
          <w:szCs w:val="28"/>
        </w:rPr>
        <w:t>卫生健康支出（类）其他卫生健康支出（款）其他卫生健康支出（项）。年初预算为</w:t>
      </w:r>
      <w:r>
        <w:rPr>
          <w:rFonts w:hint="eastAsia" w:ascii="宋体" w:hAnsi="宋体" w:eastAsia="宋体" w:cs="宋体"/>
          <w:kern w:val="0"/>
          <w:sz w:val="28"/>
          <w:szCs w:val="28"/>
        </w:rPr>
        <w:t>0</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9.41</w:t>
      </w:r>
      <w:r>
        <w:rPr>
          <w:rFonts w:hint="eastAsia" w:ascii="宋体" w:hAnsi="宋体" w:eastAsia="宋体" w:cs="宋体"/>
          <w:kern w:val="0"/>
          <w:sz w:val="28"/>
          <w:szCs w:val="28"/>
        </w:rPr>
        <w:t>万元。决算数大于预算数的主要原因是年中追加疫情防控专项资金。</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w:t>
      </w:r>
      <w:r>
        <w:rPr>
          <w:rFonts w:hint="eastAsia" w:ascii="宋体" w:hAnsi="宋体" w:eastAsia="宋体" w:cs="宋体"/>
          <w:kern w:val="0"/>
          <w:sz w:val="28"/>
          <w:szCs w:val="28"/>
        </w:rPr>
        <w:t>住房保障支出（类）住房改革支出（款）住房公积金（项）。年初预算为</w:t>
      </w:r>
      <w:r>
        <w:rPr>
          <w:rFonts w:hint="eastAsia" w:ascii="宋体" w:hAnsi="宋体" w:eastAsia="宋体" w:cs="宋体"/>
          <w:kern w:val="0"/>
          <w:sz w:val="28"/>
          <w:szCs w:val="28"/>
        </w:rPr>
        <w:t>173.93</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174.99</w:t>
      </w:r>
      <w:r>
        <w:rPr>
          <w:rFonts w:hint="eastAsia" w:ascii="宋体" w:hAnsi="宋体" w:eastAsia="宋体" w:cs="宋体"/>
          <w:kern w:val="0"/>
          <w:sz w:val="28"/>
          <w:szCs w:val="28"/>
        </w:rPr>
        <w:t>万元，完成年初预算的</w:t>
      </w:r>
      <w:r>
        <w:rPr>
          <w:rFonts w:hint="eastAsia" w:ascii="宋体" w:hAnsi="宋体" w:eastAsia="宋体" w:cs="宋体"/>
          <w:kern w:val="0"/>
          <w:sz w:val="28"/>
          <w:szCs w:val="28"/>
        </w:rPr>
        <w:t>100.61%</w:t>
      </w:r>
      <w:r>
        <w:rPr>
          <w:rFonts w:hint="eastAsia" w:ascii="宋体" w:hAnsi="宋体" w:eastAsia="宋体" w:cs="宋体"/>
          <w:kern w:val="0"/>
          <w:sz w:val="28"/>
          <w:szCs w:val="28"/>
        </w:rPr>
        <w:t>。决算数大于预算数的主要原因是年度调级调资等人员经费增加。</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w:t>
      </w:r>
      <w:r>
        <w:rPr>
          <w:rFonts w:hint="eastAsia" w:ascii="宋体" w:hAnsi="宋体" w:eastAsia="宋体" w:cs="宋体"/>
          <w:kern w:val="0"/>
          <w:sz w:val="28"/>
          <w:szCs w:val="28"/>
        </w:rPr>
        <w:t>住房保障支出（类）住房改革支出（款）购房补贴（项）。年初预算为</w:t>
      </w:r>
      <w:r>
        <w:rPr>
          <w:rFonts w:hint="eastAsia" w:ascii="宋体" w:hAnsi="宋体" w:eastAsia="宋体" w:cs="宋体"/>
          <w:kern w:val="0"/>
          <w:sz w:val="28"/>
          <w:szCs w:val="28"/>
        </w:rPr>
        <w:t>0</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0.11</w:t>
      </w:r>
      <w:r>
        <w:rPr>
          <w:rFonts w:hint="eastAsia" w:ascii="宋体" w:hAnsi="宋体" w:eastAsia="宋体" w:cs="宋体"/>
          <w:kern w:val="0"/>
          <w:sz w:val="28"/>
          <w:szCs w:val="28"/>
        </w:rPr>
        <w:t>万元。决算数大于预算数的主要原因是年中追加购房补贴资金。</w:t>
      </w:r>
    </w:p>
    <w:p>
      <w:pPr>
        <w:autoSpaceDE w:val="0"/>
        <w:autoSpaceDN w:val="0"/>
        <w:adjustRightInd w:val="0"/>
        <w:spacing w:line="360" w:lineRule="auto"/>
        <w:ind w:firstLine="560" w:firstLineChars="200"/>
        <w:jc w:val="left"/>
        <w:rPr>
          <w:rFonts w:hint="eastAsia" w:ascii="宋体" w:hAnsi="宋体" w:eastAsia="宋体" w:cs="宋体"/>
          <w:b/>
          <w:bCs/>
          <w:kern w:val="0"/>
          <w:sz w:val="28"/>
          <w:szCs w:val="28"/>
        </w:rPr>
      </w:pPr>
      <w:r>
        <w:rPr>
          <w:rFonts w:hint="eastAsia" w:ascii="宋体" w:hAnsi="宋体" w:eastAsia="宋体" w:cs="宋体"/>
          <w:kern w:val="0"/>
          <w:sz w:val="28"/>
          <w:szCs w:val="28"/>
        </w:rPr>
        <w:t>六、</w:t>
      </w:r>
      <w:r>
        <w:rPr>
          <w:rFonts w:hint="eastAsia" w:ascii="宋体" w:hAnsi="宋体" w:eastAsia="宋体" w:cs="宋体"/>
          <w:b/>
          <w:bCs/>
          <w:kern w:val="0"/>
          <w:sz w:val="28"/>
          <w:szCs w:val="28"/>
        </w:rPr>
        <w:t>2020</w:t>
      </w:r>
      <w:r>
        <w:rPr>
          <w:rFonts w:hint="eastAsia" w:ascii="宋体" w:hAnsi="宋体" w:eastAsia="宋体" w:cs="宋体"/>
          <w:b/>
          <w:bCs/>
          <w:kern w:val="0"/>
          <w:sz w:val="28"/>
          <w:szCs w:val="28"/>
        </w:rPr>
        <w:t>年度一般公共预算财政拨款基本支出决算情况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2020</w:t>
      </w:r>
      <w:r>
        <w:rPr>
          <w:rFonts w:hint="eastAsia" w:ascii="宋体" w:hAnsi="宋体" w:eastAsia="宋体" w:cs="宋体"/>
          <w:kern w:val="0"/>
          <w:sz w:val="28"/>
          <w:szCs w:val="28"/>
        </w:rPr>
        <w:t>年度财政拨款基本支出</w:t>
      </w:r>
      <w:r>
        <w:rPr>
          <w:rFonts w:hint="eastAsia" w:ascii="宋体" w:hAnsi="宋体" w:eastAsia="宋体" w:cs="宋体"/>
          <w:kern w:val="0"/>
          <w:sz w:val="28"/>
          <w:szCs w:val="28"/>
        </w:rPr>
        <w:t>3177.52</w:t>
      </w:r>
      <w:r>
        <w:rPr>
          <w:rFonts w:hint="eastAsia" w:ascii="宋体" w:hAnsi="宋体" w:eastAsia="宋体" w:cs="宋体"/>
          <w:kern w:val="0"/>
          <w:sz w:val="28"/>
          <w:szCs w:val="28"/>
        </w:rPr>
        <w:t>万元，其中：</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人员经费</w:t>
      </w:r>
      <w:r>
        <w:rPr>
          <w:rFonts w:hint="eastAsia" w:ascii="宋体" w:hAnsi="宋体" w:eastAsia="宋体" w:cs="宋体"/>
          <w:kern w:val="0"/>
          <w:sz w:val="28"/>
          <w:szCs w:val="28"/>
        </w:rPr>
        <w:t>2747.02</w:t>
      </w:r>
      <w:r>
        <w:rPr>
          <w:rFonts w:hint="eastAsia" w:ascii="宋体" w:hAnsi="宋体" w:eastAsia="宋体" w:cs="宋体"/>
          <w:kern w:val="0"/>
          <w:sz w:val="28"/>
          <w:szCs w:val="28"/>
        </w:rPr>
        <w:t>万元，主要包括：基本工资、津贴补贴、奖金、伙食补助费、绩效工资、机关事业单位基本养老保险缴费、职业年金缴费、其他社会保障缴费、其他工资福利支出、退休费、抚恤金、住房公积金；</w:t>
      </w:r>
    </w:p>
    <w:p>
      <w:pPr>
        <w:autoSpaceDE w:val="0"/>
        <w:autoSpaceDN w:val="0"/>
        <w:adjustRightInd w:val="0"/>
        <w:spacing w:line="360" w:lineRule="auto"/>
        <w:ind w:firstLine="560" w:firstLineChars="200"/>
        <w:jc w:val="left"/>
        <w:rPr>
          <w:rFonts w:hint="eastAsia" w:ascii="宋体" w:hAnsi="宋体" w:eastAsia="宋体" w:cs="宋体"/>
          <w:color w:val="FF00FF"/>
          <w:kern w:val="0"/>
          <w:sz w:val="28"/>
          <w:szCs w:val="28"/>
        </w:rPr>
      </w:pPr>
      <w:r>
        <w:rPr>
          <w:rFonts w:hint="eastAsia" w:ascii="宋体" w:hAnsi="宋体" w:eastAsia="宋体" w:cs="宋体"/>
          <w:kern w:val="0"/>
          <w:sz w:val="28"/>
          <w:szCs w:val="28"/>
        </w:rPr>
        <w:t>公用经费</w:t>
      </w:r>
      <w:r>
        <w:rPr>
          <w:rFonts w:hint="eastAsia" w:ascii="宋体" w:hAnsi="宋体" w:eastAsia="宋体" w:cs="宋体"/>
          <w:kern w:val="0"/>
          <w:sz w:val="28"/>
          <w:szCs w:val="28"/>
        </w:rPr>
        <w:t>430.50</w:t>
      </w:r>
      <w:r>
        <w:rPr>
          <w:rFonts w:hint="eastAsia" w:ascii="宋体" w:hAnsi="宋体" w:eastAsia="宋体" w:cs="宋体"/>
          <w:kern w:val="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用、税金及附加费用、其他商品和服务支出、办公设备购置。</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七、</w:t>
      </w:r>
      <w:r>
        <w:rPr>
          <w:rFonts w:hint="eastAsia" w:ascii="宋体" w:hAnsi="宋体" w:eastAsia="宋体" w:cs="宋体"/>
          <w:b/>
          <w:bCs/>
          <w:kern w:val="0"/>
          <w:sz w:val="28"/>
          <w:szCs w:val="28"/>
        </w:rPr>
        <w:t xml:space="preserve">2020 </w:t>
      </w:r>
      <w:r>
        <w:rPr>
          <w:rFonts w:hint="eastAsia" w:ascii="宋体" w:hAnsi="宋体" w:eastAsia="宋体" w:cs="宋体"/>
          <w:b/>
          <w:bCs/>
          <w:kern w:val="0"/>
          <w:sz w:val="28"/>
          <w:szCs w:val="28"/>
        </w:rPr>
        <w:t>年度一般公共预算财政拨款“三公”</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经费支出决算情况</w:t>
      </w:r>
      <w:r>
        <w:rPr>
          <w:rFonts w:hint="eastAsia" w:ascii="宋体" w:hAnsi="宋体" w:eastAsia="宋体" w:cs="宋体"/>
          <w:kern w:val="0"/>
          <w:sz w:val="28"/>
          <w:szCs w:val="28"/>
        </w:rPr>
        <w:t xml:space="preserve"> </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（一）“三公”经费财政拨款支出决算总体情况</w:t>
      </w:r>
      <w:r>
        <w:rPr>
          <w:rFonts w:hint="eastAsia" w:ascii="宋体" w:hAnsi="宋体" w:eastAsia="宋体" w:cs="宋体"/>
          <w:kern w:val="0"/>
          <w:sz w:val="28"/>
          <w:szCs w:val="28"/>
        </w:rPr>
        <w:t xml:space="preserve"> </w:t>
      </w:r>
    </w:p>
    <w:p>
      <w:pPr>
        <w:autoSpaceDE w:val="0"/>
        <w:autoSpaceDN w:val="0"/>
        <w:adjustRightInd w:val="0"/>
        <w:spacing w:line="360" w:lineRule="auto"/>
        <w:ind w:firstLine="560" w:firstLineChars="200"/>
        <w:jc w:val="left"/>
        <w:rPr>
          <w:rFonts w:hint="eastAsia" w:ascii="宋体" w:hAnsi="宋体" w:eastAsia="宋体" w:cs="宋体"/>
          <w:color w:val="FF00FF"/>
          <w:kern w:val="0"/>
          <w:sz w:val="28"/>
          <w:szCs w:val="28"/>
        </w:rPr>
      </w:pPr>
      <w:r>
        <w:rPr>
          <w:rFonts w:hint="eastAsia" w:ascii="宋体" w:hAnsi="宋体" w:eastAsia="宋体" w:cs="宋体"/>
          <w:kern w:val="0"/>
          <w:sz w:val="28"/>
          <w:szCs w:val="28"/>
        </w:rPr>
        <w:t xml:space="preserve">2020 </w:t>
      </w:r>
      <w:r>
        <w:rPr>
          <w:rFonts w:hint="eastAsia" w:ascii="宋体" w:hAnsi="宋体" w:eastAsia="宋体" w:cs="宋体"/>
          <w:kern w:val="0"/>
          <w:sz w:val="28"/>
          <w:szCs w:val="28"/>
        </w:rPr>
        <w:t>年度“三公”经费财政拨款支出预算为</w:t>
      </w:r>
      <w:r>
        <w:rPr>
          <w:rFonts w:hint="eastAsia" w:ascii="宋体" w:hAnsi="宋体" w:eastAsia="宋体" w:cs="宋体"/>
          <w:kern w:val="0"/>
          <w:sz w:val="28"/>
          <w:szCs w:val="28"/>
        </w:rPr>
        <w:t>40.50</w:t>
      </w:r>
      <w:r>
        <w:rPr>
          <w:rFonts w:hint="eastAsia" w:ascii="宋体" w:hAnsi="宋体" w:eastAsia="宋体" w:cs="宋体"/>
          <w:kern w:val="0"/>
          <w:sz w:val="28"/>
          <w:szCs w:val="28"/>
        </w:rPr>
        <w:t>万元，支出决算为</w:t>
      </w:r>
      <w:r>
        <w:rPr>
          <w:rFonts w:hint="eastAsia" w:ascii="宋体" w:hAnsi="宋体" w:eastAsia="宋体" w:cs="宋体"/>
          <w:kern w:val="0"/>
          <w:sz w:val="28"/>
          <w:szCs w:val="28"/>
        </w:rPr>
        <w:t>28.07</w:t>
      </w:r>
      <w:r>
        <w:rPr>
          <w:rFonts w:hint="eastAsia" w:ascii="宋体" w:hAnsi="宋体" w:eastAsia="宋体" w:cs="宋体"/>
          <w:kern w:val="0"/>
          <w:sz w:val="28"/>
          <w:szCs w:val="28"/>
        </w:rPr>
        <w:t>万元，完成预算的</w:t>
      </w:r>
      <w:r>
        <w:rPr>
          <w:rFonts w:hint="eastAsia" w:ascii="宋体" w:hAnsi="宋体" w:eastAsia="宋体" w:cs="宋体"/>
          <w:kern w:val="0"/>
          <w:sz w:val="28"/>
          <w:szCs w:val="28"/>
        </w:rPr>
        <w:t>69.31%</w:t>
      </w:r>
      <w:r>
        <w:rPr>
          <w:rFonts w:hint="eastAsia" w:ascii="宋体" w:hAnsi="宋体" w:eastAsia="宋体" w:cs="宋体"/>
          <w:kern w:val="0"/>
          <w:sz w:val="28"/>
          <w:szCs w:val="28"/>
        </w:rPr>
        <w:t>，其中：因公出国（境）费支出决算为</w:t>
      </w:r>
      <w:r>
        <w:rPr>
          <w:rFonts w:hint="eastAsia" w:ascii="宋体" w:hAnsi="宋体" w:eastAsia="宋体" w:cs="宋体"/>
          <w:kern w:val="0"/>
          <w:sz w:val="28"/>
          <w:szCs w:val="28"/>
        </w:rPr>
        <w:t>0</w:t>
      </w:r>
      <w:r>
        <w:rPr>
          <w:rFonts w:hint="eastAsia" w:ascii="宋体" w:hAnsi="宋体" w:eastAsia="宋体" w:cs="宋体"/>
          <w:kern w:val="0"/>
          <w:sz w:val="28"/>
          <w:szCs w:val="28"/>
        </w:rPr>
        <w:t>万元；公务用车购置及运行费支出决算为</w:t>
      </w:r>
      <w:r>
        <w:rPr>
          <w:rFonts w:hint="eastAsia" w:ascii="宋体" w:hAnsi="宋体" w:eastAsia="宋体" w:cs="宋体"/>
          <w:kern w:val="0"/>
          <w:sz w:val="28"/>
          <w:szCs w:val="28"/>
        </w:rPr>
        <w:t>23.68</w:t>
      </w:r>
      <w:r>
        <w:rPr>
          <w:rFonts w:hint="eastAsia" w:ascii="宋体" w:hAnsi="宋体" w:eastAsia="宋体" w:cs="宋体"/>
          <w:kern w:val="0"/>
          <w:sz w:val="28"/>
          <w:szCs w:val="28"/>
        </w:rPr>
        <w:t>万元，完成预算的</w:t>
      </w:r>
      <w:r>
        <w:rPr>
          <w:rFonts w:hint="eastAsia" w:ascii="宋体" w:hAnsi="宋体" w:eastAsia="宋体" w:cs="宋体"/>
          <w:kern w:val="0"/>
          <w:sz w:val="28"/>
          <w:szCs w:val="28"/>
        </w:rPr>
        <w:t>81.4%</w:t>
      </w:r>
      <w:r>
        <w:rPr>
          <w:rFonts w:hint="eastAsia" w:ascii="宋体" w:hAnsi="宋体" w:eastAsia="宋体" w:cs="宋体"/>
          <w:kern w:val="0"/>
          <w:sz w:val="28"/>
          <w:szCs w:val="28"/>
        </w:rPr>
        <w:t>；公务接待费支出决算为</w:t>
      </w:r>
      <w:r>
        <w:rPr>
          <w:rFonts w:hint="eastAsia" w:ascii="宋体" w:hAnsi="宋体" w:eastAsia="宋体" w:cs="宋体"/>
          <w:kern w:val="0"/>
          <w:sz w:val="28"/>
          <w:szCs w:val="28"/>
        </w:rPr>
        <w:t>4.35</w:t>
      </w:r>
      <w:r>
        <w:rPr>
          <w:rFonts w:hint="eastAsia" w:ascii="宋体" w:hAnsi="宋体" w:eastAsia="宋体" w:cs="宋体"/>
          <w:kern w:val="0"/>
          <w:sz w:val="28"/>
          <w:szCs w:val="28"/>
        </w:rPr>
        <w:t>万元，完成预算的</w:t>
      </w:r>
      <w:r>
        <w:rPr>
          <w:rFonts w:hint="eastAsia" w:ascii="宋体" w:hAnsi="宋体" w:eastAsia="宋体" w:cs="宋体"/>
          <w:kern w:val="0"/>
          <w:sz w:val="28"/>
          <w:szCs w:val="28"/>
        </w:rPr>
        <w:t>38.16%</w:t>
      </w:r>
      <w:r>
        <w:rPr>
          <w:rFonts w:hint="eastAsia" w:ascii="宋体" w:hAnsi="宋体" w:eastAsia="宋体" w:cs="宋体"/>
          <w:kern w:val="0"/>
          <w:sz w:val="28"/>
          <w:szCs w:val="28"/>
        </w:rPr>
        <w:t>。</w:t>
      </w:r>
      <w:r>
        <w:rPr>
          <w:rFonts w:hint="eastAsia" w:ascii="宋体" w:hAnsi="宋体" w:eastAsia="宋体" w:cs="宋体"/>
          <w:kern w:val="0"/>
          <w:sz w:val="28"/>
          <w:szCs w:val="28"/>
        </w:rPr>
        <w:t>2020</w:t>
      </w:r>
      <w:r>
        <w:rPr>
          <w:rFonts w:hint="eastAsia" w:ascii="宋体" w:hAnsi="宋体" w:eastAsia="宋体" w:cs="宋体"/>
          <w:kern w:val="0"/>
          <w:sz w:val="28"/>
          <w:szCs w:val="28"/>
        </w:rPr>
        <w:t>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360" w:lineRule="auto"/>
        <w:ind w:firstLine="560" w:firstLineChars="200"/>
        <w:jc w:val="left"/>
        <w:rPr>
          <w:rFonts w:hint="eastAsia" w:ascii="宋体" w:hAnsi="宋体" w:eastAsia="宋体" w:cs="宋体"/>
          <w:color w:val="FF00FF"/>
          <w:kern w:val="0"/>
          <w:sz w:val="28"/>
          <w:szCs w:val="28"/>
        </w:rPr>
      </w:pPr>
      <w:r>
        <w:rPr>
          <w:rFonts w:hint="eastAsia" w:ascii="宋体" w:hAnsi="宋体" w:eastAsia="宋体" w:cs="宋体"/>
          <w:kern w:val="0"/>
          <w:sz w:val="28"/>
          <w:szCs w:val="28"/>
        </w:rPr>
        <w:t>2020</w:t>
      </w:r>
      <w:r>
        <w:rPr>
          <w:rFonts w:hint="eastAsia" w:ascii="宋体" w:hAnsi="宋体" w:eastAsia="宋体" w:cs="宋体"/>
          <w:kern w:val="0"/>
          <w:sz w:val="28"/>
          <w:szCs w:val="28"/>
        </w:rPr>
        <w:t>年度“三公”经费财政拨款支出决算数比</w:t>
      </w:r>
      <w:r>
        <w:rPr>
          <w:rFonts w:hint="eastAsia" w:ascii="宋体" w:hAnsi="宋体" w:eastAsia="宋体" w:cs="宋体"/>
          <w:kern w:val="0"/>
          <w:sz w:val="28"/>
          <w:szCs w:val="28"/>
        </w:rPr>
        <w:t>2019</w:t>
      </w:r>
      <w:r>
        <w:rPr>
          <w:rFonts w:hint="eastAsia" w:ascii="宋体" w:hAnsi="宋体" w:eastAsia="宋体" w:cs="宋体"/>
          <w:kern w:val="0"/>
          <w:sz w:val="28"/>
          <w:szCs w:val="28"/>
        </w:rPr>
        <w:t>年减少</w:t>
      </w:r>
      <w:r>
        <w:rPr>
          <w:rFonts w:hint="eastAsia" w:ascii="宋体" w:hAnsi="宋体" w:eastAsia="宋体" w:cs="宋体"/>
          <w:kern w:val="0"/>
          <w:sz w:val="28"/>
          <w:szCs w:val="28"/>
        </w:rPr>
        <w:t>94.41</w:t>
      </w:r>
      <w:r>
        <w:rPr>
          <w:rFonts w:hint="eastAsia" w:ascii="宋体" w:hAnsi="宋体" w:eastAsia="宋体" w:cs="宋体"/>
          <w:kern w:val="0"/>
          <w:sz w:val="28"/>
          <w:szCs w:val="28"/>
        </w:rPr>
        <w:t>万元，下降</w:t>
      </w:r>
      <w:r>
        <w:rPr>
          <w:rFonts w:hint="eastAsia" w:ascii="宋体" w:hAnsi="宋体" w:eastAsia="宋体" w:cs="宋体"/>
          <w:kern w:val="0"/>
          <w:sz w:val="28"/>
          <w:szCs w:val="28"/>
        </w:rPr>
        <w:t>69.98%</w:t>
      </w:r>
      <w:r>
        <w:rPr>
          <w:rFonts w:hint="eastAsia" w:ascii="宋体" w:hAnsi="宋体" w:eastAsia="宋体" w:cs="宋体"/>
          <w:kern w:val="0"/>
          <w:sz w:val="28"/>
          <w:szCs w:val="28"/>
        </w:rPr>
        <w:t>，其中：因公出国（境）费支出决算减少</w:t>
      </w:r>
      <w:r>
        <w:rPr>
          <w:rFonts w:hint="eastAsia" w:ascii="宋体" w:hAnsi="宋体" w:eastAsia="宋体" w:cs="宋体"/>
          <w:kern w:val="0"/>
          <w:sz w:val="28"/>
          <w:szCs w:val="28"/>
        </w:rPr>
        <w:t>30.38</w:t>
      </w:r>
      <w:r>
        <w:rPr>
          <w:rFonts w:hint="eastAsia" w:ascii="宋体" w:hAnsi="宋体" w:eastAsia="宋体" w:cs="宋体"/>
          <w:kern w:val="0"/>
          <w:sz w:val="28"/>
          <w:szCs w:val="28"/>
        </w:rPr>
        <w:t>万元，下降</w:t>
      </w:r>
      <w:r>
        <w:rPr>
          <w:rFonts w:hint="eastAsia" w:ascii="宋体" w:hAnsi="宋体" w:eastAsia="宋体" w:cs="宋体"/>
          <w:kern w:val="0"/>
          <w:sz w:val="28"/>
          <w:szCs w:val="28"/>
        </w:rPr>
        <w:t>100%</w:t>
      </w:r>
      <w:r>
        <w:rPr>
          <w:rFonts w:hint="eastAsia" w:ascii="宋体" w:hAnsi="宋体" w:eastAsia="宋体" w:cs="宋体"/>
          <w:kern w:val="0"/>
          <w:sz w:val="28"/>
          <w:szCs w:val="28"/>
        </w:rPr>
        <w:t>；公务用车购置及运行费支出决算减少</w:t>
      </w:r>
      <w:r>
        <w:rPr>
          <w:rFonts w:hint="eastAsia" w:ascii="宋体" w:hAnsi="宋体" w:eastAsia="宋体" w:cs="宋体"/>
          <w:kern w:val="0"/>
          <w:sz w:val="28"/>
          <w:szCs w:val="28"/>
        </w:rPr>
        <w:t>,71.09</w:t>
      </w:r>
      <w:r>
        <w:rPr>
          <w:rFonts w:hint="eastAsia" w:ascii="宋体" w:hAnsi="宋体" w:eastAsia="宋体" w:cs="宋体"/>
          <w:kern w:val="0"/>
          <w:sz w:val="28"/>
          <w:szCs w:val="28"/>
        </w:rPr>
        <w:t>万元，下降</w:t>
      </w:r>
      <w:r>
        <w:rPr>
          <w:rFonts w:hint="eastAsia" w:ascii="宋体" w:hAnsi="宋体" w:eastAsia="宋体" w:cs="宋体"/>
          <w:kern w:val="0"/>
          <w:sz w:val="28"/>
          <w:szCs w:val="28"/>
        </w:rPr>
        <w:t>75.01%</w:t>
      </w:r>
      <w:r>
        <w:rPr>
          <w:rFonts w:hint="eastAsia" w:ascii="宋体" w:hAnsi="宋体" w:eastAsia="宋体" w:cs="宋体"/>
          <w:kern w:val="0"/>
          <w:sz w:val="28"/>
          <w:szCs w:val="28"/>
        </w:rPr>
        <w:t>；公务接待费支出决算减少</w:t>
      </w:r>
      <w:r>
        <w:rPr>
          <w:rFonts w:hint="eastAsia" w:ascii="宋体" w:hAnsi="宋体" w:eastAsia="宋体" w:cs="宋体"/>
          <w:kern w:val="0"/>
          <w:sz w:val="28"/>
          <w:szCs w:val="28"/>
        </w:rPr>
        <w:t>5.41</w:t>
      </w:r>
      <w:r>
        <w:rPr>
          <w:rFonts w:hint="eastAsia" w:ascii="宋体" w:hAnsi="宋体" w:eastAsia="宋体" w:cs="宋体"/>
          <w:kern w:val="0"/>
          <w:sz w:val="28"/>
          <w:szCs w:val="28"/>
        </w:rPr>
        <w:t>万元，下降</w:t>
      </w:r>
      <w:r>
        <w:rPr>
          <w:rFonts w:hint="eastAsia" w:ascii="宋体" w:hAnsi="宋体" w:eastAsia="宋体" w:cs="宋体"/>
          <w:kern w:val="0"/>
          <w:sz w:val="28"/>
          <w:szCs w:val="28"/>
        </w:rPr>
        <w:t>55.26%</w:t>
      </w:r>
      <w:r>
        <w:rPr>
          <w:rFonts w:hint="eastAsia" w:ascii="宋体" w:hAnsi="宋体" w:eastAsia="宋体" w:cs="宋体"/>
          <w:kern w:val="0"/>
          <w:sz w:val="28"/>
          <w:szCs w:val="28"/>
        </w:rPr>
        <w:t>。</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color w:val="FF00FF"/>
          <w:kern w:val="0"/>
          <w:sz w:val="28"/>
          <w:szCs w:val="28"/>
        </w:rPr>
        <w:t xml:space="preserve">     </w:t>
      </w:r>
      <w:r>
        <w:rPr>
          <w:rFonts w:hint="eastAsia" w:ascii="宋体" w:hAnsi="宋体" w:eastAsia="宋体" w:cs="宋体"/>
          <w:kern w:val="0"/>
          <w:sz w:val="28"/>
          <w:szCs w:val="28"/>
        </w:rPr>
        <w:t>因公出国（境）费支出减少的主要原因是疫情原因无出国安排；公务用车购置及运行费支出减少的主要原因是无公务用车购置需求；公务接待费支出减少的主要原因是疫情原因接待次数减少。</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color w:val="FF00FF"/>
          <w:kern w:val="0"/>
          <w:sz w:val="28"/>
          <w:szCs w:val="28"/>
        </w:rPr>
        <w:t xml:space="preserve">    </w:t>
      </w:r>
      <w:r>
        <w:rPr>
          <w:rFonts w:hint="eastAsia" w:ascii="宋体" w:hAnsi="宋体" w:eastAsia="宋体" w:cs="宋体"/>
          <w:kern w:val="0"/>
          <w:sz w:val="28"/>
          <w:szCs w:val="28"/>
        </w:rPr>
        <w:t>（二）“三公”经费财政拨款支出决算具体情况</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2020</w:t>
      </w:r>
      <w:r>
        <w:rPr>
          <w:rFonts w:hint="eastAsia" w:ascii="宋体" w:hAnsi="宋体" w:eastAsia="宋体" w:cs="宋体"/>
          <w:kern w:val="0"/>
          <w:sz w:val="28"/>
          <w:szCs w:val="28"/>
        </w:rPr>
        <w:t>年度“三公”经费财政拨款支出决算中，因公出国（境）费支出决算</w:t>
      </w:r>
      <w:r>
        <w:rPr>
          <w:rFonts w:hint="eastAsia" w:ascii="宋体" w:hAnsi="宋体" w:eastAsia="宋体" w:cs="宋体"/>
          <w:kern w:val="0"/>
          <w:sz w:val="28"/>
          <w:szCs w:val="28"/>
        </w:rPr>
        <w:t>0</w:t>
      </w:r>
      <w:r>
        <w:rPr>
          <w:rFonts w:hint="eastAsia" w:ascii="宋体" w:hAnsi="宋体" w:eastAsia="宋体" w:cs="宋体"/>
          <w:kern w:val="0"/>
          <w:sz w:val="28"/>
          <w:szCs w:val="28"/>
        </w:rPr>
        <w:t>万元；公务用车购置及运行费支出决算</w:t>
      </w:r>
      <w:r>
        <w:rPr>
          <w:rFonts w:hint="eastAsia" w:ascii="宋体" w:hAnsi="宋体" w:eastAsia="宋体" w:cs="宋体"/>
          <w:kern w:val="0"/>
          <w:sz w:val="28"/>
          <w:szCs w:val="28"/>
        </w:rPr>
        <w:t>23.68</w:t>
      </w:r>
      <w:r>
        <w:rPr>
          <w:rFonts w:hint="eastAsia" w:ascii="宋体" w:hAnsi="宋体" w:eastAsia="宋体" w:cs="宋体"/>
          <w:kern w:val="0"/>
          <w:sz w:val="28"/>
          <w:szCs w:val="28"/>
        </w:rPr>
        <w:t>万元，占</w:t>
      </w:r>
      <w:r>
        <w:rPr>
          <w:rFonts w:hint="eastAsia" w:ascii="宋体" w:hAnsi="宋体" w:eastAsia="宋体" w:cs="宋体"/>
          <w:kern w:val="0"/>
          <w:sz w:val="28"/>
          <w:szCs w:val="28"/>
        </w:rPr>
        <w:t>84.36 %</w:t>
      </w:r>
      <w:r>
        <w:rPr>
          <w:rFonts w:hint="eastAsia" w:ascii="宋体" w:hAnsi="宋体" w:eastAsia="宋体" w:cs="宋体"/>
          <w:kern w:val="0"/>
          <w:sz w:val="28"/>
          <w:szCs w:val="28"/>
        </w:rPr>
        <w:t>；公务接待费支出决算</w:t>
      </w:r>
      <w:r>
        <w:rPr>
          <w:rFonts w:hint="eastAsia" w:ascii="宋体" w:hAnsi="宋体" w:eastAsia="宋体" w:cs="宋体"/>
          <w:kern w:val="0"/>
          <w:sz w:val="28"/>
          <w:szCs w:val="28"/>
        </w:rPr>
        <w:t>,4.38</w:t>
      </w:r>
      <w:r>
        <w:rPr>
          <w:rFonts w:hint="eastAsia" w:ascii="宋体" w:hAnsi="宋体" w:eastAsia="宋体" w:cs="宋体"/>
          <w:kern w:val="0"/>
          <w:sz w:val="28"/>
          <w:szCs w:val="28"/>
        </w:rPr>
        <w:t>万元，占</w:t>
      </w:r>
      <w:r>
        <w:rPr>
          <w:rFonts w:hint="eastAsia" w:ascii="宋体" w:hAnsi="宋体" w:eastAsia="宋体" w:cs="宋体"/>
          <w:kern w:val="0"/>
          <w:sz w:val="28"/>
          <w:szCs w:val="28"/>
        </w:rPr>
        <w:t>15.64 %</w:t>
      </w:r>
      <w:r>
        <w:rPr>
          <w:rFonts w:hint="eastAsia" w:ascii="宋体" w:hAnsi="宋体" w:eastAsia="宋体" w:cs="宋体"/>
          <w:kern w:val="0"/>
          <w:sz w:val="28"/>
          <w:szCs w:val="28"/>
        </w:rPr>
        <w:t>。具体情况如下：</w:t>
      </w:r>
      <w:r>
        <w:rPr>
          <w:rFonts w:hint="eastAsia" w:ascii="宋体" w:hAnsi="宋体" w:eastAsia="宋体" w:cs="宋体"/>
          <w:kern w:val="0"/>
          <w:sz w:val="28"/>
          <w:szCs w:val="28"/>
        </w:rPr>
        <w:t xml:space="preserve">  </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color w:val="FF00FF"/>
          <w:kern w:val="0"/>
          <w:sz w:val="28"/>
          <w:szCs w:val="28"/>
        </w:rPr>
        <w:t xml:space="preserve">    </w:t>
      </w:r>
      <w:r>
        <w:rPr>
          <w:rFonts w:hint="eastAsia" w:ascii="宋体" w:hAnsi="宋体" w:eastAsia="宋体" w:cs="宋体"/>
          <w:kern w:val="0"/>
          <w:sz w:val="28"/>
          <w:szCs w:val="28"/>
        </w:rPr>
        <w:t>1.</w:t>
      </w:r>
      <w:r>
        <w:rPr>
          <w:rFonts w:hint="eastAsia" w:ascii="宋体" w:hAnsi="宋体" w:eastAsia="宋体" w:cs="宋体"/>
          <w:kern w:val="0"/>
          <w:sz w:val="28"/>
          <w:szCs w:val="28"/>
        </w:rPr>
        <w:t>因公出国（境）费支出</w:t>
      </w:r>
      <w:r>
        <w:rPr>
          <w:rFonts w:hint="eastAsia" w:ascii="宋体" w:hAnsi="宋体" w:eastAsia="宋体" w:cs="宋体"/>
          <w:kern w:val="0"/>
          <w:sz w:val="28"/>
          <w:szCs w:val="28"/>
        </w:rPr>
        <w:t>0</w:t>
      </w:r>
      <w:r>
        <w:rPr>
          <w:rFonts w:hint="eastAsia" w:ascii="宋体" w:hAnsi="宋体" w:eastAsia="宋体" w:cs="宋体"/>
          <w:kern w:val="0"/>
          <w:sz w:val="28"/>
          <w:szCs w:val="28"/>
        </w:rPr>
        <w:t>万元。</w:t>
      </w:r>
      <w:r>
        <w:rPr>
          <w:rFonts w:hint="eastAsia" w:ascii="宋体" w:hAnsi="宋体" w:eastAsia="宋体" w:cs="宋体"/>
          <w:kern w:val="0"/>
          <w:sz w:val="28"/>
          <w:szCs w:val="28"/>
        </w:rPr>
        <w:t xml:space="preserve"> </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2.</w:t>
      </w:r>
      <w:r>
        <w:rPr>
          <w:rFonts w:hint="eastAsia" w:ascii="宋体" w:hAnsi="宋体" w:eastAsia="宋体" w:cs="宋体"/>
          <w:kern w:val="0"/>
          <w:sz w:val="28"/>
          <w:szCs w:val="28"/>
        </w:rPr>
        <w:t>公务用车购置及运行费支出</w:t>
      </w:r>
      <w:r>
        <w:rPr>
          <w:rFonts w:hint="eastAsia" w:ascii="宋体" w:hAnsi="宋体" w:eastAsia="宋体" w:cs="宋体"/>
          <w:kern w:val="0"/>
          <w:sz w:val="28"/>
          <w:szCs w:val="28"/>
        </w:rPr>
        <w:t>23.68</w:t>
      </w:r>
      <w:r>
        <w:rPr>
          <w:rFonts w:hint="eastAsia" w:ascii="宋体" w:hAnsi="宋体" w:eastAsia="宋体" w:cs="宋体"/>
          <w:kern w:val="0"/>
          <w:sz w:val="28"/>
          <w:szCs w:val="28"/>
        </w:rPr>
        <w:t>万元。其中：公务用车购置支出为</w:t>
      </w:r>
      <w:r>
        <w:rPr>
          <w:rFonts w:hint="eastAsia" w:ascii="宋体" w:hAnsi="宋体" w:eastAsia="宋体" w:cs="宋体"/>
          <w:kern w:val="0"/>
          <w:sz w:val="28"/>
          <w:szCs w:val="28"/>
        </w:rPr>
        <w:t>0</w:t>
      </w:r>
      <w:r>
        <w:rPr>
          <w:rFonts w:hint="eastAsia" w:ascii="宋体" w:hAnsi="宋体" w:eastAsia="宋体" w:cs="宋体"/>
          <w:kern w:val="0"/>
          <w:sz w:val="28"/>
          <w:szCs w:val="28"/>
        </w:rPr>
        <w:t>万元。公务用车运行支出</w:t>
      </w:r>
      <w:r>
        <w:rPr>
          <w:rFonts w:hint="eastAsia" w:ascii="宋体" w:hAnsi="宋体" w:eastAsia="宋体" w:cs="宋体"/>
          <w:kern w:val="0"/>
          <w:sz w:val="28"/>
          <w:szCs w:val="28"/>
        </w:rPr>
        <w:t>23.68</w:t>
      </w:r>
      <w:r>
        <w:rPr>
          <w:rFonts w:hint="eastAsia" w:ascii="宋体" w:hAnsi="宋体" w:eastAsia="宋体" w:cs="宋体"/>
          <w:kern w:val="0"/>
          <w:sz w:val="28"/>
          <w:szCs w:val="28"/>
        </w:rPr>
        <w:t>万元。主要用于公务用车运行维护支出。</w:t>
      </w:r>
      <w:r>
        <w:rPr>
          <w:rFonts w:hint="eastAsia" w:ascii="宋体" w:hAnsi="宋体" w:eastAsia="宋体" w:cs="宋体"/>
          <w:kern w:val="0"/>
          <w:sz w:val="28"/>
          <w:szCs w:val="28"/>
        </w:rPr>
        <w:t>2020</w:t>
      </w:r>
      <w:r>
        <w:rPr>
          <w:rFonts w:hint="eastAsia" w:ascii="宋体" w:hAnsi="宋体" w:eastAsia="宋体" w:cs="宋体"/>
          <w:kern w:val="0"/>
          <w:sz w:val="28"/>
          <w:szCs w:val="28"/>
        </w:rPr>
        <w:t>年机关所属单位开支财政拨款的公务用车保有量为</w:t>
      </w:r>
      <w:r>
        <w:rPr>
          <w:rFonts w:hint="eastAsia" w:ascii="宋体" w:hAnsi="宋体" w:eastAsia="宋体" w:cs="宋体"/>
          <w:kern w:val="0"/>
          <w:sz w:val="28"/>
          <w:szCs w:val="28"/>
        </w:rPr>
        <w:t>11</w:t>
      </w:r>
      <w:r>
        <w:rPr>
          <w:rFonts w:hint="eastAsia" w:ascii="宋体" w:hAnsi="宋体" w:eastAsia="宋体" w:cs="宋体"/>
          <w:kern w:val="0"/>
          <w:sz w:val="28"/>
          <w:szCs w:val="28"/>
        </w:rPr>
        <w:t>辆。</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color w:val="FF00FF"/>
          <w:kern w:val="0"/>
          <w:sz w:val="28"/>
          <w:szCs w:val="28"/>
        </w:rPr>
        <w:t xml:space="preserve">   </w:t>
      </w:r>
      <w:r>
        <w:rPr>
          <w:rFonts w:hint="eastAsia" w:ascii="宋体" w:hAnsi="宋体" w:eastAsia="宋体" w:cs="宋体"/>
          <w:kern w:val="0"/>
          <w:sz w:val="28"/>
          <w:szCs w:val="28"/>
        </w:rPr>
        <w:t xml:space="preserve"> 3.</w:t>
      </w:r>
      <w:r>
        <w:rPr>
          <w:rFonts w:hint="eastAsia" w:ascii="宋体" w:hAnsi="宋体" w:eastAsia="宋体" w:cs="宋体"/>
          <w:kern w:val="0"/>
          <w:sz w:val="28"/>
          <w:szCs w:val="28"/>
        </w:rPr>
        <w:t>公务接待费支出</w:t>
      </w:r>
      <w:r>
        <w:rPr>
          <w:rFonts w:hint="eastAsia" w:ascii="宋体" w:hAnsi="宋体" w:eastAsia="宋体" w:cs="宋体"/>
          <w:kern w:val="0"/>
          <w:sz w:val="28"/>
          <w:szCs w:val="28"/>
        </w:rPr>
        <w:t>4.38</w:t>
      </w:r>
      <w:r>
        <w:rPr>
          <w:rFonts w:hint="eastAsia" w:ascii="宋体" w:hAnsi="宋体" w:eastAsia="宋体" w:cs="宋体"/>
          <w:kern w:val="0"/>
          <w:sz w:val="28"/>
          <w:szCs w:val="28"/>
        </w:rPr>
        <w:t>万元。其中：</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t>外宾接待支出</w:t>
      </w:r>
      <w:r>
        <w:rPr>
          <w:rFonts w:hint="eastAsia" w:ascii="宋体" w:hAnsi="宋体" w:eastAsia="宋体" w:cs="宋体"/>
          <w:kern w:val="0"/>
          <w:sz w:val="28"/>
          <w:szCs w:val="28"/>
        </w:rPr>
        <w:t>0</w:t>
      </w:r>
      <w:r>
        <w:rPr>
          <w:rFonts w:hint="eastAsia" w:ascii="宋体" w:hAnsi="宋体" w:eastAsia="宋体" w:cs="宋体"/>
          <w:kern w:val="0"/>
          <w:sz w:val="28"/>
          <w:szCs w:val="28"/>
        </w:rPr>
        <w:t>万元。</w:t>
      </w:r>
      <w:r>
        <w:rPr>
          <w:rFonts w:hint="eastAsia" w:ascii="宋体" w:hAnsi="宋体" w:eastAsia="宋体" w:cs="宋体"/>
          <w:kern w:val="0"/>
          <w:sz w:val="28"/>
          <w:szCs w:val="28"/>
        </w:rPr>
        <w:t>2020</w:t>
      </w:r>
      <w:r>
        <w:rPr>
          <w:rFonts w:hint="eastAsia" w:ascii="宋体" w:hAnsi="宋体" w:eastAsia="宋体" w:cs="宋体"/>
          <w:kern w:val="0"/>
          <w:sz w:val="28"/>
          <w:szCs w:val="28"/>
        </w:rPr>
        <w:t>年共接待国（境）外来访团组</w:t>
      </w:r>
      <w:r>
        <w:rPr>
          <w:rFonts w:hint="eastAsia" w:ascii="宋体" w:hAnsi="宋体" w:eastAsia="宋体" w:cs="宋体"/>
          <w:kern w:val="0"/>
          <w:sz w:val="28"/>
          <w:szCs w:val="28"/>
        </w:rPr>
        <w:t>0</w:t>
      </w:r>
      <w:r>
        <w:rPr>
          <w:rFonts w:hint="eastAsia" w:ascii="宋体" w:hAnsi="宋体" w:eastAsia="宋体" w:cs="宋体"/>
          <w:kern w:val="0"/>
          <w:sz w:val="28"/>
          <w:szCs w:val="28"/>
        </w:rPr>
        <w:t>个、来访外宾</w:t>
      </w:r>
      <w:r>
        <w:rPr>
          <w:rFonts w:hint="eastAsia" w:ascii="宋体" w:hAnsi="宋体" w:eastAsia="宋体" w:cs="宋体"/>
          <w:kern w:val="0"/>
          <w:sz w:val="28"/>
          <w:szCs w:val="28"/>
        </w:rPr>
        <w:t>0</w:t>
      </w:r>
      <w:r>
        <w:rPr>
          <w:rFonts w:hint="eastAsia" w:ascii="宋体" w:hAnsi="宋体" w:eastAsia="宋体" w:cs="宋体"/>
          <w:kern w:val="0"/>
          <w:sz w:val="28"/>
          <w:szCs w:val="28"/>
        </w:rPr>
        <w:t>人次。</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t>国内公务接待支出</w:t>
      </w:r>
      <w:r>
        <w:rPr>
          <w:rFonts w:hint="eastAsia" w:ascii="宋体" w:hAnsi="宋体" w:eastAsia="宋体" w:cs="宋体"/>
          <w:kern w:val="0"/>
          <w:sz w:val="28"/>
          <w:szCs w:val="28"/>
        </w:rPr>
        <w:t>4.38</w:t>
      </w:r>
      <w:r>
        <w:rPr>
          <w:rFonts w:hint="eastAsia" w:ascii="宋体" w:hAnsi="宋体" w:eastAsia="宋体" w:cs="宋体"/>
          <w:kern w:val="0"/>
          <w:sz w:val="28"/>
          <w:szCs w:val="28"/>
        </w:rPr>
        <w:t>万元。主要用于接待国内其他各市政府机关单位调研、考察团队。</w:t>
      </w:r>
      <w:r>
        <w:rPr>
          <w:rFonts w:hint="eastAsia" w:ascii="宋体" w:hAnsi="宋体" w:eastAsia="宋体" w:cs="宋体"/>
          <w:kern w:val="0"/>
          <w:sz w:val="28"/>
          <w:szCs w:val="28"/>
        </w:rPr>
        <w:t xml:space="preserve">2020 </w:t>
      </w:r>
      <w:r>
        <w:rPr>
          <w:rFonts w:hint="eastAsia" w:ascii="宋体" w:hAnsi="宋体" w:eastAsia="宋体" w:cs="宋体"/>
          <w:kern w:val="0"/>
          <w:sz w:val="28"/>
          <w:szCs w:val="28"/>
        </w:rPr>
        <w:t>年共接待国内来访团组</w:t>
      </w:r>
      <w:r>
        <w:rPr>
          <w:rFonts w:hint="eastAsia" w:ascii="宋体" w:hAnsi="宋体" w:eastAsia="宋体" w:cs="宋体"/>
          <w:kern w:val="0"/>
          <w:sz w:val="28"/>
          <w:szCs w:val="28"/>
        </w:rPr>
        <w:t>100</w:t>
      </w:r>
      <w:r>
        <w:rPr>
          <w:rFonts w:hint="eastAsia" w:ascii="宋体" w:hAnsi="宋体" w:eastAsia="宋体" w:cs="宋体"/>
          <w:kern w:val="0"/>
          <w:sz w:val="28"/>
          <w:szCs w:val="28"/>
        </w:rPr>
        <w:t>个、来宾</w:t>
      </w:r>
      <w:r>
        <w:rPr>
          <w:rFonts w:hint="eastAsia" w:ascii="宋体" w:hAnsi="宋体" w:eastAsia="宋体" w:cs="宋体"/>
          <w:kern w:val="0"/>
          <w:sz w:val="28"/>
          <w:szCs w:val="28"/>
        </w:rPr>
        <w:t>556</w:t>
      </w:r>
      <w:r>
        <w:rPr>
          <w:rFonts w:hint="eastAsia" w:ascii="宋体" w:hAnsi="宋体" w:eastAsia="宋体" w:cs="宋体"/>
          <w:kern w:val="0"/>
          <w:sz w:val="28"/>
          <w:szCs w:val="28"/>
        </w:rPr>
        <w:t>人次。</w:t>
      </w:r>
    </w:p>
    <w:p>
      <w:pPr>
        <w:autoSpaceDE w:val="0"/>
        <w:autoSpaceDN w:val="0"/>
        <w:adjustRightInd w:val="0"/>
        <w:spacing w:line="360" w:lineRule="auto"/>
        <w:jc w:val="left"/>
        <w:rPr>
          <w:rFonts w:hint="eastAsia" w:ascii="宋体" w:hAnsi="宋体" w:eastAsia="宋体" w:cs="宋体"/>
          <w:kern w:val="0"/>
          <w:sz w:val="28"/>
          <w:szCs w:val="28"/>
        </w:rPr>
      </w:pPr>
      <w:r>
        <w:rPr>
          <w:rFonts w:hint="eastAsia" w:ascii="宋体" w:hAnsi="宋体" w:eastAsia="宋体" w:cs="宋体"/>
          <w:color w:val="FF00FF"/>
          <w:kern w:val="0"/>
          <w:sz w:val="28"/>
          <w:szCs w:val="28"/>
        </w:rPr>
        <w:t xml:space="preserve">   </w:t>
      </w:r>
      <w:r>
        <w:rPr>
          <w:rFonts w:hint="eastAsia" w:ascii="宋体" w:hAnsi="宋体" w:eastAsia="宋体" w:cs="宋体"/>
          <w:kern w:val="0"/>
          <w:sz w:val="28"/>
          <w:szCs w:val="28"/>
        </w:rPr>
        <w:t>八、</w:t>
      </w:r>
      <w:r>
        <w:rPr>
          <w:rFonts w:hint="eastAsia" w:ascii="宋体" w:hAnsi="宋体" w:eastAsia="宋体" w:cs="宋体"/>
          <w:b/>
          <w:bCs/>
          <w:kern w:val="0"/>
          <w:sz w:val="28"/>
          <w:szCs w:val="28"/>
        </w:rPr>
        <w:t xml:space="preserve">2020 </w:t>
      </w:r>
      <w:r>
        <w:rPr>
          <w:rFonts w:hint="eastAsia" w:ascii="宋体" w:hAnsi="宋体" w:eastAsia="宋体" w:cs="宋体"/>
          <w:b/>
          <w:bCs/>
          <w:kern w:val="0"/>
          <w:sz w:val="28"/>
          <w:szCs w:val="28"/>
        </w:rPr>
        <w:t>年度政府性基金预算财政拨款收入支出决算情况说明</w:t>
      </w:r>
      <w:r>
        <w:rPr>
          <w:rFonts w:hint="eastAsia" w:ascii="宋体" w:hAnsi="宋体" w:eastAsia="宋体" w:cs="宋体"/>
          <w:b/>
          <w:bCs/>
          <w:kern w:val="0"/>
          <w:sz w:val="28"/>
          <w:szCs w:val="28"/>
        </w:rPr>
        <w:t xml:space="preserve"> </w:t>
      </w:r>
    </w:p>
    <w:p>
      <w:pPr>
        <w:autoSpaceDE w:val="0"/>
        <w:autoSpaceDN w:val="0"/>
        <w:adjustRightInd w:val="0"/>
        <w:spacing w:line="360" w:lineRule="auto"/>
        <w:jc w:val="left"/>
        <w:rPr>
          <w:rFonts w:hint="eastAsia" w:ascii="宋体" w:hAnsi="宋体" w:eastAsia="宋体" w:cs="宋体"/>
          <w:color w:val="FF00FF"/>
          <w:kern w:val="0"/>
          <w:sz w:val="28"/>
          <w:szCs w:val="28"/>
        </w:rPr>
      </w:pPr>
      <w:r>
        <w:rPr>
          <w:rFonts w:hint="eastAsia" w:ascii="宋体" w:hAnsi="宋体" w:eastAsia="宋体" w:cs="宋体"/>
          <w:color w:val="FF00FF"/>
          <w:kern w:val="0"/>
          <w:sz w:val="28"/>
          <w:szCs w:val="28"/>
        </w:rPr>
        <w:t xml:space="preserve">    </w:t>
      </w:r>
      <w:r>
        <w:rPr>
          <w:rFonts w:hint="eastAsia" w:ascii="宋体" w:hAnsi="宋体" w:eastAsia="宋体" w:cs="宋体"/>
          <w:kern w:val="0"/>
          <w:sz w:val="28"/>
          <w:szCs w:val="28"/>
        </w:rPr>
        <w:t>2020</w:t>
      </w:r>
      <w:r>
        <w:rPr>
          <w:rFonts w:hint="eastAsia" w:ascii="宋体" w:hAnsi="宋体" w:eastAsia="宋体" w:cs="宋体"/>
          <w:kern w:val="0"/>
          <w:sz w:val="28"/>
          <w:szCs w:val="28"/>
        </w:rPr>
        <w:t>年度本部门</w:t>
      </w:r>
      <w:r>
        <w:rPr>
          <w:rFonts w:hint="eastAsia" w:ascii="宋体" w:hAnsi="宋体" w:eastAsia="宋体" w:cs="宋体"/>
          <w:sz w:val="28"/>
          <w:szCs w:val="28"/>
        </w:rPr>
        <w:t>没有政府性基金收入，也没有政府性基金安排的支出</w:t>
      </w:r>
      <w:r>
        <w:rPr>
          <w:rFonts w:hint="eastAsia" w:ascii="宋体" w:hAnsi="宋体" w:eastAsia="宋体" w:cs="宋体"/>
          <w:kern w:val="0"/>
          <w:sz w:val="28"/>
          <w:szCs w:val="28"/>
        </w:rPr>
        <w:t>。</w:t>
      </w:r>
    </w:p>
    <w:p>
      <w:pPr>
        <w:numPr>
          <w:ilvl w:val="0"/>
          <w:numId w:val="1"/>
        </w:numPr>
        <w:autoSpaceDE w:val="0"/>
        <w:autoSpaceDN w:val="0"/>
        <w:adjustRightInd w:val="0"/>
        <w:spacing w:line="360" w:lineRule="auto"/>
        <w:ind w:firstLine="562" w:firstLineChars="200"/>
        <w:jc w:val="left"/>
        <w:rPr>
          <w:rFonts w:hint="eastAsia" w:ascii="宋体" w:hAnsi="宋体" w:eastAsia="宋体" w:cs="宋体"/>
          <w:kern w:val="0"/>
          <w:sz w:val="28"/>
          <w:szCs w:val="28"/>
        </w:rPr>
      </w:pPr>
      <w:r>
        <w:rPr>
          <w:rFonts w:hint="eastAsia" w:ascii="宋体" w:hAnsi="宋体" w:eastAsia="宋体" w:cs="宋体"/>
          <w:b/>
          <w:bCs/>
          <w:kern w:val="0"/>
          <w:sz w:val="28"/>
          <w:szCs w:val="28"/>
        </w:rPr>
        <w:t>国有资本经营预算财政拨款支出情况说明</w:t>
      </w:r>
    </w:p>
    <w:p>
      <w:pPr>
        <w:autoSpaceDE w:val="0"/>
        <w:autoSpaceDN w:val="0"/>
        <w:adjustRightInd w:val="0"/>
        <w:spacing w:line="360" w:lineRule="auto"/>
        <w:jc w:val="left"/>
        <w:rPr>
          <w:rFonts w:hint="eastAsia" w:ascii="宋体" w:hAnsi="宋体" w:eastAsia="宋体" w:cs="宋体"/>
          <w:kern w:val="0"/>
          <w:sz w:val="28"/>
          <w:szCs w:val="28"/>
          <w:highlight w:val="yellow"/>
        </w:rPr>
      </w:pPr>
      <w:r>
        <w:rPr>
          <w:rFonts w:hint="eastAsia" w:ascii="宋体" w:hAnsi="宋体" w:eastAsia="宋体" w:cs="宋体"/>
          <w:kern w:val="0"/>
          <w:sz w:val="28"/>
          <w:szCs w:val="28"/>
        </w:rPr>
        <w:t xml:space="preserve">    2020</w:t>
      </w:r>
      <w:r>
        <w:rPr>
          <w:rFonts w:hint="eastAsia" w:ascii="宋体" w:hAnsi="宋体" w:eastAsia="宋体" w:cs="宋体"/>
          <w:kern w:val="0"/>
          <w:sz w:val="28"/>
          <w:szCs w:val="28"/>
        </w:rPr>
        <w:t>年度本部门</w:t>
      </w:r>
      <w:r>
        <w:rPr>
          <w:rFonts w:hint="eastAsia" w:ascii="宋体" w:hAnsi="宋体" w:eastAsia="宋体" w:cs="宋体"/>
          <w:sz w:val="28"/>
          <w:szCs w:val="28"/>
        </w:rPr>
        <w:t>没有</w:t>
      </w:r>
      <w:r>
        <w:rPr>
          <w:rFonts w:hint="eastAsia" w:ascii="宋体" w:hAnsi="宋体" w:eastAsia="宋体" w:cs="宋体"/>
          <w:kern w:val="0"/>
          <w:sz w:val="28"/>
          <w:szCs w:val="28"/>
        </w:rPr>
        <w:t>国有资本经营</w:t>
      </w:r>
      <w:r>
        <w:rPr>
          <w:rFonts w:hint="eastAsia" w:ascii="宋体" w:hAnsi="宋体" w:eastAsia="宋体" w:cs="宋体"/>
          <w:sz w:val="28"/>
          <w:szCs w:val="28"/>
        </w:rPr>
        <w:t>收入，也没有</w:t>
      </w:r>
      <w:r>
        <w:rPr>
          <w:rFonts w:hint="eastAsia" w:ascii="宋体" w:hAnsi="宋体" w:eastAsia="宋体" w:cs="宋体"/>
          <w:kern w:val="0"/>
          <w:sz w:val="28"/>
          <w:szCs w:val="28"/>
        </w:rPr>
        <w:t>国有资本经营</w:t>
      </w:r>
      <w:r>
        <w:rPr>
          <w:rFonts w:hint="eastAsia" w:ascii="宋体" w:hAnsi="宋体" w:eastAsia="宋体" w:cs="宋体"/>
          <w:sz w:val="28"/>
          <w:szCs w:val="28"/>
        </w:rPr>
        <w:t>安排的支出</w:t>
      </w:r>
      <w:r>
        <w:rPr>
          <w:rFonts w:hint="eastAsia" w:ascii="宋体" w:hAnsi="宋体" w:eastAsia="宋体" w:cs="宋体"/>
          <w:kern w:val="0"/>
          <w:sz w:val="28"/>
          <w:szCs w:val="28"/>
        </w:rPr>
        <w:t>。</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十、</w:t>
      </w:r>
      <w:r>
        <w:rPr>
          <w:rFonts w:hint="eastAsia" w:ascii="宋体" w:hAnsi="宋体" w:eastAsia="宋体" w:cs="宋体"/>
          <w:b/>
          <w:bCs/>
          <w:kern w:val="0"/>
          <w:sz w:val="28"/>
          <w:szCs w:val="28"/>
        </w:rPr>
        <w:t>2020</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年度预算绩效情况说明</w:t>
      </w:r>
    </w:p>
    <w:p>
      <w:pPr>
        <w:numPr>
          <w:ilvl w:val="0"/>
          <w:numId w:val="2"/>
        </w:num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绩效管理工作开展情况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根据财政预算管理要求，我部门组织对</w:t>
      </w:r>
      <w:r>
        <w:rPr>
          <w:rFonts w:hint="eastAsia" w:ascii="宋体" w:hAnsi="宋体" w:eastAsia="宋体" w:cs="宋体"/>
          <w:kern w:val="0"/>
          <w:sz w:val="28"/>
          <w:szCs w:val="28"/>
        </w:rPr>
        <w:t>2020</w:t>
      </w:r>
      <w:r>
        <w:rPr>
          <w:rFonts w:hint="eastAsia" w:ascii="宋体" w:hAnsi="宋体" w:eastAsia="宋体" w:cs="宋体"/>
          <w:kern w:val="0"/>
          <w:sz w:val="28"/>
          <w:szCs w:val="28"/>
        </w:rPr>
        <w:t>年度一般公共预算项目支出全面开展绩效自评。整体支出绩效项目</w:t>
      </w:r>
      <w:r>
        <w:rPr>
          <w:rFonts w:hint="eastAsia" w:ascii="宋体" w:hAnsi="宋体" w:eastAsia="宋体" w:cs="宋体"/>
          <w:kern w:val="0"/>
          <w:sz w:val="28"/>
          <w:szCs w:val="28"/>
        </w:rPr>
        <w:t>7</w:t>
      </w:r>
      <w:r>
        <w:rPr>
          <w:rFonts w:hint="eastAsia" w:ascii="宋体" w:hAnsi="宋体" w:eastAsia="宋体" w:cs="宋体"/>
          <w:kern w:val="0"/>
          <w:sz w:val="28"/>
          <w:szCs w:val="28"/>
        </w:rPr>
        <w:t>个，共涉及预算资金</w:t>
      </w:r>
      <w:r>
        <w:rPr>
          <w:rFonts w:hint="eastAsia" w:ascii="宋体" w:hAnsi="宋体" w:eastAsia="宋体" w:cs="宋体"/>
          <w:kern w:val="0"/>
          <w:sz w:val="28"/>
          <w:szCs w:val="28"/>
        </w:rPr>
        <w:t>3598.96</w:t>
      </w:r>
      <w:r>
        <w:rPr>
          <w:rFonts w:hint="eastAsia" w:ascii="宋体" w:hAnsi="宋体" w:eastAsia="宋体" w:cs="宋体"/>
          <w:kern w:val="0"/>
          <w:sz w:val="28"/>
          <w:szCs w:val="28"/>
        </w:rPr>
        <w:t>万元，自评覆盖率达到</w:t>
      </w:r>
      <w:r>
        <w:rPr>
          <w:rFonts w:hint="eastAsia" w:ascii="宋体" w:hAnsi="宋体" w:eastAsia="宋体" w:cs="宋体"/>
          <w:kern w:val="0"/>
          <w:sz w:val="28"/>
          <w:szCs w:val="28"/>
        </w:rPr>
        <w:t>100%</w:t>
      </w:r>
      <w:r>
        <w:rPr>
          <w:rFonts w:hint="eastAsia" w:ascii="宋体" w:hAnsi="宋体" w:eastAsia="宋体" w:cs="宋体"/>
          <w:kern w:val="0"/>
          <w:sz w:val="28"/>
          <w:szCs w:val="28"/>
        </w:rPr>
        <w:t>。</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（二）部门决算中项目绩效自评结果。按照评价标准及自评程序，我部门整体支出绩效情况理想，经济效益、社会效益、满意度情况均达到了年初项目申请时设定的各项绩效目标。</w:t>
      </w:r>
    </w:p>
    <w:p>
      <w:pPr>
        <w:autoSpaceDE w:val="0"/>
        <w:autoSpaceDN w:val="0"/>
        <w:adjustRightInd w:val="0"/>
        <w:spacing w:line="36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十一、其他重要事项的情况</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（一）机关运行经费支出情况。</w:t>
      </w:r>
      <w:r>
        <w:rPr>
          <w:rFonts w:hint="eastAsia" w:ascii="宋体" w:hAnsi="宋体" w:eastAsia="宋体" w:cs="宋体"/>
          <w:kern w:val="0"/>
          <w:sz w:val="28"/>
          <w:szCs w:val="28"/>
        </w:rPr>
        <w:t>2020</w:t>
      </w:r>
      <w:r>
        <w:rPr>
          <w:rFonts w:hint="eastAsia" w:ascii="宋体" w:hAnsi="宋体" w:eastAsia="宋体" w:cs="宋体"/>
          <w:kern w:val="0"/>
          <w:sz w:val="28"/>
          <w:szCs w:val="28"/>
        </w:rPr>
        <w:t>年度部门机关运行经费支出</w:t>
      </w:r>
      <w:r>
        <w:rPr>
          <w:rFonts w:hint="eastAsia" w:ascii="宋体" w:hAnsi="宋体" w:eastAsia="宋体" w:cs="宋体"/>
          <w:kern w:val="0"/>
          <w:sz w:val="28"/>
          <w:szCs w:val="28"/>
        </w:rPr>
        <w:t>430.50</w:t>
      </w:r>
      <w:r>
        <w:rPr>
          <w:rFonts w:hint="eastAsia" w:ascii="宋体" w:hAnsi="宋体" w:eastAsia="宋体" w:cs="宋体"/>
          <w:kern w:val="0"/>
          <w:sz w:val="28"/>
          <w:szCs w:val="28"/>
        </w:rPr>
        <w:t>万元，比</w:t>
      </w:r>
      <w:r>
        <w:rPr>
          <w:rFonts w:hint="eastAsia" w:ascii="宋体" w:hAnsi="宋体" w:eastAsia="宋体" w:cs="宋体"/>
          <w:kern w:val="0"/>
          <w:sz w:val="28"/>
          <w:szCs w:val="28"/>
        </w:rPr>
        <w:t xml:space="preserve"> 2019</w:t>
      </w:r>
      <w:r>
        <w:rPr>
          <w:rFonts w:hint="eastAsia" w:ascii="宋体" w:hAnsi="宋体" w:eastAsia="宋体" w:cs="宋体"/>
          <w:kern w:val="0"/>
          <w:sz w:val="28"/>
          <w:szCs w:val="28"/>
        </w:rPr>
        <w:t>年减少</w:t>
      </w:r>
      <w:r>
        <w:rPr>
          <w:rFonts w:hint="eastAsia" w:ascii="宋体" w:hAnsi="宋体" w:eastAsia="宋体" w:cs="宋体"/>
          <w:kern w:val="0"/>
          <w:sz w:val="28"/>
          <w:szCs w:val="28"/>
        </w:rPr>
        <w:t>951.19</w:t>
      </w:r>
      <w:r>
        <w:rPr>
          <w:rFonts w:hint="eastAsia" w:ascii="宋体" w:hAnsi="宋体" w:eastAsia="宋体" w:cs="宋体"/>
          <w:kern w:val="0"/>
          <w:sz w:val="28"/>
          <w:szCs w:val="28"/>
        </w:rPr>
        <w:t>万元，下降</w:t>
      </w:r>
      <w:r>
        <w:rPr>
          <w:rFonts w:hint="eastAsia" w:ascii="宋体" w:hAnsi="宋体" w:eastAsia="宋体" w:cs="宋体"/>
          <w:kern w:val="0"/>
          <w:sz w:val="28"/>
          <w:szCs w:val="28"/>
        </w:rPr>
        <w:t>68.84%</w:t>
      </w:r>
      <w:r>
        <w:rPr>
          <w:rFonts w:hint="eastAsia" w:ascii="宋体" w:hAnsi="宋体" w:eastAsia="宋体" w:cs="宋体"/>
          <w:kern w:val="0"/>
          <w:sz w:val="28"/>
          <w:szCs w:val="28"/>
        </w:rPr>
        <w:t>，减少原因因为本着节约原则，压缩一般性支出。</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（二）政府采购支出情况。</w:t>
      </w:r>
      <w:r>
        <w:rPr>
          <w:rFonts w:hint="eastAsia" w:ascii="宋体" w:hAnsi="宋体" w:eastAsia="宋体" w:cs="宋体"/>
          <w:kern w:val="0"/>
          <w:sz w:val="28"/>
          <w:szCs w:val="28"/>
        </w:rPr>
        <w:t>2020</w:t>
      </w:r>
      <w:r>
        <w:rPr>
          <w:rFonts w:hint="eastAsia" w:ascii="宋体" w:hAnsi="宋体" w:eastAsia="宋体" w:cs="宋体"/>
          <w:kern w:val="0"/>
          <w:sz w:val="28"/>
          <w:szCs w:val="28"/>
        </w:rPr>
        <w:t>年度部门政府采购支出总额</w:t>
      </w:r>
      <w:r>
        <w:rPr>
          <w:rFonts w:hint="eastAsia" w:ascii="宋体" w:hAnsi="宋体" w:eastAsia="宋体" w:cs="宋体"/>
          <w:kern w:val="0"/>
          <w:sz w:val="28"/>
          <w:szCs w:val="28"/>
        </w:rPr>
        <w:t>42.87</w:t>
      </w:r>
      <w:r>
        <w:rPr>
          <w:rFonts w:hint="eastAsia" w:ascii="宋体" w:hAnsi="宋体" w:eastAsia="宋体" w:cs="宋体"/>
          <w:kern w:val="0"/>
          <w:sz w:val="28"/>
          <w:szCs w:val="28"/>
        </w:rPr>
        <w:t>万元，其中：货物支出</w:t>
      </w:r>
      <w:r>
        <w:rPr>
          <w:rFonts w:hint="eastAsia" w:ascii="宋体" w:hAnsi="宋体" w:eastAsia="宋体" w:cs="宋体"/>
          <w:kern w:val="0"/>
          <w:sz w:val="28"/>
          <w:szCs w:val="28"/>
        </w:rPr>
        <w:t>42.87</w:t>
      </w:r>
      <w:r>
        <w:rPr>
          <w:rFonts w:hint="eastAsia" w:ascii="宋体" w:hAnsi="宋体" w:eastAsia="宋体" w:cs="宋体"/>
          <w:kern w:val="0"/>
          <w:sz w:val="28"/>
          <w:szCs w:val="28"/>
        </w:rPr>
        <w:t>万元、工程支出</w:t>
      </w:r>
      <w:r>
        <w:rPr>
          <w:rFonts w:hint="eastAsia" w:ascii="宋体" w:hAnsi="宋体" w:eastAsia="宋体" w:cs="宋体"/>
          <w:kern w:val="0"/>
          <w:sz w:val="28"/>
          <w:szCs w:val="28"/>
        </w:rPr>
        <w:t>0</w:t>
      </w:r>
      <w:r>
        <w:rPr>
          <w:rFonts w:hint="eastAsia" w:ascii="宋体" w:hAnsi="宋体" w:eastAsia="宋体" w:cs="宋体"/>
          <w:kern w:val="0"/>
          <w:sz w:val="28"/>
          <w:szCs w:val="28"/>
        </w:rPr>
        <w:t>万元、服务支出</w:t>
      </w:r>
      <w:r>
        <w:rPr>
          <w:rFonts w:hint="eastAsia" w:ascii="宋体" w:hAnsi="宋体" w:eastAsia="宋体" w:cs="宋体"/>
          <w:kern w:val="0"/>
          <w:sz w:val="28"/>
          <w:szCs w:val="28"/>
        </w:rPr>
        <w:t>0</w:t>
      </w:r>
      <w:r>
        <w:rPr>
          <w:rFonts w:hint="eastAsia" w:ascii="宋体" w:hAnsi="宋体" w:eastAsia="宋体" w:cs="宋体"/>
          <w:kern w:val="0"/>
          <w:sz w:val="28"/>
          <w:szCs w:val="28"/>
        </w:rPr>
        <w:t>万元。</w:t>
      </w:r>
    </w:p>
    <w:p>
      <w:pPr>
        <w:autoSpaceDE w:val="0"/>
        <w:autoSpaceDN w:val="0"/>
        <w:adjustRightInd w:val="0"/>
        <w:spacing w:line="360" w:lineRule="auto"/>
        <w:ind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（三）国有资产占用情况。截至年末部门共有车辆</w:t>
      </w:r>
      <w:r>
        <w:rPr>
          <w:rFonts w:hint="eastAsia" w:ascii="宋体" w:hAnsi="宋体" w:eastAsia="宋体" w:cs="宋体"/>
          <w:kern w:val="0"/>
          <w:sz w:val="28"/>
          <w:szCs w:val="28"/>
        </w:rPr>
        <w:t>11</w:t>
      </w:r>
      <w:r>
        <w:rPr>
          <w:rFonts w:hint="eastAsia" w:ascii="宋体" w:hAnsi="宋体" w:eastAsia="宋体" w:cs="宋体"/>
          <w:kern w:val="0"/>
          <w:sz w:val="28"/>
          <w:szCs w:val="28"/>
        </w:rPr>
        <w:t>辆，其中：公务用车</w:t>
      </w:r>
      <w:r>
        <w:rPr>
          <w:rFonts w:hint="eastAsia" w:ascii="宋体" w:hAnsi="宋体" w:eastAsia="宋体" w:cs="宋体"/>
          <w:kern w:val="0"/>
          <w:sz w:val="28"/>
          <w:szCs w:val="28"/>
        </w:rPr>
        <w:t>11</w:t>
      </w:r>
      <w:r>
        <w:rPr>
          <w:rFonts w:hint="eastAsia" w:ascii="宋体" w:hAnsi="宋体" w:eastAsia="宋体" w:cs="宋体"/>
          <w:kern w:val="0"/>
          <w:sz w:val="28"/>
          <w:szCs w:val="28"/>
        </w:rPr>
        <w:t>辆；执法执勤用车</w:t>
      </w:r>
      <w:r>
        <w:rPr>
          <w:rFonts w:hint="eastAsia" w:ascii="宋体" w:hAnsi="宋体" w:eastAsia="宋体" w:cs="宋体"/>
          <w:kern w:val="0"/>
          <w:sz w:val="28"/>
          <w:szCs w:val="28"/>
        </w:rPr>
        <w:t>0</w:t>
      </w:r>
      <w:r>
        <w:rPr>
          <w:rFonts w:hint="eastAsia" w:ascii="宋体" w:hAnsi="宋体" w:eastAsia="宋体" w:cs="宋体"/>
          <w:kern w:val="0"/>
          <w:sz w:val="28"/>
          <w:szCs w:val="28"/>
        </w:rPr>
        <w:t>辆；专业技术用车</w:t>
      </w:r>
      <w:r>
        <w:rPr>
          <w:rFonts w:hint="eastAsia" w:ascii="宋体" w:hAnsi="宋体" w:eastAsia="宋体" w:cs="宋体"/>
          <w:kern w:val="0"/>
          <w:sz w:val="28"/>
          <w:szCs w:val="28"/>
        </w:rPr>
        <w:t>0</w:t>
      </w:r>
      <w:r>
        <w:rPr>
          <w:rFonts w:hint="eastAsia" w:ascii="宋体" w:hAnsi="宋体" w:eastAsia="宋体" w:cs="宋体"/>
          <w:kern w:val="0"/>
          <w:sz w:val="28"/>
          <w:szCs w:val="28"/>
        </w:rPr>
        <w:t>辆；单价</w:t>
      </w:r>
      <w:r>
        <w:rPr>
          <w:rFonts w:hint="eastAsia" w:ascii="宋体" w:hAnsi="宋体" w:eastAsia="宋体" w:cs="宋体"/>
          <w:kern w:val="0"/>
          <w:sz w:val="28"/>
          <w:szCs w:val="28"/>
        </w:rPr>
        <w:t>50</w:t>
      </w:r>
      <w:r>
        <w:rPr>
          <w:rFonts w:hint="eastAsia" w:ascii="宋体" w:hAnsi="宋体" w:eastAsia="宋体" w:cs="宋体"/>
          <w:kern w:val="0"/>
          <w:sz w:val="28"/>
          <w:szCs w:val="28"/>
        </w:rPr>
        <w:t>万元</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以上通用设备</w:t>
      </w:r>
      <w:r>
        <w:rPr>
          <w:rFonts w:hint="eastAsia" w:ascii="宋体" w:hAnsi="宋体" w:eastAsia="宋体" w:cs="宋体"/>
          <w:kern w:val="0"/>
          <w:sz w:val="28"/>
          <w:szCs w:val="28"/>
        </w:rPr>
        <w:t>0</w:t>
      </w:r>
      <w:r>
        <w:rPr>
          <w:rFonts w:hint="eastAsia" w:ascii="宋体" w:hAnsi="宋体" w:eastAsia="宋体" w:cs="宋体"/>
          <w:kern w:val="0"/>
          <w:sz w:val="28"/>
          <w:szCs w:val="28"/>
        </w:rPr>
        <w:t>台（套），单价</w:t>
      </w:r>
      <w:r>
        <w:rPr>
          <w:rFonts w:hint="eastAsia" w:ascii="宋体" w:hAnsi="宋体" w:eastAsia="宋体" w:cs="宋体"/>
          <w:kern w:val="0"/>
          <w:sz w:val="28"/>
          <w:szCs w:val="28"/>
        </w:rPr>
        <w:t xml:space="preserve">100 </w:t>
      </w:r>
      <w:r>
        <w:rPr>
          <w:rFonts w:hint="eastAsia" w:ascii="宋体" w:hAnsi="宋体" w:eastAsia="宋体" w:cs="宋体"/>
          <w:kern w:val="0"/>
          <w:sz w:val="28"/>
          <w:szCs w:val="28"/>
        </w:rPr>
        <w:t>万元以上专用设备</w:t>
      </w:r>
      <w:r>
        <w:rPr>
          <w:rFonts w:hint="eastAsia" w:ascii="宋体" w:hAnsi="宋体" w:eastAsia="宋体" w:cs="宋体"/>
          <w:kern w:val="0"/>
          <w:sz w:val="28"/>
          <w:szCs w:val="28"/>
        </w:rPr>
        <w:t>0</w:t>
      </w:r>
      <w:r>
        <w:rPr>
          <w:rFonts w:hint="eastAsia" w:ascii="宋体" w:hAnsi="宋体" w:eastAsia="宋体" w:cs="宋体"/>
          <w:kern w:val="0"/>
          <w:sz w:val="28"/>
          <w:szCs w:val="28"/>
        </w:rPr>
        <w:t>台（套）。</w:t>
      </w:r>
      <w:r>
        <w:rPr>
          <w:rFonts w:hint="eastAsia" w:ascii="宋体" w:hAnsi="宋体" w:eastAsia="宋体" w:cs="宋体"/>
          <w:kern w:val="0"/>
          <w:sz w:val="28"/>
          <w:szCs w:val="28"/>
        </w:rPr>
        <w:t xml:space="preserve"> </w:t>
      </w:r>
    </w:p>
    <w:p>
      <w:pPr>
        <w:spacing w:line="360" w:lineRule="auto"/>
        <w:ind w:firstLine="645"/>
        <w:rPr>
          <w:rFonts w:hint="eastAsia" w:ascii="宋体" w:hAnsi="宋体" w:eastAsia="宋体" w:cs="宋体"/>
          <w:b/>
          <w:bCs/>
          <w:sz w:val="28"/>
          <w:szCs w:val="28"/>
        </w:rPr>
      </w:pPr>
      <w:r>
        <w:rPr>
          <w:rFonts w:hint="eastAsia" w:ascii="宋体" w:hAnsi="宋体" w:eastAsia="宋体" w:cs="宋体"/>
          <w:b/>
          <w:bCs/>
          <w:sz w:val="28"/>
          <w:szCs w:val="28"/>
        </w:rPr>
        <w:t>第四部分：名词解释</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财政拨款收入：指市本级财政当年拨付的资金。</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事业收入：指事业单位开展专业活动用辅助活动所取得的收入。</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经营收入：指事业单位在专业业务活动及辅助活动之外开展非独立核算经营活动取得的收入。</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其他收入：指除上述“财政拨款收入”、“事业收入”、“经营收入”等以外的收入。</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年初结转和结余：指以前年度尚未完成、结转到本年按规定继续使用的资金。</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结余分配：指事业单位按规定提取的职工福利基金、事业基金和缴纳的所得税，以及建设单位按规定应交回的基本建设竣工项目结余资金。</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年末结转和结余：指本年度或以前年度预算安排、因客观条件发生变化无法按原计划实施，需延迟到以后年度按有关规定继续使用的资金。</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基本支出：指为保障机构正常运转、完成日常工作任务而发生的人员支出和公用支出。</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项目支出：指在基本支出之外为完成特定行政任务和事业发展目标所发生的支出。</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经营支出：指事业单位在专业业务活动及其辅助活动之外开展非独立核算经营活动发生的支出。</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360" w:lineRule="auto"/>
        <w:ind w:firstLine="645"/>
        <w:rPr>
          <w:rFonts w:hint="eastAsia" w:ascii="宋体" w:hAnsi="宋体" w:eastAsia="宋体" w:cs="宋体"/>
          <w:sz w:val="28"/>
          <w:szCs w:val="28"/>
        </w:rPr>
      </w:pPr>
      <w:r>
        <w:rPr>
          <w:rFonts w:hint="eastAsia" w:ascii="宋体" w:hAnsi="宋体" w:eastAsia="宋体" w:cs="宋体"/>
          <w:sz w:val="28"/>
          <w:szCs w:val="28"/>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360" w:lineRule="auto"/>
        <w:ind w:firstLine="548" w:firstLineChars="196"/>
        <w:jc w:val="left"/>
        <w:rPr>
          <w:rFonts w:hint="eastAsia" w:ascii="宋体" w:hAnsi="宋体" w:eastAsia="宋体" w:cs="宋体"/>
          <w:kern w:val="0"/>
          <w:sz w:val="28"/>
          <w:szCs w:val="28"/>
        </w:rPr>
      </w:pPr>
    </w:p>
    <w:p>
      <w:pPr>
        <w:spacing w:line="360" w:lineRule="auto"/>
        <w:rPr>
          <w:rFonts w:hint="eastAsia" w:ascii="宋体" w:hAnsi="宋体" w:eastAsia="宋体" w:cs="宋体"/>
          <w:sz w:val="28"/>
          <w:szCs w:val="28"/>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falt">
    <w:altName w:val="QIJIC"/>
    <w:panose1 w:val="00000000000000000000"/>
    <w:charset w:val="88"/>
    <w:family w:val="modern"/>
    <w:pitch w:val="default"/>
    <w:sig w:usb0="00000000" w:usb1="00000000" w:usb2="00000010" w:usb3="00000000" w:csb0="00100000" w:csb1="00000000"/>
  </w:font>
  <w:font w:name="QIJIC">
    <w:panose1 w:val="02000509000000000000"/>
    <w:charset w:val="88"/>
    <w:family w:val="auto"/>
    <w:pitch w:val="default"/>
    <w:sig w:usb0="00000000" w:usb1="0A010000" w:usb2="00000000" w:usb3="00000000" w:csb0="0010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PAGE   \* MERGEFORMAT</w:instrText>
    </w:r>
    <w:r>
      <w:rPr>
        <w:rFonts w:ascii="宋体" w:hAnsi="宋体" w:cs="宋体"/>
        <w:sz w:val="24"/>
        <w:szCs w:val="24"/>
      </w:rPr>
      <w:fldChar w:fldCharType="separate"/>
    </w:r>
    <w:r>
      <w:rPr>
        <w:rFonts w:ascii="宋体" w:hAnsi="宋体" w:cs="宋体"/>
        <w:sz w:val="24"/>
        <w:szCs w:val="24"/>
        <w:lang w:val="zh-CN"/>
      </w:rPr>
      <w:t>6</w:t>
    </w:r>
    <w:r>
      <w:rPr>
        <w:rFonts w:ascii="宋体" w:hAnsi="宋体" w:cs="宋体"/>
        <w:sz w:val="24"/>
        <w:szCs w:val="24"/>
      </w:rPr>
      <w:fldChar w:fldCharType="end"/>
    </w:r>
    <w:r>
      <w:rPr>
        <w:rFonts w:ascii="宋体" w:hAnsi="宋体" w:cs="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- 26 -</w:t>
    </w:r>
    <w:r>
      <w:rPr>
        <w:rStyle w:val="7"/>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jNDNkODRjZTUyODY5NDBlZDQxOWMwN2RjODhiODIifQ=="/>
  </w:docVars>
  <w:rsids>
    <w:rsidRoot w:val="4C256E3D"/>
    <w:rsid w:val="000070A2"/>
    <w:rsid w:val="0004701C"/>
    <w:rsid w:val="00066CA3"/>
    <w:rsid w:val="00070DE2"/>
    <w:rsid w:val="000C54C2"/>
    <w:rsid w:val="000D5482"/>
    <w:rsid w:val="0015794A"/>
    <w:rsid w:val="00165839"/>
    <w:rsid w:val="001C456D"/>
    <w:rsid w:val="00204305"/>
    <w:rsid w:val="00223851"/>
    <w:rsid w:val="00226E0E"/>
    <w:rsid w:val="002739B9"/>
    <w:rsid w:val="002C1F30"/>
    <w:rsid w:val="00325E7C"/>
    <w:rsid w:val="00433B50"/>
    <w:rsid w:val="004A4E09"/>
    <w:rsid w:val="004B6D40"/>
    <w:rsid w:val="004E0C71"/>
    <w:rsid w:val="004F321F"/>
    <w:rsid w:val="005B7471"/>
    <w:rsid w:val="005E0E0D"/>
    <w:rsid w:val="005F4028"/>
    <w:rsid w:val="0062516A"/>
    <w:rsid w:val="00666205"/>
    <w:rsid w:val="00683747"/>
    <w:rsid w:val="006C1367"/>
    <w:rsid w:val="006E49BC"/>
    <w:rsid w:val="00715385"/>
    <w:rsid w:val="00750DF3"/>
    <w:rsid w:val="00786286"/>
    <w:rsid w:val="007A3F9E"/>
    <w:rsid w:val="007B6491"/>
    <w:rsid w:val="008077DF"/>
    <w:rsid w:val="0089594B"/>
    <w:rsid w:val="008D4C11"/>
    <w:rsid w:val="00915E7A"/>
    <w:rsid w:val="00942972"/>
    <w:rsid w:val="009433B4"/>
    <w:rsid w:val="00943ECE"/>
    <w:rsid w:val="0095747F"/>
    <w:rsid w:val="00990BAC"/>
    <w:rsid w:val="009D690E"/>
    <w:rsid w:val="009E3B51"/>
    <w:rsid w:val="009E5821"/>
    <w:rsid w:val="00A42D31"/>
    <w:rsid w:val="00A57452"/>
    <w:rsid w:val="00A82200"/>
    <w:rsid w:val="00AA475F"/>
    <w:rsid w:val="00AB4B4F"/>
    <w:rsid w:val="00B43005"/>
    <w:rsid w:val="00B66B52"/>
    <w:rsid w:val="00BB06D4"/>
    <w:rsid w:val="00BC3AC2"/>
    <w:rsid w:val="00BC41F3"/>
    <w:rsid w:val="00BE5580"/>
    <w:rsid w:val="00C05F7C"/>
    <w:rsid w:val="00C31B01"/>
    <w:rsid w:val="00C73752"/>
    <w:rsid w:val="00D04991"/>
    <w:rsid w:val="00D46F53"/>
    <w:rsid w:val="00DC46B7"/>
    <w:rsid w:val="00DD470A"/>
    <w:rsid w:val="00E33DF4"/>
    <w:rsid w:val="00E71AFB"/>
    <w:rsid w:val="00EF1656"/>
    <w:rsid w:val="00EF535E"/>
    <w:rsid w:val="00F20819"/>
    <w:rsid w:val="00F46404"/>
    <w:rsid w:val="00F66C5B"/>
    <w:rsid w:val="00FB22A8"/>
    <w:rsid w:val="00FC3533"/>
    <w:rsid w:val="00FE46E9"/>
    <w:rsid w:val="0B9C06D5"/>
    <w:rsid w:val="0E074DDF"/>
    <w:rsid w:val="124204B5"/>
    <w:rsid w:val="182962AB"/>
    <w:rsid w:val="19D073EB"/>
    <w:rsid w:val="1CC31F67"/>
    <w:rsid w:val="24D337DC"/>
    <w:rsid w:val="26460DBA"/>
    <w:rsid w:val="2A4915D0"/>
    <w:rsid w:val="2B6F74EB"/>
    <w:rsid w:val="2C4219FE"/>
    <w:rsid w:val="2F5F53F2"/>
    <w:rsid w:val="34020F86"/>
    <w:rsid w:val="39A63F06"/>
    <w:rsid w:val="3ED1439F"/>
    <w:rsid w:val="48374EDC"/>
    <w:rsid w:val="4A804742"/>
    <w:rsid w:val="4C256E3D"/>
    <w:rsid w:val="4CB52F0F"/>
    <w:rsid w:val="532F1F9A"/>
    <w:rsid w:val="5E015742"/>
    <w:rsid w:val="5E995A3E"/>
    <w:rsid w:val="62163194"/>
    <w:rsid w:val="624D024D"/>
    <w:rsid w:val="625D08B4"/>
    <w:rsid w:val="650E086A"/>
    <w:rsid w:val="6BAA0708"/>
    <w:rsid w:val="704C058F"/>
    <w:rsid w:val="77D715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style>
  <w:style w:type="character" w:customStyle="1" w:styleId="8">
    <w:name w:val="Balloon Text Char"/>
    <w:basedOn w:val="6"/>
    <w:link w:val="2"/>
    <w:locked/>
    <w:uiPriority w:val="99"/>
    <w:rPr>
      <w:kern w:val="2"/>
      <w:sz w:val="18"/>
      <w:szCs w:val="18"/>
    </w:rPr>
  </w:style>
  <w:style w:type="character" w:customStyle="1" w:styleId="9">
    <w:name w:val="Footer Char"/>
    <w:basedOn w:val="6"/>
    <w:link w:val="3"/>
    <w:semiHidden/>
    <w:locked/>
    <w:uiPriority w:val="99"/>
    <w:rPr>
      <w:sz w:val="18"/>
      <w:szCs w:val="18"/>
    </w:rPr>
  </w:style>
  <w:style w:type="character" w:customStyle="1" w:styleId="10">
    <w:name w:val="Header Char"/>
    <w:basedOn w:val="6"/>
    <w:link w:val="4"/>
    <w:semiHidden/>
    <w:locked/>
    <w:uiPriority w:val="99"/>
    <w:rPr>
      <w:sz w:val="18"/>
      <w:szCs w:val="18"/>
    </w:rPr>
  </w:style>
  <w:style w:type="character" w:customStyle="1" w:styleId="11">
    <w:name w:val="font11"/>
    <w:basedOn w:val="6"/>
    <w:uiPriority w:val="99"/>
    <w:rPr>
      <w:rFonts w:ascii="宋体" w:hAnsi="宋体" w:eastAsia="宋体" w:cs="宋体"/>
      <w:color w:val="000000"/>
      <w:sz w:val="22"/>
      <w:szCs w:val="22"/>
      <w:u w:val="none"/>
    </w:rPr>
  </w:style>
  <w:style w:type="character" w:customStyle="1" w:styleId="12">
    <w:name w:val="font01"/>
    <w:basedOn w:val="6"/>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26</Pages>
  <Words>7914</Words>
  <Characters>10285</Characters>
  <Lines>0</Lines>
  <Paragraphs>0</Paragraphs>
  <TotalTime>4</TotalTime>
  <ScaleCrop>false</ScaleCrop>
  <LinksUpToDate>false</LinksUpToDate>
  <CharactersWithSpaces>10746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2021-08-02T03:51:00Z</dcterms:created>
  <dc:creator>陈冬雪</dc:creator>
  <cp:lastModifiedBy>哒哒陳</cp:lastModifiedBy>
  <cp:lastPrinted>2021-07-07T01:10:00Z</cp:lastPrinted>
  <dcterms:modified xsi:type="dcterms:W3CDTF">2022-10-26T08:05:00Z</dcterms:modified>
  <dc:title>柳州市    （委、局、办）</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079D0094C80C4089A3DE6A497EA43E6C</vt:lpwstr>
  </property>
</Properties>
</file>