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eastAsia="黑体" w:cs="ArialUnicodeMS"/>
          <w:kern w:val="0"/>
          <w:sz w:val="52"/>
          <w:szCs w:val="52"/>
          <w:lang w:eastAsia="zh-CN"/>
        </w:rPr>
      </w:pPr>
      <w:r>
        <w:rPr>
          <w:rFonts w:hint="eastAsia" w:ascii="黑体" w:eastAsia="黑体" w:cs="ArialUnicodeMS"/>
          <w:kern w:val="0"/>
          <w:sz w:val="52"/>
          <w:szCs w:val="52"/>
          <w:lang w:eastAsia="zh-CN"/>
        </w:rPr>
        <w:t>共青团柳州市委员会</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共青团柳州市委员会</w:t>
      </w:r>
      <w:r>
        <w:rPr>
          <w:rFonts w:hint="eastAsia" w:ascii="仿宋_GB2312" w:eastAsia="仿宋_GB2312"/>
          <w:b/>
          <w:sz w:val="32"/>
          <w:szCs w:val="32"/>
          <w:u w:val="none"/>
        </w:rPr>
        <w:t>概</w:t>
      </w:r>
      <w:r>
        <w:rPr>
          <w:rFonts w:hint="eastAsia" w:ascii="仿宋_GB2312" w:eastAsia="仿宋_GB2312"/>
          <w:b/>
          <w:sz w:val="32"/>
          <w:szCs w:val="32"/>
        </w:rPr>
        <w:t>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共青团柳州市委员会</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highlight w:val="none"/>
        </w:rPr>
      </w:pPr>
      <w:r>
        <w:rPr>
          <w:rFonts w:hint="eastAsia" w:ascii="仿宋_GB2312" w:eastAsia="仿宋_GB2312"/>
          <w:sz w:val="32"/>
          <w:szCs w:val="32"/>
          <w:highlight w:val="none"/>
        </w:rPr>
        <w:t>表七：一般公共预算财政拨款安排的“</w:t>
      </w:r>
      <w:r>
        <w:rPr>
          <w:rFonts w:ascii="仿宋_GB2312" w:eastAsia="仿宋_GB2312"/>
          <w:sz w:val="32"/>
          <w:szCs w:val="32"/>
          <w:highlight w:val="none"/>
        </w:rPr>
        <w:t>三公</w:t>
      </w:r>
      <w:r>
        <w:rPr>
          <w:rFonts w:hint="eastAsia" w:ascii="仿宋_GB2312" w:eastAsia="仿宋_GB2312"/>
          <w:sz w:val="32"/>
          <w:szCs w:val="32"/>
          <w:highlight w:val="none"/>
        </w:rPr>
        <w:t>”</w:t>
      </w:r>
      <w:r>
        <w:rPr>
          <w:rFonts w:ascii="仿宋_GB2312" w:eastAsia="仿宋_GB2312"/>
          <w:sz w:val="32"/>
          <w:szCs w:val="32"/>
          <w:highlight w:val="none"/>
        </w:rPr>
        <w:t>经费</w:t>
      </w:r>
      <w:r>
        <w:rPr>
          <w:rFonts w:hint="eastAsia" w:ascii="仿宋_GB2312" w:eastAsia="仿宋_GB2312"/>
          <w:sz w:val="32"/>
          <w:szCs w:val="32"/>
          <w:highlight w:val="none"/>
        </w:rPr>
        <w:t>支出决算表</w:t>
      </w:r>
    </w:p>
    <w:p>
      <w:pPr>
        <w:ind w:left="645"/>
        <w:rPr>
          <w:rFonts w:hint="eastAsia" w:ascii="仿宋_GB2312" w:eastAsia="仿宋_GB2312"/>
          <w:sz w:val="32"/>
          <w:szCs w:val="32"/>
          <w:highlight w:val="none"/>
        </w:rPr>
      </w:pPr>
      <w:r>
        <w:rPr>
          <w:rFonts w:hint="eastAsia" w:ascii="仿宋_GB2312" w:eastAsia="仿宋_GB2312"/>
          <w:sz w:val="32"/>
          <w:szCs w:val="32"/>
          <w:highlight w:val="none"/>
        </w:rPr>
        <w:t>表八：政府性基金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共青团柳州市委员会</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kern w:val="0"/>
          <w:sz w:val="32"/>
          <w:szCs w:val="32"/>
          <w:highlight w:val="none"/>
        </w:rPr>
        <w:t>八、</w:t>
      </w:r>
      <w:r>
        <w:rPr>
          <w:rFonts w:hint="eastAsia" w:eastAsia="仿宋_GB2312"/>
          <w:kern w:val="0"/>
          <w:sz w:val="32"/>
          <w:szCs w:val="32"/>
          <w:highlight w:val="none"/>
        </w:rPr>
        <w:t>2020</w:t>
      </w:r>
      <w:r>
        <w:rPr>
          <w:rFonts w:hint="eastAsia" w:ascii="仿宋_GB2312" w:eastAsia="仿宋_GB2312" w:cs="仿宋_GB2312"/>
          <w:bCs/>
          <w:kern w:val="0"/>
          <w:sz w:val="32"/>
          <w:szCs w:val="32"/>
          <w:highlight w:val="none"/>
        </w:rPr>
        <w:t>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共青团柳州市委员会</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60" w:lineRule="exact"/>
        <w:ind w:left="0" w:leftChars="0" w:firstLine="640" w:firstLineChars="200"/>
        <w:jc w:val="both"/>
        <w:rPr>
          <w:rFonts w:hint="eastAsia" w:ascii="仿宋_GB2312" w:hAnsi="Times New Roman" w:eastAsia="仿宋_GB2312" w:cs="Times New Roman"/>
          <w:b w:val="0"/>
          <w:i w:val="0"/>
          <w:caps w:val="0"/>
          <w:color w:val="333333"/>
          <w:spacing w:val="0"/>
          <w:sz w:val="32"/>
          <w:szCs w:val="32"/>
        </w:rPr>
      </w:pPr>
      <w:r>
        <w:rPr>
          <w:rFonts w:hint="eastAsia" w:ascii="仿宋_GB2312" w:hAnsi="Times New Roman" w:eastAsia="仿宋_GB2312" w:cs="Times New Roman"/>
          <w:b w:val="0"/>
          <w:i w:val="0"/>
          <w:caps w:val="0"/>
          <w:color w:val="333333"/>
          <w:spacing w:val="0"/>
          <w:sz w:val="32"/>
          <w:szCs w:val="32"/>
        </w:rPr>
        <w:t>中国共产主义青年团是中国共产党领导的先进青年的群团组织，是广大青年在实践中学习中国特色社会主义和共产主义的学校，是党的助手和后备军，是党联系青年的桥梁和纽带，是国家政权的重要社会支柱之一。共青团柳州市委机关主要职责是：</w:t>
      </w:r>
    </w:p>
    <w:p>
      <w:pPr>
        <w:spacing w:line="560" w:lineRule="exact"/>
        <w:ind w:left="0" w:leftChars="0" w:firstLine="640" w:firstLineChars="200"/>
        <w:jc w:val="both"/>
        <w:rPr>
          <w:rFonts w:hint="eastAsia" w:ascii="仿宋_GB2312" w:hAnsi="Times New Roman" w:eastAsia="仿宋_GB2312" w:cs="Times New Roman"/>
          <w:b w:val="0"/>
          <w:i w:val="0"/>
          <w:caps w:val="0"/>
          <w:color w:val="333333"/>
          <w:spacing w:val="0"/>
          <w:sz w:val="32"/>
          <w:szCs w:val="32"/>
        </w:rPr>
      </w:pPr>
      <w:r>
        <w:rPr>
          <w:rFonts w:hint="eastAsia" w:ascii="仿宋_GB2312" w:hAnsi="Times New Roman" w:eastAsia="仿宋_GB2312" w:cs="Times New Roman"/>
          <w:b w:val="0"/>
          <w:i w:val="0"/>
          <w:caps w:val="0"/>
          <w:color w:val="333333"/>
          <w:spacing w:val="0"/>
          <w:sz w:val="32"/>
          <w:szCs w:val="32"/>
        </w:rPr>
        <w:t>（一）领导全市共青团工作，组织全市共青团围绕全市改革发展稳定大局开展工作，在全市经济建设、政治建设、文化建设、社会建设、生态文明建设中发挥党的助手作用。</w:t>
      </w:r>
    </w:p>
    <w:p>
      <w:pPr>
        <w:numPr>
          <w:ilvl w:val="0"/>
          <w:numId w:val="0"/>
        </w:numPr>
        <w:spacing w:line="560" w:lineRule="exact"/>
        <w:ind w:firstLine="640" w:firstLineChars="200"/>
        <w:jc w:val="both"/>
        <w:rPr>
          <w:rFonts w:hint="eastAsia" w:ascii="仿宋_GB2312" w:hAnsi="Times New Roman" w:eastAsia="仿宋_GB2312" w:cs="Times New Roman"/>
          <w:b w:val="0"/>
          <w:i w:val="0"/>
          <w:caps w:val="0"/>
          <w:color w:val="333333"/>
          <w:spacing w:val="0"/>
          <w:sz w:val="32"/>
          <w:szCs w:val="32"/>
        </w:rPr>
      </w:pPr>
      <w:r>
        <w:rPr>
          <w:rFonts w:hint="eastAsia" w:ascii="仿宋_GB2312" w:hAnsi="Times New Roman" w:eastAsia="仿宋_GB2312" w:cs="Times New Roman"/>
          <w:b w:val="0"/>
          <w:i w:val="0"/>
          <w:caps w:val="0"/>
          <w:color w:val="333333"/>
          <w:spacing w:val="0"/>
          <w:sz w:val="32"/>
          <w:szCs w:val="32"/>
          <w:lang w:eastAsia="zh-CN"/>
        </w:rPr>
        <w:t>（二）</w:t>
      </w:r>
      <w:r>
        <w:rPr>
          <w:rFonts w:hint="eastAsia" w:ascii="仿宋_GB2312" w:hAnsi="Times New Roman" w:eastAsia="仿宋_GB2312" w:cs="Times New Roman"/>
          <w:b w:val="0"/>
          <w:i w:val="0"/>
          <w:caps w:val="0"/>
          <w:color w:val="333333"/>
          <w:spacing w:val="0"/>
          <w:sz w:val="32"/>
          <w:szCs w:val="32"/>
        </w:rPr>
        <w:t>负责研究指导全市团的组织建设和干部队伍建设，推进全市团的基层组织建设；组织和带领全市青年创业创新，在全市经济社会发展中发挥生力军和突击队的作用。</w:t>
      </w:r>
    </w:p>
    <w:p>
      <w:pPr>
        <w:numPr>
          <w:ilvl w:val="0"/>
          <w:numId w:val="0"/>
        </w:numPr>
        <w:spacing w:line="560" w:lineRule="exact"/>
        <w:ind w:firstLine="640" w:firstLineChars="200"/>
        <w:jc w:val="both"/>
        <w:rPr>
          <w:rFonts w:hint="eastAsia" w:ascii="仿宋_GB2312" w:hAnsi="Times New Roman" w:eastAsia="仿宋_GB2312" w:cs="Times New Roman"/>
          <w:b w:val="0"/>
          <w:i w:val="0"/>
          <w:caps w:val="0"/>
          <w:color w:val="333333"/>
          <w:spacing w:val="0"/>
          <w:sz w:val="32"/>
          <w:szCs w:val="32"/>
        </w:rPr>
      </w:pPr>
      <w:r>
        <w:rPr>
          <w:rFonts w:hint="eastAsia" w:ascii="仿宋_GB2312" w:hAnsi="Times New Roman" w:eastAsia="仿宋_GB2312" w:cs="Times New Roman"/>
          <w:b w:val="0"/>
          <w:i w:val="0"/>
          <w:caps w:val="0"/>
          <w:color w:val="333333"/>
          <w:spacing w:val="0"/>
          <w:sz w:val="32"/>
          <w:szCs w:val="32"/>
        </w:rPr>
        <w:t>（三）协助党组织管理各县区团委、各新区团工委、各系统团委的正、副书记，培养、选拔、推荐、表彰团干部和团员青年。</w:t>
      </w:r>
    </w:p>
    <w:p>
      <w:pPr>
        <w:numPr>
          <w:ilvl w:val="0"/>
          <w:numId w:val="0"/>
        </w:numPr>
        <w:spacing w:line="560" w:lineRule="exact"/>
        <w:ind w:firstLine="640" w:firstLineChars="200"/>
        <w:jc w:val="both"/>
        <w:rPr>
          <w:rFonts w:hint="eastAsia" w:ascii="仿宋_GB2312" w:hAnsi="Times New Roman" w:eastAsia="仿宋_GB2312" w:cs="Times New Roman"/>
          <w:b w:val="0"/>
          <w:i w:val="0"/>
          <w:caps w:val="0"/>
          <w:color w:val="333333"/>
          <w:spacing w:val="0"/>
          <w:sz w:val="32"/>
          <w:szCs w:val="32"/>
        </w:rPr>
      </w:pPr>
      <w:r>
        <w:rPr>
          <w:rFonts w:hint="eastAsia" w:ascii="仿宋_GB2312" w:hAnsi="Times New Roman" w:eastAsia="仿宋_GB2312" w:cs="Times New Roman"/>
          <w:b w:val="0"/>
          <w:i w:val="0"/>
          <w:caps w:val="0"/>
          <w:color w:val="333333"/>
          <w:spacing w:val="0"/>
          <w:sz w:val="32"/>
          <w:szCs w:val="32"/>
        </w:rPr>
        <w:t>（四）围绕市委、市人民政府中心工作，负责指导并组织实施全市青少年的思想理论教育和对外宣传工作。负责协调、指导团的新媒体舆论阵地建设和网络舆论引导工作。</w:t>
      </w:r>
    </w:p>
    <w:p>
      <w:pPr>
        <w:numPr>
          <w:ilvl w:val="0"/>
          <w:numId w:val="0"/>
        </w:numPr>
        <w:spacing w:line="560" w:lineRule="exact"/>
        <w:ind w:firstLine="640" w:firstLineChars="200"/>
        <w:jc w:val="both"/>
        <w:rPr>
          <w:rFonts w:hint="eastAsia" w:ascii="仿宋_GB2312" w:hAnsi="Times New Roman" w:eastAsia="仿宋_GB2312" w:cs="Times New Roman"/>
          <w:b w:val="0"/>
          <w:i w:val="0"/>
          <w:caps w:val="0"/>
          <w:color w:val="333333"/>
          <w:spacing w:val="0"/>
          <w:sz w:val="32"/>
          <w:szCs w:val="32"/>
        </w:rPr>
      </w:pPr>
      <w:r>
        <w:rPr>
          <w:rFonts w:hint="eastAsia" w:ascii="仿宋_GB2312" w:hAnsi="Times New Roman" w:eastAsia="仿宋_GB2312" w:cs="Times New Roman"/>
          <w:b w:val="0"/>
          <w:i w:val="0"/>
          <w:caps w:val="0"/>
          <w:color w:val="333333"/>
          <w:spacing w:val="0"/>
          <w:sz w:val="32"/>
          <w:szCs w:val="32"/>
        </w:rPr>
        <w:t>（五）负责全市共青团工作和青年工作的理论研究；向市委、市人民政府反映青少年思想状况，参与协调处理各种与青少年利益相关的工作；对青少年工作中的重大问题提出立法建议，参与有关全市性青少年法规的起草、实施、监督等工作；会同有关部门做好未成年人保护工作和预防青少年违法犯罪工作。</w:t>
      </w:r>
    </w:p>
    <w:p>
      <w:pPr>
        <w:numPr>
          <w:ilvl w:val="0"/>
          <w:numId w:val="0"/>
        </w:numPr>
        <w:spacing w:line="560" w:lineRule="exact"/>
        <w:ind w:firstLine="640" w:firstLineChars="200"/>
        <w:jc w:val="both"/>
        <w:rPr>
          <w:rFonts w:hint="eastAsia" w:ascii="仿宋_GB2312" w:hAnsi="Times New Roman" w:eastAsia="仿宋_GB2312" w:cs="Times New Roman"/>
          <w:color w:val="333333"/>
          <w:sz w:val="32"/>
          <w:szCs w:val="32"/>
        </w:rPr>
      </w:pPr>
      <w:r>
        <w:rPr>
          <w:rFonts w:hint="eastAsia" w:ascii="仿宋_GB2312" w:hAnsi="Times New Roman" w:eastAsia="仿宋_GB2312" w:cs="Times New Roman"/>
          <w:b w:val="0"/>
          <w:i w:val="0"/>
          <w:caps w:val="0"/>
          <w:color w:val="333333"/>
          <w:spacing w:val="0"/>
          <w:sz w:val="32"/>
          <w:szCs w:val="32"/>
        </w:rPr>
        <w:t>（六）参与制定全市青少年事业发展规划和青少年工作方针、政策，对青少年活动阵地、青少年报刊、青少年服务机构的建设和青少年读物出版等事务进行规划和管理。</w:t>
      </w:r>
    </w:p>
    <w:p>
      <w:pPr>
        <w:numPr>
          <w:ilvl w:val="0"/>
          <w:numId w:val="0"/>
        </w:numPr>
        <w:spacing w:line="560" w:lineRule="exact"/>
        <w:ind w:firstLine="640" w:firstLineChars="200"/>
        <w:jc w:val="both"/>
        <w:rPr>
          <w:rFonts w:hint="eastAsia" w:ascii="仿宋_GB2312" w:hAnsi="Times New Roman" w:eastAsia="仿宋_GB2312" w:cs="Times New Roman"/>
          <w:b w:val="0"/>
          <w:i w:val="0"/>
          <w:caps w:val="0"/>
          <w:color w:val="333333"/>
          <w:spacing w:val="0"/>
          <w:sz w:val="32"/>
          <w:szCs w:val="32"/>
        </w:rPr>
      </w:pPr>
      <w:r>
        <w:rPr>
          <w:rFonts w:hint="eastAsia" w:ascii="仿宋_GB2312" w:hAnsi="Times New Roman" w:eastAsia="仿宋_GB2312" w:cs="Times New Roman"/>
          <w:b w:val="0"/>
          <w:i w:val="0"/>
          <w:caps w:val="0"/>
          <w:color w:val="333333"/>
          <w:spacing w:val="0"/>
          <w:sz w:val="32"/>
          <w:szCs w:val="32"/>
        </w:rPr>
        <w:t>（七）指导和帮助市青联、学联、少先队工作委员会开展工作。协助教育部门做好大、中、小学学生的教育管理工作。加强对青年社会组织和青年社团的指导和管理。</w:t>
      </w:r>
    </w:p>
    <w:p>
      <w:pPr>
        <w:numPr>
          <w:ilvl w:val="0"/>
          <w:numId w:val="0"/>
        </w:numPr>
        <w:spacing w:line="560" w:lineRule="exact"/>
        <w:ind w:firstLine="640" w:firstLineChars="200"/>
        <w:jc w:val="both"/>
        <w:rPr>
          <w:rFonts w:hint="eastAsia" w:ascii="仿宋_GB2312" w:eastAsia="仿宋_GB2312"/>
          <w:sz w:val="32"/>
          <w:szCs w:val="32"/>
        </w:rPr>
      </w:pPr>
      <w:r>
        <w:rPr>
          <w:rFonts w:hint="eastAsia" w:ascii="仿宋_GB2312" w:hAnsi="Times New Roman" w:eastAsia="仿宋_GB2312" w:cs="Times New Roman"/>
          <w:b w:val="0"/>
          <w:i w:val="0"/>
          <w:caps w:val="0"/>
          <w:color w:val="333333"/>
          <w:spacing w:val="0"/>
          <w:sz w:val="32"/>
          <w:szCs w:val="32"/>
        </w:rPr>
        <w:t>（八）参与制定有关青年统战工作的政策，做好青年统战对象的团结教育工作，维护和促进祖国统一和民族团结。</w:t>
      </w:r>
    </w:p>
    <w:p>
      <w:pPr>
        <w:numPr>
          <w:ilvl w:val="0"/>
          <w:numId w:val="0"/>
        </w:numPr>
        <w:spacing w:line="560" w:lineRule="exact"/>
        <w:ind w:firstLine="640" w:firstLineChars="200"/>
        <w:jc w:val="both"/>
        <w:rPr>
          <w:rFonts w:hint="eastAsia" w:ascii="仿宋_GB2312" w:hAnsi="Times New Roman" w:eastAsia="仿宋_GB2312" w:cs="Times New Roman"/>
          <w:b w:val="0"/>
          <w:i w:val="0"/>
          <w:caps w:val="0"/>
          <w:color w:val="333333"/>
          <w:spacing w:val="0"/>
          <w:sz w:val="32"/>
          <w:szCs w:val="32"/>
        </w:rPr>
      </w:pPr>
      <w:r>
        <w:rPr>
          <w:rFonts w:hint="eastAsia" w:ascii="仿宋_GB2312" w:hAnsi="Times New Roman" w:eastAsia="仿宋_GB2312" w:cs="Times New Roman"/>
          <w:b w:val="0"/>
          <w:i w:val="0"/>
          <w:caps w:val="0"/>
          <w:color w:val="333333"/>
          <w:spacing w:val="0"/>
          <w:sz w:val="32"/>
          <w:szCs w:val="32"/>
        </w:rPr>
        <w:t>（九）参与制定、执行全市青少年外事政策，负责全市青少年外事工作和青少年对外交流工作。</w:t>
      </w:r>
    </w:p>
    <w:p>
      <w:pPr>
        <w:numPr>
          <w:ilvl w:val="0"/>
          <w:numId w:val="0"/>
        </w:numPr>
        <w:spacing w:line="560" w:lineRule="exact"/>
        <w:ind w:firstLine="640" w:firstLineChars="200"/>
        <w:jc w:val="both"/>
        <w:rPr>
          <w:rFonts w:hint="eastAsia" w:ascii="仿宋_GB2312" w:eastAsia="仿宋_GB2312"/>
          <w:sz w:val="32"/>
          <w:szCs w:val="32"/>
        </w:rPr>
      </w:pPr>
      <w:r>
        <w:rPr>
          <w:rFonts w:hint="eastAsia" w:ascii="仿宋_GB2312" w:hAnsi="Times New Roman" w:eastAsia="仿宋_GB2312" w:cs="Times New Roman"/>
          <w:b w:val="0"/>
          <w:i w:val="0"/>
          <w:caps w:val="0"/>
          <w:color w:val="333333"/>
          <w:spacing w:val="0"/>
          <w:sz w:val="32"/>
          <w:szCs w:val="32"/>
        </w:rPr>
        <w:t>（十）承担市委、市人民政府以及上级团组织交办的其他事项。</w:t>
      </w:r>
    </w:p>
    <w:p>
      <w:pPr>
        <w:ind w:firstLine="646"/>
        <w:rPr>
          <w:rFonts w:hint="eastAsia" w:ascii="仿宋_GB2312" w:eastAsia="仿宋_GB2312"/>
          <w:sz w:val="32"/>
          <w:szCs w:val="32"/>
        </w:rPr>
      </w:pPr>
      <w:r>
        <w:rPr>
          <w:rFonts w:hint="eastAsia" w:ascii="仿宋_GB2312" w:eastAsia="仿宋_GB2312"/>
          <w:sz w:val="32"/>
          <w:szCs w:val="32"/>
        </w:rPr>
        <w:t>二、部门决算单位构成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bCs/>
          <w:i w:val="0"/>
          <w:caps w:val="0"/>
          <w:color w:val="333333"/>
          <w:spacing w:val="0"/>
          <w:sz w:val="32"/>
          <w:szCs w:val="32"/>
        </w:rPr>
      </w:pPr>
      <w:r>
        <w:rPr>
          <w:rStyle w:val="7"/>
          <w:rFonts w:hint="eastAsia" w:ascii="仿宋_GB2312" w:hAnsi="Times New Roman" w:eastAsia="仿宋_GB2312" w:cs="Times New Roman"/>
          <w:b/>
          <w:bCs/>
          <w:i w:val="0"/>
          <w:caps w:val="0"/>
          <w:color w:val="333333"/>
          <w:spacing w:val="0"/>
          <w:kern w:val="2"/>
          <w:sz w:val="32"/>
          <w:szCs w:val="32"/>
          <w:lang w:val="en-US" w:eastAsia="zh-CN" w:bidi="ar"/>
        </w:rPr>
        <w:t>机构和人员情况表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_GB2312" w:hAnsi="Times New Roman" w:eastAsia="仿宋_GB2312" w:cs="Times New Roman"/>
          <w:b w:val="0"/>
          <w:i w:val="0"/>
          <w:caps w:val="0"/>
          <w:color w:val="333333"/>
          <w:spacing w:val="0"/>
          <w:sz w:val="32"/>
          <w:szCs w:val="32"/>
        </w:rPr>
      </w:pPr>
      <w:r>
        <w:rPr>
          <w:rFonts w:hint="eastAsia" w:ascii="宋体" w:hAnsi="宋体" w:eastAsia="宋体" w:cs="宋体"/>
          <w:b w:val="0"/>
          <w:i w:val="0"/>
          <w:caps w:val="0"/>
          <w:color w:val="333333"/>
          <w:spacing w:val="0"/>
          <w:kern w:val="0"/>
          <w:sz w:val="18"/>
          <w:szCs w:val="18"/>
          <w:lang w:val="en-US" w:eastAsia="zh-CN" w:bidi="ar"/>
        </w:rPr>
        <w:t>     </w:t>
      </w:r>
      <w:r>
        <w:rPr>
          <w:rFonts w:hint="eastAsia" w:ascii="仿宋_GB2312" w:hAnsi="Times New Roman" w:eastAsia="仿宋_GB2312" w:cs="Times New Roman"/>
          <w:b w:val="0"/>
          <w:i w:val="0"/>
          <w:caps w:val="0"/>
          <w:color w:val="333333"/>
          <w:spacing w:val="0"/>
          <w:kern w:val="2"/>
          <w:sz w:val="32"/>
          <w:szCs w:val="32"/>
          <w:lang w:val="en-US" w:eastAsia="zh-CN" w:bidi="ar"/>
        </w:rPr>
        <w:t>单位：人</w:t>
      </w:r>
    </w:p>
    <w:tbl>
      <w:tblPr>
        <w:tblStyle w:val="5"/>
        <w:tblW w:w="0" w:type="auto"/>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781"/>
        <w:gridCol w:w="2275"/>
        <w:gridCol w:w="734"/>
        <w:gridCol w:w="929"/>
        <w:gridCol w:w="929"/>
        <w:gridCol w:w="719"/>
        <w:gridCol w:w="764"/>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781"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kern w:val="2"/>
                <w:sz w:val="28"/>
                <w:szCs w:val="28"/>
                <w:highlight w:val="none"/>
                <w:lang w:val="en-US" w:eastAsia="zh-CN" w:bidi="ar"/>
              </w:rPr>
              <w:t>单位名称</w:t>
            </w:r>
          </w:p>
        </w:tc>
        <w:tc>
          <w:tcPr>
            <w:tcW w:w="227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kern w:val="2"/>
                <w:sz w:val="28"/>
                <w:szCs w:val="28"/>
                <w:highlight w:val="none"/>
                <w:lang w:val="en-US" w:eastAsia="zh-CN" w:bidi="ar"/>
              </w:rPr>
              <w:t>单位性质</w:t>
            </w:r>
          </w:p>
        </w:tc>
        <w:tc>
          <w:tcPr>
            <w:tcW w:w="7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kern w:val="2"/>
                <w:sz w:val="28"/>
                <w:szCs w:val="28"/>
                <w:highlight w:val="none"/>
                <w:lang w:val="en-US" w:eastAsia="zh-CN" w:bidi="ar"/>
              </w:rPr>
              <w:t>编制人数</w:t>
            </w:r>
          </w:p>
        </w:tc>
        <w:tc>
          <w:tcPr>
            <w:tcW w:w="92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kern w:val="2"/>
                <w:sz w:val="28"/>
                <w:szCs w:val="28"/>
                <w:highlight w:val="none"/>
                <w:lang w:val="en-US" w:eastAsia="zh-CN" w:bidi="ar"/>
              </w:rPr>
              <w:t>实有在职人数</w:t>
            </w:r>
          </w:p>
        </w:tc>
        <w:tc>
          <w:tcPr>
            <w:tcW w:w="92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kern w:val="2"/>
                <w:sz w:val="28"/>
                <w:szCs w:val="28"/>
                <w:highlight w:val="none"/>
                <w:lang w:val="en-US" w:eastAsia="zh-CN" w:bidi="ar"/>
              </w:rPr>
              <w:t>离休</w:t>
            </w:r>
            <w:r>
              <w:rPr>
                <w:rFonts w:hint="eastAsia" w:ascii="仿宋_GB2312" w:hAnsi="Times New Roman" w:eastAsia="仿宋_GB2312" w:cs="Times New Roman"/>
                <w:b w:val="0"/>
                <w:i w:val="0"/>
                <w:caps w:val="0"/>
                <w:color w:val="333333"/>
                <w:spacing w:val="0"/>
                <w:kern w:val="2"/>
                <w:sz w:val="28"/>
                <w:szCs w:val="28"/>
                <w:highlight w:val="none"/>
                <w:lang w:val="en-US" w:eastAsia="zh-CN" w:bidi="ar"/>
              </w:rPr>
              <w:br w:type="textWrapping"/>
            </w:r>
            <w:r>
              <w:rPr>
                <w:rFonts w:hint="eastAsia" w:ascii="仿宋_GB2312" w:hAnsi="Times New Roman" w:eastAsia="仿宋_GB2312" w:cs="Times New Roman"/>
                <w:b w:val="0"/>
                <w:i w:val="0"/>
                <w:caps w:val="0"/>
                <w:color w:val="333333"/>
                <w:spacing w:val="0"/>
                <w:kern w:val="2"/>
                <w:sz w:val="28"/>
                <w:szCs w:val="28"/>
                <w:highlight w:val="none"/>
                <w:lang w:val="en-US" w:eastAsia="zh-CN" w:bidi="ar"/>
              </w:rPr>
              <w:t>人数</w:t>
            </w:r>
          </w:p>
        </w:tc>
        <w:tc>
          <w:tcPr>
            <w:tcW w:w="71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kern w:val="2"/>
                <w:sz w:val="28"/>
                <w:szCs w:val="28"/>
                <w:highlight w:val="none"/>
                <w:lang w:val="en-US" w:eastAsia="zh-CN" w:bidi="ar"/>
              </w:rPr>
              <w:t>退休</w:t>
            </w:r>
            <w:r>
              <w:rPr>
                <w:rFonts w:hint="eastAsia" w:ascii="仿宋_GB2312" w:hAnsi="Times New Roman" w:eastAsia="仿宋_GB2312" w:cs="Times New Roman"/>
                <w:b w:val="0"/>
                <w:i w:val="0"/>
                <w:caps w:val="0"/>
                <w:color w:val="333333"/>
                <w:spacing w:val="0"/>
                <w:kern w:val="2"/>
                <w:sz w:val="28"/>
                <w:szCs w:val="28"/>
                <w:highlight w:val="none"/>
                <w:lang w:val="en-US" w:eastAsia="zh-CN" w:bidi="ar"/>
              </w:rPr>
              <w:br w:type="textWrapping"/>
            </w:r>
            <w:r>
              <w:rPr>
                <w:rFonts w:hint="eastAsia" w:ascii="仿宋_GB2312" w:hAnsi="Times New Roman" w:eastAsia="仿宋_GB2312" w:cs="Times New Roman"/>
                <w:b w:val="0"/>
                <w:i w:val="0"/>
                <w:caps w:val="0"/>
                <w:color w:val="333333"/>
                <w:spacing w:val="0"/>
                <w:kern w:val="2"/>
                <w:sz w:val="28"/>
                <w:szCs w:val="28"/>
                <w:highlight w:val="none"/>
                <w:lang w:val="en-US" w:eastAsia="zh-CN" w:bidi="ar"/>
              </w:rPr>
              <w:t>人数</w:t>
            </w:r>
          </w:p>
        </w:tc>
        <w:tc>
          <w:tcPr>
            <w:tcW w:w="76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spacing w:val="0"/>
                <w:kern w:val="2"/>
                <w:sz w:val="28"/>
                <w:szCs w:val="28"/>
                <w:highlight w:val="none"/>
                <w:lang w:val="en-US" w:eastAsia="zh-CN" w:bidi="ar"/>
              </w:rPr>
            </w:pPr>
            <w:r>
              <w:rPr>
                <w:rFonts w:hint="eastAsia" w:ascii="仿宋_GB2312" w:hAnsi="Times New Roman" w:eastAsia="仿宋_GB2312" w:cs="Times New Roman"/>
                <w:b w:val="0"/>
                <w:i w:val="0"/>
                <w:caps w:val="0"/>
                <w:color w:val="333333"/>
                <w:spacing w:val="0"/>
                <w:kern w:val="2"/>
                <w:sz w:val="28"/>
                <w:szCs w:val="28"/>
                <w:highlight w:val="none"/>
                <w:lang w:val="en-US" w:eastAsia="zh-CN" w:bidi="ar"/>
              </w:rPr>
              <w:t>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kern w:val="2"/>
                <w:sz w:val="28"/>
                <w:szCs w:val="28"/>
                <w:highlight w:val="none"/>
                <w:lang w:val="en-US" w:eastAsia="zh-CN" w:bidi="ar"/>
              </w:rPr>
              <w:t>人数</w:t>
            </w:r>
          </w:p>
        </w:tc>
        <w:tc>
          <w:tcPr>
            <w:tcW w:w="74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kern w:val="2"/>
                <w:sz w:val="28"/>
                <w:szCs w:val="28"/>
                <w:highlight w:val="none"/>
                <w:lang w:val="en-US" w:eastAsia="zh-CN" w:bidi="ar"/>
              </w:rPr>
              <w:t>遗属</w:t>
            </w:r>
            <w:r>
              <w:rPr>
                <w:rFonts w:hint="eastAsia" w:ascii="仿宋_GB2312" w:hAnsi="Times New Roman" w:eastAsia="仿宋_GB2312" w:cs="Times New Roman"/>
                <w:b w:val="0"/>
                <w:i w:val="0"/>
                <w:caps w:val="0"/>
                <w:color w:val="333333"/>
                <w:spacing w:val="0"/>
                <w:kern w:val="2"/>
                <w:sz w:val="28"/>
                <w:szCs w:val="28"/>
                <w:highlight w:val="none"/>
                <w:lang w:val="en-US" w:eastAsia="zh-CN" w:bidi="ar"/>
              </w:rPr>
              <w:br w:type="textWrapping"/>
            </w:r>
            <w:r>
              <w:rPr>
                <w:rFonts w:hint="eastAsia" w:ascii="仿宋_GB2312" w:hAnsi="Times New Roman" w:eastAsia="仿宋_GB2312" w:cs="Times New Roman"/>
                <w:b w:val="0"/>
                <w:i w:val="0"/>
                <w:caps w:val="0"/>
                <w:color w:val="333333"/>
                <w:spacing w:val="0"/>
                <w:kern w:val="2"/>
                <w:sz w:val="28"/>
                <w:szCs w:val="28"/>
                <w:highlight w:val="none"/>
                <w:lang w:val="en-US" w:eastAsia="zh-CN" w:bidi="ar"/>
              </w:rPr>
              <w:t>人数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781"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kern w:val="2"/>
                <w:sz w:val="28"/>
                <w:szCs w:val="28"/>
                <w:highlight w:val="none"/>
                <w:lang w:val="en-US" w:eastAsia="zh-CN" w:bidi="ar"/>
              </w:rPr>
              <w:t>合计</w:t>
            </w:r>
          </w:p>
        </w:tc>
        <w:tc>
          <w:tcPr>
            <w:tcW w:w="227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p>
        </w:tc>
        <w:tc>
          <w:tcPr>
            <w:tcW w:w="7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sz w:val="28"/>
                <w:szCs w:val="28"/>
                <w:highlight w:val="none"/>
                <w:lang w:val="en-US" w:eastAsia="zh-CN" w:bidi="ar"/>
              </w:rPr>
              <w:t>46</w:t>
            </w:r>
          </w:p>
        </w:tc>
        <w:tc>
          <w:tcPr>
            <w:tcW w:w="92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Times New Roman" w:eastAsia="仿宋_GB2312" w:cs="Times New Roman"/>
                <w:b w:val="0"/>
                <w:i w:val="0"/>
                <w:caps w:val="0"/>
                <w:color w:val="333333"/>
                <w:spacing w:val="0"/>
                <w:sz w:val="28"/>
                <w:szCs w:val="28"/>
                <w:highlight w:val="none"/>
                <w:lang w:val="en-US" w:bidi="ar"/>
              </w:rPr>
            </w:pPr>
            <w:r>
              <w:rPr>
                <w:rFonts w:hint="eastAsia" w:ascii="仿宋_GB2312" w:eastAsia="仿宋_GB2312" w:cs="Times New Roman"/>
                <w:b w:val="0"/>
                <w:i w:val="0"/>
                <w:caps w:val="0"/>
                <w:color w:val="333333"/>
                <w:spacing w:val="0"/>
                <w:sz w:val="28"/>
                <w:szCs w:val="28"/>
                <w:highlight w:val="none"/>
                <w:lang w:val="en-US" w:eastAsia="zh-CN" w:bidi="ar"/>
              </w:rPr>
              <w:t>41</w:t>
            </w:r>
          </w:p>
        </w:tc>
        <w:tc>
          <w:tcPr>
            <w:tcW w:w="92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p>
        </w:tc>
        <w:tc>
          <w:tcPr>
            <w:tcW w:w="71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sz w:val="28"/>
                <w:szCs w:val="28"/>
                <w:highlight w:val="none"/>
                <w:lang w:val="en-US" w:eastAsia="zh-CN" w:bidi="ar"/>
              </w:rPr>
              <w:t>1</w:t>
            </w:r>
            <w:r>
              <w:rPr>
                <w:rFonts w:hint="eastAsia" w:ascii="仿宋_GB2312" w:eastAsia="仿宋_GB2312" w:cs="Times New Roman"/>
                <w:b w:val="0"/>
                <w:i w:val="0"/>
                <w:caps w:val="0"/>
                <w:color w:val="333333"/>
                <w:spacing w:val="0"/>
                <w:sz w:val="28"/>
                <w:szCs w:val="28"/>
                <w:highlight w:val="none"/>
                <w:lang w:val="en-US" w:eastAsia="zh-CN" w:bidi="ar"/>
              </w:rPr>
              <w:t>5</w:t>
            </w:r>
          </w:p>
        </w:tc>
        <w:tc>
          <w:tcPr>
            <w:tcW w:w="76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sz w:val="28"/>
                <w:szCs w:val="28"/>
                <w:highlight w:val="none"/>
                <w:lang w:val="en-US" w:eastAsia="zh-CN" w:bidi="ar"/>
              </w:rPr>
              <w:t>1</w:t>
            </w:r>
            <w:r>
              <w:rPr>
                <w:rFonts w:hint="eastAsia" w:ascii="仿宋_GB2312" w:eastAsia="仿宋_GB2312" w:cs="Times New Roman"/>
                <w:b w:val="0"/>
                <w:i w:val="0"/>
                <w:caps w:val="0"/>
                <w:color w:val="333333"/>
                <w:spacing w:val="0"/>
                <w:sz w:val="28"/>
                <w:szCs w:val="28"/>
                <w:highlight w:val="none"/>
                <w:lang w:val="en-US" w:eastAsia="zh-CN" w:bidi="ar"/>
              </w:rPr>
              <w:t>2</w:t>
            </w:r>
          </w:p>
        </w:tc>
        <w:tc>
          <w:tcPr>
            <w:tcW w:w="74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2" w:hRule="atLeast"/>
          <w:tblCellSpacing w:w="0" w:type="dxa"/>
        </w:trPr>
        <w:tc>
          <w:tcPr>
            <w:tcW w:w="1781"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kern w:val="2"/>
                <w:sz w:val="28"/>
                <w:szCs w:val="28"/>
                <w:highlight w:val="none"/>
                <w:lang w:val="en-US" w:eastAsia="zh-CN" w:bidi="ar"/>
              </w:rPr>
              <w:t>团市委</w:t>
            </w:r>
          </w:p>
        </w:tc>
        <w:tc>
          <w:tcPr>
            <w:tcW w:w="227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kern w:val="2"/>
                <w:sz w:val="28"/>
                <w:szCs w:val="28"/>
                <w:highlight w:val="none"/>
                <w:lang w:val="en-US" w:eastAsia="zh-CN" w:bidi="ar"/>
              </w:rPr>
              <w:t>行政</w:t>
            </w:r>
            <w:r>
              <w:rPr>
                <w:rFonts w:hint="eastAsia" w:ascii="仿宋_GB2312" w:eastAsia="仿宋_GB2312" w:cs="Times New Roman"/>
                <w:b w:val="0"/>
                <w:i w:val="0"/>
                <w:caps w:val="0"/>
                <w:color w:val="333333"/>
                <w:spacing w:val="0"/>
                <w:kern w:val="2"/>
                <w:sz w:val="28"/>
                <w:szCs w:val="28"/>
                <w:highlight w:val="none"/>
                <w:lang w:val="en-US" w:eastAsia="zh-CN" w:bidi="ar"/>
              </w:rPr>
              <w:t>机关</w:t>
            </w:r>
          </w:p>
        </w:tc>
        <w:tc>
          <w:tcPr>
            <w:tcW w:w="7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spacing w:val="0"/>
                <w:sz w:val="28"/>
                <w:szCs w:val="28"/>
                <w:highlight w:val="none"/>
                <w:lang w:val="en-US" w:eastAsia="zh-CN" w:bidi="ar"/>
              </w:rPr>
              <w:t>19</w:t>
            </w:r>
          </w:p>
        </w:tc>
        <w:tc>
          <w:tcPr>
            <w:tcW w:w="92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spacing w:val="0"/>
                <w:sz w:val="28"/>
                <w:szCs w:val="28"/>
                <w:highlight w:val="none"/>
                <w:lang w:val="en-US" w:eastAsia="zh-CN" w:bidi="ar"/>
              </w:rPr>
              <w:t>1</w:t>
            </w:r>
            <w:r>
              <w:rPr>
                <w:rFonts w:hint="eastAsia" w:ascii="仿宋_GB2312" w:eastAsia="仿宋_GB2312" w:cs="Times New Roman"/>
                <w:b w:val="0"/>
                <w:i w:val="0"/>
                <w:caps w:val="0"/>
                <w:spacing w:val="0"/>
                <w:sz w:val="28"/>
                <w:szCs w:val="28"/>
                <w:highlight w:val="none"/>
                <w:lang w:val="en-US" w:eastAsia="zh-CN" w:bidi="ar"/>
              </w:rPr>
              <w:t>8</w:t>
            </w:r>
          </w:p>
        </w:tc>
        <w:tc>
          <w:tcPr>
            <w:tcW w:w="92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p>
        </w:tc>
        <w:tc>
          <w:tcPr>
            <w:tcW w:w="71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p>
        </w:tc>
        <w:tc>
          <w:tcPr>
            <w:tcW w:w="76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p>
        </w:tc>
        <w:tc>
          <w:tcPr>
            <w:tcW w:w="74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781"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kern w:val="2"/>
                <w:sz w:val="28"/>
                <w:szCs w:val="28"/>
                <w:highlight w:val="none"/>
                <w:lang w:val="en-US" w:eastAsia="zh-CN" w:bidi="ar"/>
              </w:rPr>
              <w:t>市团校</w:t>
            </w:r>
          </w:p>
        </w:tc>
        <w:tc>
          <w:tcPr>
            <w:tcW w:w="227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kern w:val="2"/>
                <w:sz w:val="28"/>
                <w:szCs w:val="28"/>
                <w:highlight w:val="none"/>
                <w:lang w:val="en-US" w:eastAsia="zh-CN" w:bidi="ar"/>
              </w:rPr>
              <w:t>全额拨款事业单位</w:t>
            </w:r>
          </w:p>
        </w:tc>
        <w:tc>
          <w:tcPr>
            <w:tcW w:w="7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sz w:val="28"/>
                <w:szCs w:val="28"/>
                <w:highlight w:val="none"/>
                <w:lang w:val="en-US" w:eastAsia="zh-CN" w:bidi="ar"/>
              </w:rPr>
              <w:t>7</w:t>
            </w:r>
          </w:p>
        </w:tc>
        <w:tc>
          <w:tcPr>
            <w:tcW w:w="92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r>
              <w:rPr>
                <w:rFonts w:hint="eastAsia" w:ascii="仿宋_GB2312" w:eastAsia="仿宋_GB2312" w:cs="Times New Roman"/>
                <w:b w:val="0"/>
                <w:i w:val="0"/>
                <w:caps w:val="0"/>
                <w:color w:val="333333"/>
                <w:spacing w:val="0"/>
                <w:sz w:val="28"/>
                <w:szCs w:val="28"/>
                <w:highlight w:val="none"/>
                <w:lang w:val="en-US" w:eastAsia="zh-CN" w:bidi="ar"/>
              </w:rPr>
              <w:t>5</w:t>
            </w:r>
          </w:p>
        </w:tc>
        <w:tc>
          <w:tcPr>
            <w:tcW w:w="92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p>
        </w:tc>
        <w:tc>
          <w:tcPr>
            <w:tcW w:w="71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val="en-US" w:eastAsia="zh-CN" w:bidi="ar"/>
              </w:rPr>
            </w:pPr>
            <w:r>
              <w:rPr>
                <w:rFonts w:hint="eastAsia" w:ascii="仿宋_GB2312" w:eastAsia="仿宋_GB2312" w:cs="Times New Roman"/>
                <w:b w:val="0"/>
                <w:i w:val="0"/>
                <w:caps w:val="0"/>
                <w:color w:val="333333"/>
                <w:spacing w:val="0"/>
                <w:sz w:val="28"/>
                <w:szCs w:val="28"/>
                <w:highlight w:val="none"/>
                <w:lang w:val="en-US" w:eastAsia="zh-CN" w:bidi="ar"/>
              </w:rPr>
              <w:t>2</w:t>
            </w:r>
          </w:p>
        </w:tc>
        <w:tc>
          <w:tcPr>
            <w:tcW w:w="76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val="en-US" w:eastAsia="zh-CN" w:bidi="ar"/>
              </w:rPr>
            </w:pPr>
            <w:r>
              <w:rPr>
                <w:rFonts w:hint="eastAsia" w:ascii="仿宋_GB2312" w:eastAsia="仿宋_GB2312" w:cs="Times New Roman"/>
                <w:b w:val="0"/>
                <w:i w:val="0"/>
                <w:caps w:val="0"/>
                <w:color w:val="333333"/>
                <w:spacing w:val="0"/>
                <w:sz w:val="28"/>
                <w:szCs w:val="28"/>
                <w:highlight w:val="none"/>
                <w:lang w:val="en-US" w:eastAsia="zh-CN" w:bidi="ar"/>
              </w:rPr>
              <w:t>4</w:t>
            </w:r>
          </w:p>
        </w:tc>
        <w:tc>
          <w:tcPr>
            <w:tcW w:w="74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781"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kern w:val="2"/>
                <w:sz w:val="28"/>
                <w:szCs w:val="28"/>
                <w:highlight w:val="none"/>
                <w:lang w:val="en-US" w:eastAsia="zh-CN" w:bidi="ar"/>
              </w:rPr>
              <w:t>市青少年宫</w:t>
            </w:r>
          </w:p>
        </w:tc>
        <w:tc>
          <w:tcPr>
            <w:tcW w:w="227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kern w:val="2"/>
                <w:sz w:val="28"/>
                <w:szCs w:val="28"/>
                <w:highlight w:val="none"/>
                <w:lang w:val="en-US" w:eastAsia="zh-CN" w:bidi="ar"/>
              </w:rPr>
              <w:t>全额拨款事业单位</w:t>
            </w:r>
          </w:p>
        </w:tc>
        <w:tc>
          <w:tcPr>
            <w:tcW w:w="73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sz w:val="28"/>
                <w:szCs w:val="28"/>
                <w:highlight w:val="none"/>
                <w:lang w:val="en-US" w:eastAsia="zh-CN" w:bidi="ar"/>
              </w:rPr>
              <w:t>20</w:t>
            </w:r>
          </w:p>
        </w:tc>
        <w:tc>
          <w:tcPr>
            <w:tcW w:w="92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sz w:val="28"/>
                <w:szCs w:val="28"/>
                <w:highlight w:val="none"/>
                <w:lang w:val="en-US" w:eastAsia="zh-CN" w:bidi="ar"/>
              </w:rPr>
              <w:t>1</w:t>
            </w:r>
            <w:r>
              <w:rPr>
                <w:rFonts w:hint="eastAsia" w:ascii="仿宋_GB2312" w:eastAsia="仿宋_GB2312" w:cs="Times New Roman"/>
                <w:b w:val="0"/>
                <w:i w:val="0"/>
                <w:caps w:val="0"/>
                <w:color w:val="333333"/>
                <w:spacing w:val="0"/>
                <w:sz w:val="28"/>
                <w:szCs w:val="28"/>
                <w:highlight w:val="none"/>
                <w:lang w:val="en-US" w:eastAsia="zh-CN" w:bidi="ar"/>
              </w:rPr>
              <w:t>8</w:t>
            </w:r>
          </w:p>
        </w:tc>
        <w:tc>
          <w:tcPr>
            <w:tcW w:w="92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p>
        </w:tc>
        <w:tc>
          <w:tcPr>
            <w:tcW w:w="71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r>
              <w:rPr>
                <w:rFonts w:hint="eastAsia" w:ascii="仿宋_GB2312" w:hAnsi="Times New Roman" w:eastAsia="仿宋_GB2312" w:cs="Times New Roman"/>
                <w:b w:val="0"/>
                <w:i w:val="0"/>
                <w:caps w:val="0"/>
                <w:color w:val="333333"/>
                <w:spacing w:val="0"/>
                <w:sz w:val="28"/>
                <w:szCs w:val="28"/>
                <w:highlight w:val="none"/>
                <w:lang w:val="en-US" w:eastAsia="zh-CN" w:bidi="ar"/>
              </w:rPr>
              <w:t>1</w:t>
            </w:r>
            <w:r>
              <w:rPr>
                <w:rFonts w:hint="eastAsia" w:ascii="仿宋_GB2312" w:eastAsia="仿宋_GB2312" w:cs="Times New Roman"/>
                <w:b w:val="0"/>
                <w:i w:val="0"/>
                <w:caps w:val="0"/>
                <w:color w:val="333333"/>
                <w:spacing w:val="0"/>
                <w:sz w:val="28"/>
                <w:szCs w:val="28"/>
                <w:highlight w:val="none"/>
                <w:lang w:val="en-US" w:eastAsia="zh-CN" w:bidi="ar"/>
              </w:rPr>
              <w:t>3</w:t>
            </w:r>
          </w:p>
        </w:tc>
        <w:tc>
          <w:tcPr>
            <w:tcW w:w="764"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r>
              <w:rPr>
                <w:rFonts w:hint="eastAsia" w:ascii="仿宋_GB2312" w:eastAsia="仿宋_GB2312" w:cs="Times New Roman"/>
                <w:b w:val="0"/>
                <w:i w:val="0"/>
                <w:caps w:val="0"/>
                <w:color w:val="333333"/>
                <w:spacing w:val="0"/>
                <w:sz w:val="28"/>
                <w:szCs w:val="28"/>
                <w:highlight w:val="none"/>
                <w:lang w:val="en-US" w:eastAsia="zh-CN" w:bidi="ar"/>
              </w:rPr>
              <w:t>8</w:t>
            </w:r>
          </w:p>
        </w:tc>
        <w:tc>
          <w:tcPr>
            <w:tcW w:w="74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Times New Roman" w:eastAsia="仿宋_GB2312" w:cs="Times New Roman"/>
                <w:b w:val="0"/>
                <w:i w:val="0"/>
                <w:caps w:val="0"/>
                <w:color w:val="333333"/>
                <w:spacing w:val="0"/>
                <w:sz w:val="28"/>
                <w:szCs w:val="28"/>
                <w:highlight w:val="none"/>
                <w:lang w:bidi="ar"/>
              </w:rPr>
            </w:pPr>
          </w:p>
        </w:tc>
      </w:tr>
    </w:tbl>
    <w:p>
      <w:pPr>
        <w:jc w:val="both"/>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共青团柳州市委员会</w:t>
      </w:r>
      <w:r>
        <w:rPr>
          <w:rFonts w:hint="eastAsia" w:ascii="仿宋_GB2312" w:eastAsia="仿宋_GB2312"/>
          <w:b/>
          <w:sz w:val="32"/>
          <w:szCs w:val="32"/>
        </w:rPr>
        <w:t>2020年部门决算报表</w:t>
      </w:r>
    </w:p>
    <w:p>
      <w:pPr>
        <w:ind w:firstLine="0"/>
        <w:jc w:val="center"/>
        <w:rPr>
          <w:rFonts w:hint="eastAsia" w:ascii="仿宋_GB2312" w:eastAsia="仿宋_GB2312"/>
          <w:b/>
          <w:sz w:val="32"/>
          <w:szCs w:val="32"/>
          <w:lang w:eastAsia="zh-CN"/>
        </w:rPr>
      </w:pPr>
      <w:r>
        <w:rPr>
          <w:rFonts w:hint="eastAsia" w:ascii="仿宋_GB2312" w:eastAsia="仿宋_GB2312"/>
          <w:b/>
          <w:sz w:val="32"/>
          <w:szCs w:val="32"/>
          <w:lang w:eastAsia="zh-CN"/>
        </w:rPr>
        <w:t>详见附件</w:t>
      </w:r>
    </w:p>
    <w:p>
      <w:pPr>
        <w:spacing w:line="580" w:lineRule="exact"/>
        <w:rPr>
          <w:rFonts w:hint="eastAsia" w:ascii="仿宋_GB2312" w:eastAsia="仿宋_GB2312"/>
          <w:b/>
          <w:sz w:val="32"/>
          <w:szCs w:val="32"/>
        </w:rPr>
      </w:pPr>
    </w:p>
    <w:p>
      <w:pPr>
        <w:spacing w:line="580" w:lineRule="exact"/>
        <w:rPr>
          <w:rFonts w:hint="eastAsia" w:ascii="仿宋_GB2312" w:eastAsia="仿宋_GB2312"/>
          <w:b/>
          <w:sz w:val="32"/>
          <w:szCs w:val="32"/>
        </w:rPr>
      </w:pPr>
    </w:p>
    <w:p>
      <w:pPr>
        <w:spacing w:line="580" w:lineRule="exact"/>
        <w:jc w:val="center"/>
        <w:rPr>
          <w:rFonts w:ascii="仿宋_GB2312" w:eastAsia="仿宋_GB2312"/>
          <w:b/>
          <w:spacing w:val="-6"/>
          <w:sz w:val="32"/>
          <w:szCs w:val="32"/>
        </w:rPr>
      </w:pPr>
      <w:r>
        <w:rPr>
          <w:rFonts w:hint="eastAsia" w:ascii="仿宋_GB2312" w:eastAsia="仿宋_GB2312"/>
          <w:b/>
          <w:spacing w:val="-6"/>
          <w:sz w:val="32"/>
          <w:szCs w:val="32"/>
        </w:rPr>
        <w:t>第三部分：</w:t>
      </w:r>
      <w:r>
        <w:rPr>
          <w:rFonts w:hint="eastAsia" w:ascii="仿宋_GB2312" w:hAnsi="黑体" w:eastAsia="仿宋_GB2312"/>
          <w:b/>
          <w:bCs/>
          <w:color w:val="000000"/>
          <w:spacing w:val="-6"/>
          <w:sz w:val="32"/>
          <w:szCs w:val="32"/>
          <w:u w:val="none"/>
          <w:lang w:eastAsia="zh-CN"/>
        </w:rPr>
        <w:t>共青团柳州市委员会</w:t>
      </w:r>
      <w:r>
        <w:rPr>
          <w:rFonts w:hint="eastAsia" w:ascii="仿宋_GB2312" w:eastAsia="仿宋_GB2312"/>
          <w:b/>
          <w:spacing w:val="-6"/>
          <w:sz w:val="32"/>
          <w:szCs w:val="32"/>
        </w:rPr>
        <w:t>2020年度部门决算情况说明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2020年度收入总计1812.1</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万元，支出总计1812.1</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万元，与2019年相比，收、支分别增加</w:t>
      </w:r>
      <w:r>
        <w:rPr>
          <w:rFonts w:hint="eastAsia" w:ascii="仿宋_GB2312" w:eastAsia="仿宋_GB2312" w:cs="仿宋_GB2312"/>
          <w:bCs/>
          <w:kern w:val="0"/>
          <w:sz w:val="32"/>
          <w:szCs w:val="32"/>
          <w:lang w:val="en-US" w:eastAsia="zh-CN"/>
        </w:rPr>
        <w:t>103.59万元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6.06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left"/>
        <w:textAlignment w:val="auto"/>
        <w:rPr>
          <w:rFonts w:ascii="仿宋_GB2312" w:eastAsia="仿宋_GB2312" w:cs="仿宋_GB2312"/>
          <w:b/>
          <w:kern w:val="0"/>
          <w:sz w:val="32"/>
          <w:szCs w:val="32"/>
        </w:rPr>
      </w:pPr>
      <w:r>
        <w:rPr>
          <w:rFonts w:hint="eastAsia" w:ascii="仿宋_GB2312" w:eastAsia="仿宋_GB2312" w:cs="仿宋_GB2312"/>
          <w:bCs/>
          <w:kern w:val="0"/>
          <w:sz w:val="32"/>
          <w:szCs w:val="32"/>
        </w:rPr>
        <w:t>本年收入总计1812.1</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 ，其中：一般公共预算财政拨款收入1342.73万元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占比</w:t>
      </w:r>
      <w:r>
        <w:rPr>
          <w:rFonts w:hint="eastAsia" w:ascii="仿宋_GB2312" w:eastAsia="仿宋_GB2312" w:cs="仿宋_GB2312"/>
          <w:bCs/>
          <w:kern w:val="0"/>
          <w:sz w:val="32"/>
          <w:szCs w:val="32"/>
          <w:lang w:val="en-US" w:eastAsia="zh-CN"/>
        </w:rPr>
        <w:t>74.10%</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其他收入262.92万元，占比</w:t>
      </w:r>
      <w:r>
        <w:rPr>
          <w:rFonts w:hint="eastAsia" w:ascii="仿宋_GB2312" w:eastAsia="仿宋_GB2312" w:cs="仿宋_GB2312"/>
          <w:bCs/>
          <w:kern w:val="0"/>
          <w:sz w:val="32"/>
          <w:szCs w:val="32"/>
          <w:lang w:val="en-US" w:eastAsia="zh-CN"/>
        </w:rPr>
        <w:t>14.51%</w:t>
      </w:r>
      <w:r>
        <w:rPr>
          <w:rFonts w:hint="eastAsia" w:ascii="仿宋_GB2312" w:eastAsia="仿宋_GB2312" w:cs="仿宋_GB2312"/>
          <w:bCs/>
          <w:kern w:val="0"/>
          <w:sz w:val="32"/>
          <w:szCs w:val="32"/>
          <w:lang w:eastAsia="zh-CN"/>
        </w:rPr>
        <w:t>；</w:t>
      </w:r>
      <w:r>
        <w:rPr>
          <w:rFonts w:hint="eastAsia" w:ascii="仿宋_GB2312" w:eastAsia="仿宋_GB2312" w:cs="仿宋_GB2312"/>
          <w:b w:val="0"/>
          <w:bCs/>
          <w:kern w:val="0"/>
          <w:sz w:val="32"/>
          <w:szCs w:val="32"/>
          <w:lang w:eastAsia="zh-CN"/>
        </w:rPr>
        <w:t>年初结转和结余206.44</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11.39%</w:t>
      </w:r>
      <w:r>
        <w:rPr>
          <w:rFonts w:hint="eastAsia" w:ascii="仿宋_GB2312" w:eastAsia="仿宋_GB2312" w:cs="仿宋_GB2312"/>
          <w:b w:val="0"/>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left"/>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本年支出合计1668.84万元，其中：基本支出803.53万元，占</w:t>
      </w:r>
      <w:r>
        <w:rPr>
          <w:rFonts w:hint="eastAsia" w:ascii="仿宋_GB2312" w:eastAsia="仿宋_GB2312" w:cs="仿宋_GB2312"/>
          <w:bCs/>
          <w:kern w:val="0"/>
          <w:sz w:val="32"/>
          <w:szCs w:val="32"/>
          <w:lang w:val="en-US" w:eastAsia="zh-CN"/>
        </w:rPr>
        <w:t>48.15</w:t>
      </w:r>
      <w:r>
        <w:rPr>
          <w:rFonts w:hint="eastAsia" w:ascii="仿宋_GB2312" w:eastAsia="仿宋_GB2312" w:cs="仿宋_GB2312"/>
          <w:bCs/>
          <w:kern w:val="0"/>
          <w:sz w:val="32"/>
          <w:szCs w:val="32"/>
        </w:rPr>
        <w:t>%；项目支出865.31万元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51.85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本部门2020年度财政拨款收、支总决算1450.39万元、1450.39万元。与2019年相比，财政拨款收、支总计各增加</w:t>
      </w:r>
      <w:r>
        <w:rPr>
          <w:rFonts w:hint="eastAsia" w:ascii="仿宋_GB2312" w:eastAsia="仿宋_GB2312" w:cs="仿宋_GB2312"/>
          <w:bCs/>
          <w:kern w:val="0"/>
          <w:sz w:val="32"/>
          <w:szCs w:val="32"/>
          <w:lang w:val="en-US" w:eastAsia="zh-CN"/>
        </w:rPr>
        <w:t>141.23</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10.79</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3" w:firstLineChars="200"/>
        <w:jc w:val="left"/>
        <w:textAlignment w:val="auto"/>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部门2020年度财政拨款支出1414.86万元，占本年支出合计的</w:t>
      </w:r>
      <w:r>
        <w:rPr>
          <w:rFonts w:hint="eastAsia" w:ascii="仿宋_GB2312" w:eastAsia="仿宋_GB2312" w:cs="仿宋_GB2312"/>
          <w:bCs/>
          <w:kern w:val="0"/>
          <w:sz w:val="32"/>
          <w:szCs w:val="32"/>
          <w:lang w:val="en-US" w:eastAsia="zh-CN"/>
        </w:rPr>
        <w:t>84.78</w:t>
      </w:r>
      <w:r>
        <w:rPr>
          <w:rFonts w:hint="eastAsia" w:ascii="仿宋_GB2312" w:eastAsia="仿宋_GB2312" w:cs="仿宋_GB2312"/>
          <w:bCs/>
          <w:kern w:val="0"/>
          <w:sz w:val="32"/>
          <w:szCs w:val="32"/>
        </w:rPr>
        <w:t>%。与2019年相比，财政拨款支出</w:t>
      </w:r>
      <w:r>
        <w:rPr>
          <w:rFonts w:hint="eastAsia" w:ascii="仿宋_GB2312" w:eastAsia="仿宋_GB2312" w:cs="仿宋_GB2312"/>
          <w:bCs/>
          <w:kern w:val="0"/>
          <w:sz w:val="32"/>
          <w:szCs w:val="32"/>
          <w:lang w:eastAsia="zh-CN"/>
        </w:rPr>
        <w:t>增</w:t>
      </w:r>
      <w:r>
        <w:rPr>
          <w:rFonts w:hint="eastAsia" w:ascii="仿宋_GB2312" w:eastAsia="仿宋_GB2312" w:cs="仿宋_GB2312"/>
          <w:bCs/>
          <w:kern w:val="0"/>
          <w:sz w:val="32"/>
          <w:szCs w:val="32"/>
          <w:lang w:val="en-US" w:eastAsia="zh-CN"/>
        </w:rPr>
        <w:t>加222.64</w:t>
      </w:r>
      <w:r>
        <w:rPr>
          <w:rFonts w:hint="eastAsia" w:ascii="仿宋_GB2312" w:eastAsia="仿宋_GB2312" w:cs="仿宋_GB2312"/>
          <w:bCs/>
          <w:kern w:val="0"/>
          <w:sz w:val="32"/>
          <w:szCs w:val="32"/>
        </w:rPr>
        <w:t>万元，增</w:t>
      </w:r>
      <w:r>
        <w:rPr>
          <w:rFonts w:hint="eastAsia" w:ascii="仿宋_GB2312" w:eastAsia="仿宋_GB2312" w:cs="仿宋_GB2312"/>
          <w:bCs/>
          <w:kern w:val="0"/>
          <w:sz w:val="32"/>
          <w:szCs w:val="32"/>
          <w:lang w:eastAsia="zh-CN"/>
        </w:rPr>
        <w:t>长</w:t>
      </w:r>
      <w:r>
        <w:rPr>
          <w:rFonts w:hint="eastAsia" w:ascii="仿宋_GB2312" w:eastAsia="仿宋_GB2312" w:cs="仿宋_GB2312"/>
          <w:bCs/>
          <w:kern w:val="0"/>
          <w:sz w:val="32"/>
          <w:szCs w:val="32"/>
          <w:lang w:val="en-US" w:eastAsia="zh-CN"/>
        </w:rPr>
        <w:t>18.67</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2020年度财政拨款支出1414.86万元，主要用于以下方面：一般公共服务（类）支出1200.32万元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84.84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社</w:t>
      </w:r>
      <w:r>
        <w:rPr>
          <w:rFonts w:hint="eastAsia" w:ascii="仿宋_GB2312" w:eastAsia="仿宋_GB2312" w:cs="仿宋_GB2312"/>
          <w:bCs/>
          <w:kern w:val="0"/>
          <w:sz w:val="32"/>
          <w:szCs w:val="32"/>
        </w:rPr>
        <w:t>会保障和就业（类）支出</w:t>
      </w:r>
      <w:r>
        <w:rPr>
          <w:rFonts w:hint="eastAsia" w:ascii="仿宋_GB2312" w:eastAsia="仿宋_GB2312" w:cs="仿宋_GB2312"/>
          <w:bCs/>
          <w:kern w:val="0"/>
          <w:sz w:val="32"/>
          <w:szCs w:val="32"/>
          <w:lang w:val="en-US" w:eastAsia="zh-CN"/>
        </w:rPr>
        <w:t>104.99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7.42</w:t>
      </w:r>
      <w:r>
        <w:rPr>
          <w:rFonts w:hint="eastAsia" w:ascii="仿宋_GB2312" w:eastAsia="仿宋_GB2312" w:cs="仿宋_GB2312"/>
          <w:bCs/>
          <w:kern w:val="0"/>
          <w:sz w:val="32"/>
          <w:szCs w:val="32"/>
        </w:rPr>
        <w:t>%；卫生健康（类） 支出</w:t>
      </w:r>
      <w:r>
        <w:rPr>
          <w:rFonts w:hint="eastAsia" w:ascii="仿宋_GB2312" w:eastAsia="仿宋_GB2312" w:cs="仿宋_GB2312"/>
          <w:bCs/>
          <w:kern w:val="0"/>
          <w:sz w:val="32"/>
          <w:szCs w:val="32"/>
          <w:lang w:val="en-US" w:eastAsia="zh-CN"/>
        </w:rPr>
        <w:t>51.20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3.62</w:t>
      </w:r>
      <w:r>
        <w:rPr>
          <w:rFonts w:hint="eastAsia" w:ascii="仿宋_GB2312" w:eastAsia="仿宋_GB2312" w:cs="仿宋_GB2312"/>
          <w:bCs/>
          <w:kern w:val="0"/>
          <w:sz w:val="32"/>
          <w:szCs w:val="32"/>
        </w:rPr>
        <w:t>%；住房保障（类）支出58.34万元，占</w:t>
      </w:r>
      <w:r>
        <w:rPr>
          <w:rFonts w:hint="eastAsia" w:ascii="仿宋_GB2312" w:eastAsia="仿宋_GB2312" w:cs="仿宋_GB2312"/>
          <w:bCs/>
          <w:kern w:val="0"/>
          <w:sz w:val="32"/>
          <w:szCs w:val="32"/>
          <w:lang w:val="en-US" w:eastAsia="zh-CN"/>
        </w:rPr>
        <w:t>4.12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left"/>
        <w:textAlignment w:val="auto"/>
        <w:rPr>
          <w:rFonts w:ascii="仿宋_GB2312" w:eastAsia="仿宋_GB2312" w:cs="仿宋_GB2312"/>
          <w:bCs/>
          <w:kern w:val="0"/>
          <w:sz w:val="32"/>
          <w:szCs w:val="32"/>
          <w:highlight w:val="none"/>
        </w:rPr>
      </w:pPr>
      <w:r>
        <w:rPr>
          <w:rFonts w:hint="eastAsia" w:ascii="仿宋_GB2312" w:eastAsia="仿宋_GB2312" w:cs="仿宋_GB2312"/>
          <w:bCs/>
          <w:kern w:val="0"/>
          <w:sz w:val="32"/>
          <w:szCs w:val="32"/>
        </w:rPr>
        <w:t xml:space="preserve"> 2020年度财政拨款支出年初预算为</w:t>
      </w:r>
      <w:r>
        <w:rPr>
          <w:rFonts w:hint="eastAsia" w:ascii="仿宋_GB2312" w:eastAsia="仿宋_GB2312" w:cs="仿宋_GB2312"/>
          <w:bCs/>
          <w:kern w:val="0"/>
          <w:sz w:val="32"/>
          <w:szCs w:val="32"/>
          <w:lang w:val="en-US" w:eastAsia="zh-CN"/>
        </w:rPr>
        <w:t>1228.63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1414.86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115.16</w:t>
      </w:r>
      <w:r>
        <w:rPr>
          <w:rFonts w:hint="eastAsia" w:ascii="仿宋_GB2312" w:eastAsia="仿宋_GB2312" w:cs="仿宋_GB2312"/>
          <w:bCs/>
          <w:kern w:val="0"/>
          <w:sz w:val="32"/>
          <w:szCs w:val="32"/>
        </w:rPr>
        <w:t>%。决算数大于预算数的主要原因：一是年中追加安排财政拨款支出预算，涉及项目有</w:t>
      </w:r>
      <w:r>
        <w:rPr>
          <w:rFonts w:hint="eastAsia" w:ascii="仿宋_GB2312" w:eastAsia="仿宋_GB2312" w:cs="仿宋_GB2312"/>
          <w:bCs/>
          <w:kern w:val="0"/>
          <w:sz w:val="32"/>
          <w:szCs w:val="32"/>
          <w:lang w:val="en-US" w:eastAsia="zh-CN"/>
        </w:rPr>
        <w:t>2020年全区村两委干部大培训经费等</w:t>
      </w:r>
      <w:r>
        <w:rPr>
          <w:rFonts w:hint="eastAsia" w:ascii="仿宋_GB2312" w:eastAsia="仿宋_GB2312" w:cs="仿宋_GB2312"/>
          <w:bCs/>
          <w:kern w:val="0"/>
          <w:sz w:val="32"/>
          <w:szCs w:val="32"/>
        </w:rPr>
        <w:t>；二是部分支出按规定，通过使用以前年度财政拨款结转资金解决</w:t>
      </w:r>
      <w:r>
        <w:rPr>
          <w:rFonts w:hint="eastAsia" w:ascii="仿宋_GB2312" w:eastAsia="仿宋_GB2312" w:cs="仿宋_GB2312"/>
          <w:bCs/>
          <w:kern w:val="0"/>
          <w:sz w:val="32"/>
          <w:szCs w:val="32"/>
          <w:highlight w:val="none"/>
        </w:rPr>
        <w:t>。其中：</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rPr>
        <w:t>1.一般公共服务（类）群众团体事务（款）行政运行（项）。 年初预算为</w:t>
      </w:r>
      <w:r>
        <w:rPr>
          <w:rFonts w:hint="eastAsia" w:ascii="仿宋_GB2312" w:eastAsia="仿宋_GB2312" w:cs="仿宋_GB2312"/>
          <w:bCs/>
          <w:kern w:val="0"/>
          <w:sz w:val="32"/>
          <w:szCs w:val="32"/>
          <w:lang w:val="en-US" w:eastAsia="zh-CN"/>
        </w:rPr>
        <w:t>214.84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286.58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133.39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highlight w:val="none"/>
        </w:rPr>
        <w:t>。决算数大于预算数的主要原因是</w:t>
      </w:r>
      <w:r>
        <w:rPr>
          <w:rFonts w:hint="eastAsia" w:ascii="仿宋_GB2312" w:eastAsia="仿宋_GB2312" w:cs="仿宋_GB2312"/>
          <w:bCs/>
          <w:kern w:val="0"/>
          <w:sz w:val="32"/>
          <w:szCs w:val="32"/>
          <w:highlight w:val="none"/>
          <w:lang w:eastAsia="zh-CN"/>
        </w:rPr>
        <w:t>绩效考评奖励和增人增资变动发放等。</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rPr>
        <w:t>2.一般公共服务（类）群众团体事务（款）一般行政管理事务（项）。年初预算为</w:t>
      </w:r>
      <w:r>
        <w:rPr>
          <w:rFonts w:hint="eastAsia" w:ascii="仿宋_GB2312" w:eastAsia="仿宋_GB2312" w:cs="仿宋_GB2312"/>
          <w:bCs/>
          <w:kern w:val="0"/>
          <w:sz w:val="32"/>
          <w:szCs w:val="32"/>
          <w:lang w:val="en-US" w:eastAsia="zh-CN"/>
        </w:rPr>
        <w:t>240.70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227.14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94.37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小</w:t>
      </w:r>
      <w:r>
        <w:rPr>
          <w:rFonts w:hint="eastAsia" w:ascii="仿宋_GB2312" w:eastAsia="仿宋_GB2312" w:cs="仿宋_GB2312"/>
          <w:bCs/>
          <w:kern w:val="0"/>
          <w:sz w:val="32"/>
          <w:szCs w:val="32"/>
          <w:highlight w:val="none"/>
        </w:rPr>
        <w:t>于预算数的主要原因</w:t>
      </w:r>
      <w:r>
        <w:rPr>
          <w:rFonts w:hint="eastAsia" w:ascii="仿宋_GB2312" w:eastAsia="仿宋_GB2312" w:cs="仿宋_GB2312"/>
          <w:bCs/>
          <w:kern w:val="0"/>
          <w:sz w:val="32"/>
          <w:szCs w:val="32"/>
          <w:highlight w:val="none"/>
          <w:lang w:eastAsia="zh-CN"/>
        </w:rPr>
        <w:t>一</w:t>
      </w:r>
      <w:r>
        <w:rPr>
          <w:rFonts w:hint="eastAsia" w:ascii="仿宋_GB2312" w:eastAsia="仿宋_GB2312" w:cs="仿宋_GB2312"/>
          <w:bCs/>
          <w:kern w:val="0"/>
          <w:sz w:val="32"/>
          <w:szCs w:val="32"/>
          <w:highlight w:val="none"/>
        </w:rPr>
        <w:t>是</w:t>
      </w:r>
      <w:r>
        <w:rPr>
          <w:rFonts w:hint="eastAsia" w:ascii="仿宋_GB2312" w:eastAsia="仿宋_GB2312" w:cs="仿宋_GB2312"/>
          <w:bCs/>
          <w:kern w:val="0"/>
          <w:sz w:val="32"/>
          <w:szCs w:val="32"/>
          <w:highlight w:val="none"/>
          <w:lang w:eastAsia="zh-CN"/>
        </w:rPr>
        <w:t>2</w:t>
      </w:r>
      <w:r>
        <w:rPr>
          <w:rFonts w:hint="eastAsia" w:ascii="仿宋_GB2312" w:eastAsia="仿宋_GB2312" w:cs="仿宋_GB2312"/>
          <w:bCs/>
          <w:kern w:val="0"/>
          <w:sz w:val="32"/>
          <w:szCs w:val="32"/>
          <w:highlight w:val="none"/>
          <w:lang w:val="en-US" w:eastAsia="zh-CN"/>
        </w:rPr>
        <w:t>020年的政府购买服务项目未结束，部分资金待2021年项目完成后支付；二是2020年压减了项目经费</w:t>
      </w:r>
      <w:r>
        <w:rPr>
          <w:rFonts w:hint="eastAsia" w:ascii="仿宋_GB2312" w:eastAsia="仿宋_GB2312" w:cs="仿宋_GB2312"/>
          <w:bCs/>
          <w:kern w:val="0"/>
          <w:sz w:val="32"/>
          <w:szCs w:val="32"/>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bCs/>
          <w:kern w:val="0"/>
          <w:sz w:val="30"/>
          <w:szCs w:val="30"/>
          <w:highlight w:val="yellow"/>
        </w:rPr>
      </w:pPr>
      <w:r>
        <w:rPr>
          <w:rFonts w:hint="eastAsia" w:ascii="仿宋_GB2312" w:eastAsia="仿宋_GB2312" w:cs="仿宋_GB2312"/>
          <w:bCs/>
          <w:kern w:val="0"/>
          <w:sz w:val="32"/>
          <w:szCs w:val="32"/>
        </w:rPr>
        <w:t>3.一般公共服务（类）群众团体事务（款）事业运行（项）。年初预算为</w:t>
      </w:r>
      <w:r>
        <w:rPr>
          <w:rFonts w:hint="eastAsia" w:ascii="仿宋_GB2312" w:eastAsia="仿宋_GB2312" w:cs="仿宋_GB2312"/>
          <w:bCs/>
          <w:kern w:val="0"/>
          <w:sz w:val="32"/>
          <w:szCs w:val="32"/>
          <w:lang w:val="en-US" w:eastAsia="zh-CN"/>
        </w:rPr>
        <w:t>241.84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317.94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131.47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eastAsia="zh-CN"/>
        </w:rPr>
        <w:t>绩效工资总量和人员经费的增加、伙食补贴发放和上年度结转资金使用等。</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一般公共服务（类）群众团体事务（款）其他群众团体事务支出（项）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345.59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350.91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101.54</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研学、教学宣传制作和推广费用增加，</w:t>
      </w:r>
      <w:r>
        <w:rPr>
          <w:rFonts w:hint="eastAsia" w:ascii="仿宋_GB2312" w:eastAsia="仿宋_GB2312" w:cs="仿宋_GB2312"/>
          <w:bCs/>
          <w:kern w:val="0"/>
          <w:sz w:val="32"/>
          <w:szCs w:val="32"/>
          <w:highlight w:val="none"/>
          <w:lang w:eastAsia="zh-CN"/>
        </w:rPr>
        <w:t>上年度结转资金使用等</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一般公共服务（类）其他一般公共服务支出（款）其他一般公共服务支出（项）。年初预算为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万元，支出决算为17.76万元。</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rPr>
        <w:t>年中安排</w:t>
      </w:r>
      <w:r>
        <w:rPr>
          <w:rFonts w:hint="eastAsia" w:ascii="仿宋_GB2312" w:eastAsia="仿宋_GB2312" w:cs="仿宋_GB2312"/>
          <w:bCs/>
          <w:kern w:val="0"/>
          <w:sz w:val="32"/>
          <w:szCs w:val="32"/>
          <w:lang w:val="en-US" w:eastAsia="zh-CN"/>
        </w:rPr>
        <w:t>2020年全区村两委干部大培训经费</w:t>
      </w:r>
      <w:r>
        <w:rPr>
          <w:rFonts w:hint="eastAsia" w:ascii="仿宋_GB2312" w:eastAsia="仿宋_GB2312" w:cs="仿宋_GB2312"/>
          <w:bCs/>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社会保障和就业支出（类）行政事业单位养老支出（款）行政单位离退休（项）。年初预算为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val="en-US" w:eastAsia="zh-CN"/>
        </w:rPr>
        <w:t>2020年度新增</w:t>
      </w:r>
      <w:r>
        <w:rPr>
          <w:rFonts w:hint="eastAsia" w:ascii="仿宋_GB2312" w:eastAsia="仿宋_GB2312" w:cs="仿宋_GB2312"/>
          <w:bCs/>
          <w:kern w:val="0"/>
          <w:sz w:val="32"/>
          <w:szCs w:val="32"/>
          <w:highlight w:val="none"/>
          <w:lang w:eastAsia="zh-CN"/>
        </w:rPr>
        <w:t>退休人员</w:t>
      </w:r>
      <w:r>
        <w:rPr>
          <w:rFonts w:hint="eastAsia" w:ascii="仿宋_GB2312" w:eastAsia="仿宋_GB2312" w:cs="仿宋_GB2312"/>
          <w:bCs/>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社会保障和就业支出（类）行政事业单位养老支出（款）事业单位离退休（项）。年初预算为</w:t>
      </w:r>
      <w:r>
        <w:rPr>
          <w:rFonts w:hint="eastAsia" w:ascii="仿宋_GB2312" w:eastAsia="仿宋_GB2312" w:cs="仿宋_GB2312"/>
          <w:bCs/>
          <w:kern w:val="0"/>
          <w:sz w:val="32"/>
          <w:szCs w:val="32"/>
          <w:lang w:val="en-US" w:eastAsia="zh-CN"/>
        </w:rPr>
        <w:t>10.51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10.51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持平</w:t>
      </w:r>
      <w:r>
        <w:rPr>
          <w:rFonts w:hint="eastAsia" w:ascii="仿宋_GB2312" w:eastAsia="仿宋_GB2312" w:cs="仿宋_GB2312"/>
          <w:bCs/>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社会保障和就业支出（类）行政事业单位养老支出（款）机关事业单位基本养老保险缴费支出（项）。年初预算为</w:t>
      </w:r>
      <w:r>
        <w:rPr>
          <w:rFonts w:hint="eastAsia" w:ascii="仿宋_GB2312" w:eastAsia="仿宋_GB2312" w:cs="仿宋_GB2312"/>
          <w:bCs/>
          <w:kern w:val="0"/>
          <w:sz w:val="32"/>
          <w:szCs w:val="32"/>
          <w:highlight w:val="none"/>
          <w:lang w:val="en-US" w:eastAsia="zh-CN"/>
        </w:rPr>
        <w:t>61.49</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62.04万</w:t>
      </w:r>
      <w:r>
        <w:rPr>
          <w:rFonts w:hint="eastAsia" w:ascii="仿宋_GB2312" w:eastAsia="仿宋_GB2312" w:cs="仿宋_GB2312"/>
          <w:bCs/>
          <w:kern w:val="0"/>
          <w:sz w:val="32"/>
          <w:szCs w:val="32"/>
          <w:highlight w:val="none"/>
        </w:rPr>
        <w:t>元，完成年初预算的</w:t>
      </w:r>
      <w:r>
        <w:rPr>
          <w:rFonts w:hint="eastAsia" w:ascii="仿宋_GB2312" w:eastAsia="仿宋_GB2312" w:cs="仿宋_GB2312"/>
          <w:bCs/>
          <w:kern w:val="0"/>
          <w:sz w:val="32"/>
          <w:szCs w:val="32"/>
          <w:highlight w:val="none"/>
          <w:lang w:val="en-US" w:eastAsia="zh-CN"/>
        </w:rPr>
        <w:t>100.89</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预算数的主要原因是</w:t>
      </w:r>
      <w:r>
        <w:rPr>
          <w:rFonts w:hint="eastAsia" w:ascii="仿宋_GB2312" w:eastAsia="仿宋_GB2312" w:cs="仿宋_GB2312"/>
          <w:bCs/>
          <w:kern w:val="0"/>
          <w:sz w:val="32"/>
          <w:szCs w:val="32"/>
          <w:highlight w:val="none"/>
          <w:lang w:val="en-US" w:eastAsia="zh-CN"/>
        </w:rPr>
        <w:t>2020年度</w:t>
      </w:r>
      <w:r>
        <w:rPr>
          <w:rFonts w:hint="eastAsia" w:ascii="仿宋_GB2312" w:eastAsia="仿宋_GB2312" w:cs="仿宋_GB2312"/>
          <w:bCs/>
          <w:kern w:val="0"/>
          <w:sz w:val="32"/>
          <w:szCs w:val="32"/>
        </w:rPr>
        <w:t>机关事业单位基本养老保险缴费</w:t>
      </w:r>
      <w:r>
        <w:rPr>
          <w:rFonts w:hint="eastAsia" w:ascii="仿宋_GB2312" w:eastAsia="仿宋_GB2312" w:cs="仿宋_GB2312"/>
          <w:bCs/>
          <w:kern w:val="0"/>
          <w:sz w:val="32"/>
          <w:szCs w:val="32"/>
          <w:highlight w:val="none"/>
          <w:lang w:eastAsia="zh-CN"/>
        </w:rPr>
        <w:t>基数提高</w:t>
      </w:r>
      <w:r>
        <w:rPr>
          <w:rFonts w:hint="eastAsia" w:ascii="仿宋_GB2312" w:eastAsia="仿宋_GB2312" w:cs="仿宋_GB2312"/>
          <w:bCs/>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社会保障和就业支出（类）行政事业单位养老支出（款）机关事业单位职业年金缴费支出（项）。年初预算为</w:t>
      </w:r>
      <w:r>
        <w:rPr>
          <w:rFonts w:hint="eastAsia" w:ascii="仿宋_GB2312" w:eastAsia="仿宋_GB2312" w:cs="仿宋_GB2312"/>
          <w:bCs/>
          <w:kern w:val="0"/>
          <w:sz w:val="32"/>
          <w:szCs w:val="32"/>
          <w:highlight w:val="none"/>
          <w:lang w:val="en-US" w:eastAsia="zh-CN"/>
        </w:rPr>
        <w:t>30.75</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29.44万</w:t>
      </w:r>
      <w:r>
        <w:rPr>
          <w:rFonts w:hint="eastAsia" w:ascii="仿宋_GB2312" w:eastAsia="仿宋_GB2312" w:cs="仿宋_GB2312"/>
          <w:bCs/>
          <w:kern w:val="0"/>
          <w:sz w:val="32"/>
          <w:szCs w:val="32"/>
          <w:highlight w:val="none"/>
        </w:rPr>
        <w:t>元，完成年初预算的</w:t>
      </w:r>
      <w:r>
        <w:rPr>
          <w:rFonts w:hint="eastAsia" w:ascii="仿宋_GB2312" w:eastAsia="仿宋_GB2312" w:cs="仿宋_GB2312"/>
          <w:bCs/>
          <w:kern w:val="0"/>
          <w:sz w:val="32"/>
          <w:szCs w:val="32"/>
          <w:highlight w:val="none"/>
          <w:lang w:val="en-US" w:eastAsia="zh-CN"/>
        </w:rPr>
        <w:t>95.74</w:t>
      </w:r>
      <w:r>
        <w:rPr>
          <w:rFonts w:hint="eastAsia" w:ascii="仿宋_GB2312" w:eastAsia="仿宋_GB2312" w:cs="仿宋_GB2312"/>
          <w:bCs/>
          <w:kern w:val="0"/>
          <w:sz w:val="32"/>
          <w:szCs w:val="32"/>
          <w:highlight w:val="none"/>
        </w:rPr>
        <w:t>%。决算数小于预算数的主要原因是</w:t>
      </w:r>
      <w:r>
        <w:rPr>
          <w:rFonts w:hint="eastAsia" w:ascii="仿宋_GB2312" w:eastAsia="仿宋_GB2312" w:cs="仿宋_GB2312"/>
          <w:bCs/>
          <w:kern w:val="0"/>
          <w:sz w:val="32"/>
          <w:szCs w:val="32"/>
          <w:highlight w:val="none"/>
          <w:lang w:eastAsia="zh-CN"/>
        </w:rPr>
        <w:t>退休人员增加造成</w:t>
      </w:r>
      <w:r>
        <w:rPr>
          <w:rFonts w:hint="eastAsia" w:ascii="仿宋_GB2312" w:eastAsia="仿宋_GB2312" w:cs="仿宋_GB2312"/>
          <w:bCs/>
          <w:kern w:val="0"/>
          <w:sz w:val="32"/>
          <w:szCs w:val="32"/>
        </w:rPr>
        <w:t>职业年金</w:t>
      </w:r>
      <w:r>
        <w:rPr>
          <w:rFonts w:hint="eastAsia" w:ascii="仿宋_GB2312" w:eastAsia="仿宋_GB2312" w:cs="仿宋_GB2312"/>
          <w:bCs/>
          <w:kern w:val="0"/>
          <w:sz w:val="32"/>
          <w:szCs w:val="32"/>
          <w:highlight w:val="none"/>
          <w:lang w:eastAsia="zh-CN"/>
        </w:rPr>
        <w:t>费用减少</w:t>
      </w:r>
      <w:r>
        <w:rPr>
          <w:rFonts w:hint="eastAsia" w:ascii="仿宋_GB2312" w:eastAsia="仿宋_GB2312" w:cs="仿宋_GB2312"/>
          <w:bCs/>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10.</w:t>
      </w:r>
      <w:r>
        <w:rPr>
          <w:rFonts w:hint="eastAsia" w:ascii="仿宋_GB2312" w:eastAsia="仿宋_GB2312" w:cs="仿宋_GB2312"/>
          <w:bCs/>
          <w:kern w:val="0"/>
          <w:sz w:val="32"/>
          <w:szCs w:val="32"/>
        </w:rPr>
        <w:t>卫生健康支出（类）公共卫生（款）重大公共卫生服务（项）。年初预算为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10万</w:t>
      </w:r>
      <w:r>
        <w:rPr>
          <w:rFonts w:hint="eastAsia" w:ascii="仿宋_GB2312" w:eastAsia="仿宋_GB2312" w:cs="仿宋_GB2312"/>
          <w:bCs/>
          <w:kern w:val="0"/>
          <w:sz w:val="32"/>
          <w:szCs w:val="32"/>
          <w:highlight w:val="none"/>
        </w:rPr>
        <w:t>元。决算数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预算数的主要原因是</w:t>
      </w:r>
      <w:r>
        <w:rPr>
          <w:rFonts w:hint="eastAsia" w:ascii="仿宋_GB2312" w:eastAsia="仿宋_GB2312" w:cs="仿宋_GB2312"/>
          <w:bCs/>
          <w:kern w:val="0"/>
          <w:sz w:val="32"/>
          <w:szCs w:val="32"/>
          <w:highlight w:val="none"/>
          <w:lang w:val="en-US" w:eastAsia="zh-CN"/>
        </w:rPr>
        <w:t>2019年重大公共卫生服务项目在2020年度结项，费用在2020年度列支</w:t>
      </w:r>
      <w:r>
        <w:rPr>
          <w:rFonts w:hint="eastAsia" w:ascii="仿宋_GB2312" w:eastAsia="仿宋_GB2312" w:cs="仿宋_GB2312"/>
          <w:bCs/>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lang w:val="en-US" w:eastAsia="zh-CN"/>
        </w:rPr>
        <w:t>11.</w:t>
      </w:r>
      <w:r>
        <w:rPr>
          <w:rFonts w:hint="eastAsia" w:ascii="仿宋_GB2312" w:eastAsia="仿宋_GB2312" w:cs="仿宋_GB2312"/>
          <w:bCs/>
          <w:kern w:val="0"/>
          <w:sz w:val="32"/>
          <w:szCs w:val="32"/>
        </w:rPr>
        <w:t>卫生健康</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（类）行政事业单位医疗（款）行政单位医疗（项）。年初预算为13.57万元，支出决算为14.63万元，完成年初预算的</w:t>
      </w:r>
      <w:r>
        <w:rPr>
          <w:rFonts w:hint="eastAsia" w:ascii="仿宋_GB2312" w:eastAsia="仿宋_GB2312" w:cs="仿宋_GB2312"/>
          <w:bCs/>
          <w:kern w:val="0"/>
          <w:sz w:val="32"/>
          <w:szCs w:val="32"/>
          <w:lang w:val="en-US" w:eastAsia="zh-CN"/>
        </w:rPr>
        <w:t>107.81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预算数的主要原因是</w:t>
      </w:r>
      <w:r>
        <w:rPr>
          <w:rFonts w:hint="eastAsia" w:ascii="仿宋_GB2312" w:eastAsia="仿宋_GB2312" w:cs="仿宋_GB2312"/>
          <w:bCs/>
          <w:kern w:val="0"/>
          <w:sz w:val="32"/>
          <w:szCs w:val="32"/>
          <w:highlight w:val="none"/>
          <w:lang w:val="en-US" w:eastAsia="zh-CN"/>
        </w:rPr>
        <w:t>2020年度</w:t>
      </w:r>
      <w:r>
        <w:rPr>
          <w:rFonts w:hint="eastAsia" w:ascii="仿宋_GB2312" w:eastAsia="仿宋_GB2312" w:cs="仿宋_GB2312"/>
          <w:bCs/>
          <w:kern w:val="0"/>
          <w:sz w:val="32"/>
          <w:szCs w:val="32"/>
        </w:rPr>
        <w:t>机关</w:t>
      </w:r>
      <w:r>
        <w:rPr>
          <w:rFonts w:hint="eastAsia" w:ascii="仿宋_GB2312" w:eastAsia="仿宋_GB2312" w:cs="仿宋_GB2312"/>
          <w:bCs/>
          <w:kern w:val="0"/>
          <w:sz w:val="32"/>
          <w:szCs w:val="32"/>
          <w:lang w:eastAsia="zh-CN"/>
        </w:rPr>
        <w:t>单位医疗保险</w:t>
      </w:r>
      <w:r>
        <w:rPr>
          <w:rFonts w:hint="eastAsia" w:ascii="仿宋_GB2312" w:eastAsia="仿宋_GB2312" w:cs="仿宋_GB2312"/>
          <w:bCs/>
          <w:kern w:val="0"/>
          <w:sz w:val="32"/>
          <w:szCs w:val="32"/>
        </w:rPr>
        <w:t>缴费</w:t>
      </w:r>
      <w:r>
        <w:rPr>
          <w:rFonts w:hint="eastAsia" w:ascii="仿宋_GB2312" w:eastAsia="仿宋_GB2312" w:cs="仿宋_GB2312"/>
          <w:bCs/>
          <w:kern w:val="0"/>
          <w:sz w:val="32"/>
          <w:szCs w:val="32"/>
          <w:highlight w:val="none"/>
          <w:lang w:eastAsia="zh-CN"/>
        </w:rPr>
        <w:t>基数提高</w:t>
      </w:r>
      <w:r>
        <w:rPr>
          <w:rFonts w:hint="eastAsia" w:ascii="仿宋_GB2312" w:eastAsia="仿宋_GB2312" w:cs="仿宋_GB2312"/>
          <w:bCs/>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lang w:val="en-US" w:eastAsia="zh-CN"/>
        </w:rPr>
        <w:t>12.</w:t>
      </w:r>
      <w:r>
        <w:rPr>
          <w:rFonts w:hint="eastAsia" w:ascii="仿宋_GB2312" w:eastAsia="仿宋_GB2312" w:cs="仿宋_GB2312"/>
          <w:bCs/>
          <w:kern w:val="0"/>
          <w:sz w:val="32"/>
          <w:szCs w:val="32"/>
        </w:rPr>
        <w:t>卫生健康</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（类）行政事业单位医疗（款）事业单位医疗（项）。年初预算为15.38万元，支出决算为13.86万元，完成年初预算的</w:t>
      </w:r>
      <w:r>
        <w:rPr>
          <w:rFonts w:hint="eastAsia" w:ascii="仿宋_GB2312" w:eastAsia="仿宋_GB2312" w:cs="仿宋_GB2312"/>
          <w:bCs/>
          <w:kern w:val="0"/>
          <w:sz w:val="32"/>
          <w:szCs w:val="32"/>
          <w:lang w:val="en-US" w:eastAsia="zh-CN"/>
        </w:rPr>
        <w:t>90.12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highlight w:val="none"/>
        </w:rPr>
        <w:t>。决算数小于预算数的主要原因是</w:t>
      </w:r>
      <w:r>
        <w:rPr>
          <w:rFonts w:hint="eastAsia" w:ascii="仿宋_GB2312" w:eastAsia="仿宋_GB2312" w:cs="仿宋_GB2312"/>
          <w:bCs/>
          <w:kern w:val="0"/>
          <w:sz w:val="32"/>
          <w:szCs w:val="32"/>
          <w:highlight w:val="none"/>
          <w:lang w:eastAsia="zh-CN"/>
        </w:rPr>
        <w:t>退休人员增加造成医疗费用减少</w:t>
      </w:r>
      <w:r>
        <w:rPr>
          <w:rFonts w:hint="eastAsia" w:ascii="仿宋_GB2312" w:eastAsia="仿宋_GB2312" w:cs="仿宋_GB2312"/>
          <w:bCs/>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lang w:val="en-US" w:eastAsia="zh-CN"/>
        </w:rPr>
        <w:t>13.</w:t>
      </w:r>
      <w:r>
        <w:rPr>
          <w:rFonts w:hint="eastAsia" w:ascii="仿宋_GB2312" w:eastAsia="仿宋_GB2312" w:cs="仿宋_GB2312"/>
          <w:bCs/>
          <w:kern w:val="0"/>
          <w:sz w:val="32"/>
          <w:szCs w:val="32"/>
        </w:rPr>
        <w:t>卫生健康</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（类）行政事业单位医疗（款）公务员医疗补助（项）。年初预算为</w:t>
      </w:r>
      <w:r>
        <w:rPr>
          <w:rFonts w:hint="eastAsia" w:ascii="仿宋_GB2312" w:eastAsia="仿宋_GB2312" w:cs="仿宋_GB2312"/>
          <w:bCs/>
          <w:kern w:val="0"/>
          <w:sz w:val="32"/>
          <w:szCs w:val="32"/>
          <w:lang w:val="en-US" w:eastAsia="zh-CN"/>
        </w:rPr>
        <w:t>7.84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12.42万</w:t>
      </w:r>
      <w:r>
        <w:rPr>
          <w:rFonts w:hint="eastAsia" w:ascii="仿宋_GB2312" w:eastAsia="仿宋_GB2312" w:cs="仿宋_GB2312"/>
          <w:bCs/>
          <w:kern w:val="0"/>
          <w:sz w:val="32"/>
          <w:szCs w:val="32"/>
        </w:rPr>
        <w:t>元，完成年初预算的</w:t>
      </w:r>
      <w:r>
        <w:rPr>
          <w:rFonts w:hint="eastAsia" w:ascii="仿宋_GB2312" w:eastAsia="仿宋_GB2312" w:cs="仿宋_GB2312"/>
          <w:bCs/>
          <w:kern w:val="0"/>
          <w:sz w:val="32"/>
          <w:szCs w:val="32"/>
          <w:lang w:val="en-US" w:eastAsia="zh-CN"/>
        </w:rPr>
        <w:t>158.42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预算数的主要原因是</w:t>
      </w:r>
      <w:r>
        <w:rPr>
          <w:rFonts w:hint="eastAsia" w:ascii="仿宋_GB2312" w:eastAsia="仿宋_GB2312" w:cs="仿宋_GB2312"/>
          <w:bCs/>
          <w:kern w:val="0"/>
          <w:sz w:val="32"/>
          <w:szCs w:val="32"/>
          <w:highlight w:val="none"/>
          <w:lang w:eastAsia="zh-CN"/>
        </w:rPr>
        <w:t>年中市财政局安排公务员医疗补助经费差额</w:t>
      </w:r>
      <w:r>
        <w:rPr>
          <w:rFonts w:hint="eastAsia" w:ascii="仿宋_GB2312" w:eastAsia="仿宋_GB2312" w:cs="仿宋_GB2312"/>
          <w:bCs/>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lang w:val="en-US" w:eastAsia="zh-CN"/>
        </w:rPr>
        <w:t>14.</w:t>
      </w:r>
      <w:r>
        <w:rPr>
          <w:rFonts w:hint="eastAsia" w:ascii="仿宋_GB2312" w:eastAsia="仿宋_GB2312" w:cs="仿宋_GB2312"/>
          <w:bCs/>
          <w:kern w:val="0"/>
          <w:sz w:val="32"/>
          <w:szCs w:val="32"/>
        </w:rPr>
        <w:t>卫生健康</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（类）行政事业单位医疗（款）其他行政事业单位医疗支出（项）。年初预算为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0.29万</w:t>
      </w:r>
      <w:r>
        <w:rPr>
          <w:rFonts w:hint="eastAsia" w:ascii="仿宋_GB2312" w:eastAsia="仿宋_GB2312" w:cs="仿宋_GB2312"/>
          <w:bCs/>
          <w:kern w:val="0"/>
          <w:sz w:val="32"/>
          <w:szCs w:val="32"/>
        </w:rPr>
        <w:t>元。</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预算数的主要原因是</w:t>
      </w:r>
      <w:r>
        <w:rPr>
          <w:rFonts w:hint="eastAsia" w:ascii="仿宋_GB2312" w:eastAsia="仿宋_GB2312" w:cs="仿宋_GB2312"/>
          <w:bCs/>
          <w:kern w:val="0"/>
          <w:sz w:val="32"/>
          <w:szCs w:val="32"/>
          <w:highlight w:val="none"/>
          <w:lang w:eastAsia="zh-CN"/>
        </w:rPr>
        <w:t>年中市财政局安排</w:t>
      </w:r>
      <w:r>
        <w:rPr>
          <w:rFonts w:hint="eastAsia" w:ascii="仿宋_GB2312" w:eastAsia="仿宋_GB2312" w:cs="仿宋_GB2312"/>
          <w:bCs/>
          <w:kern w:val="0"/>
          <w:sz w:val="32"/>
          <w:szCs w:val="32"/>
        </w:rPr>
        <w:t>其他行政事业单位医疗支出</w:t>
      </w:r>
      <w:r>
        <w:rPr>
          <w:rFonts w:hint="eastAsia" w:ascii="仿宋_GB2312" w:eastAsia="仿宋_GB2312" w:cs="仿宋_GB2312"/>
          <w:bCs/>
          <w:kern w:val="0"/>
          <w:sz w:val="32"/>
          <w:szCs w:val="32"/>
          <w:highlight w:val="none"/>
          <w:lang w:eastAsia="zh-CN"/>
        </w:rPr>
        <w:t>经费</w:t>
      </w:r>
      <w:r>
        <w:rPr>
          <w:rFonts w:hint="eastAsia" w:ascii="仿宋_GB2312" w:eastAsia="仿宋_GB2312" w:cs="仿宋_GB2312"/>
          <w:bCs/>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lang w:val="en-US" w:eastAsia="zh-CN"/>
        </w:rPr>
        <w:t>15.</w:t>
      </w:r>
      <w:r>
        <w:rPr>
          <w:rFonts w:hint="eastAsia" w:ascii="仿宋_GB2312" w:eastAsia="仿宋_GB2312" w:cs="仿宋_GB2312"/>
          <w:bCs/>
          <w:kern w:val="0"/>
          <w:sz w:val="32"/>
          <w:szCs w:val="32"/>
        </w:rPr>
        <w:t>住房保障支出（类）住房改革支出（款）住房公积金（项）。年初预算为46.12万元，支出决算为56.88万元，完成年初预算的</w:t>
      </w:r>
      <w:r>
        <w:rPr>
          <w:rFonts w:hint="eastAsia" w:ascii="仿宋_GB2312" w:eastAsia="仿宋_GB2312" w:cs="仿宋_GB2312"/>
          <w:bCs/>
          <w:kern w:val="0"/>
          <w:sz w:val="32"/>
          <w:szCs w:val="32"/>
          <w:lang w:val="en-US" w:eastAsia="zh-CN"/>
        </w:rPr>
        <w:t>123.33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预算数的主要原因是</w:t>
      </w:r>
      <w:r>
        <w:rPr>
          <w:rFonts w:hint="eastAsia" w:ascii="仿宋_GB2312" w:eastAsia="仿宋_GB2312" w:cs="仿宋_GB2312"/>
          <w:bCs/>
          <w:kern w:val="0"/>
          <w:sz w:val="32"/>
          <w:szCs w:val="32"/>
          <w:highlight w:val="none"/>
          <w:lang w:eastAsia="zh-CN"/>
        </w:rPr>
        <w:t>市财政局年终安排增人增资住房公积金</w:t>
      </w:r>
      <w:r>
        <w:rPr>
          <w:rFonts w:hint="eastAsia" w:ascii="仿宋_GB2312" w:eastAsia="仿宋_GB2312" w:cs="仿宋_GB2312"/>
          <w:bCs/>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lang w:val="en-US" w:eastAsia="zh-CN"/>
        </w:rPr>
        <w:t>16.</w:t>
      </w:r>
      <w:r>
        <w:rPr>
          <w:rFonts w:hint="eastAsia" w:ascii="仿宋_GB2312" w:eastAsia="仿宋_GB2312" w:cs="仿宋_GB2312"/>
          <w:bCs/>
          <w:kern w:val="0"/>
          <w:sz w:val="32"/>
          <w:szCs w:val="32"/>
        </w:rPr>
        <w:t>住房保障支出（类）住房改革支出（款）购房补贴（项）。年初预算为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1.46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eastAsia="zh-CN"/>
        </w:rPr>
        <w:t>年中市财政局安排购房补贴经费</w:t>
      </w:r>
      <w:r>
        <w:rPr>
          <w:rFonts w:hint="eastAsia" w:ascii="仿宋_GB2312" w:eastAsia="仿宋_GB2312" w:cs="仿宋_GB2312"/>
          <w:bCs/>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bCs w:val="0"/>
          <w:kern w:val="0"/>
          <w:sz w:val="32"/>
          <w:szCs w:val="32"/>
        </w:rPr>
        <w:t>六、2020年度一般公共预算财政</w:t>
      </w:r>
      <w:r>
        <w:rPr>
          <w:rFonts w:hint="eastAsia" w:ascii="仿宋_GB2312" w:eastAsia="仿宋_GB2312" w:cs="仿宋_GB2312"/>
          <w:b/>
          <w:kern w:val="0"/>
          <w:sz w:val="32"/>
          <w:szCs w:val="32"/>
        </w:rPr>
        <w:t>拨款基本支出决算情况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2020年度财政拨款基本支出803.53万元，其中：</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人员经费716.8万元，主要包括：</w:t>
      </w:r>
      <w:r>
        <w:rPr>
          <w:rFonts w:hint="eastAsia" w:ascii="仿宋_GB2312" w:eastAsia="仿宋_GB2312" w:cs="仿宋_GB2312"/>
          <w:b w:val="0"/>
          <w:bCs/>
          <w:kern w:val="0"/>
          <w:sz w:val="32"/>
          <w:szCs w:val="32"/>
        </w:rPr>
        <w:t>基本工资、津贴补贴、 奖金、绩效工资、机关事业单位基本养老保险缴费、职业年金缴费</w:t>
      </w:r>
      <w:r>
        <w:rPr>
          <w:rFonts w:hint="eastAsia" w:ascii="仿宋_GB2312" w:eastAsia="仿宋_GB2312" w:cs="仿宋_GB2312"/>
          <w:b w:val="0"/>
          <w:bCs/>
          <w:kern w:val="0"/>
          <w:sz w:val="32"/>
          <w:szCs w:val="32"/>
          <w:lang w:eastAsia="zh-CN"/>
        </w:rPr>
        <w:t>、</w:t>
      </w:r>
      <w:r>
        <w:rPr>
          <w:rFonts w:hint="eastAsia" w:ascii="仿宋_GB2312" w:eastAsia="仿宋_GB2312" w:cs="仿宋_GB2312"/>
          <w:b w:val="0"/>
          <w:bCs/>
          <w:kern w:val="0"/>
          <w:sz w:val="32"/>
          <w:szCs w:val="32"/>
        </w:rPr>
        <w:t>职工基本医疗保险缴费</w:t>
      </w:r>
      <w:r>
        <w:rPr>
          <w:rFonts w:hint="eastAsia" w:ascii="仿宋_GB2312" w:eastAsia="仿宋_GB2312" w:cs="仿宋_GB2312"/>
          <w:b w:val="0"/>
          <w:bCs/>
          <w:kern w:val="0"/>
          <w:sz w:val="32"/>
          <w:szCs w:val="32"/>
          <w:lang w:eastAsia="zh-CN"/>
        </w:rPr>
        <w:t>、公务员医疗补助缴费、</w:t>
      </w:r>
      <w:r>
        <w:rPr>
          <w:rFonts w:hint="eastAsia" w:ascii="仿宋_GB2312" w:eastAsia="仿宋_GB2312" w:cs="仿宋_GB2312"/>
          <w:b w:val="0"/>
          <w:bCs/>
          <w:kern w:val="0"/>
          <w:sz w:val="32"/>
          <w:szCs w:val="32"/>
        </w:rPr>
        <w:t>其他社会保障缴费、住房公积金</w:t>
      </w:r>
      <w:r>
        <w:rPr>
          <w:rFonts w:hint="eastAsia" w:ascii="仿宋_GB2312" w:eastAsia="仿宋_GB2312" w:cs="仿宋_GB2312"/>
          <w:b w:val="0"/>
          <w:bCs/>
          <w:kern w:val="0"/>
          <w:sz w:val="32"/>
          <w:szCs w:val="32"/>
          <w:lang w:eastAsia="zh-CN"/>
        </w:rPr>
        <w:t>、</w:t>
      </w:r>
      <w:r>
        <w:rPr>
          <w:rFonts w:hint="eastAsia" w:ascii="仿宋_GB2312" w:eastAsia="仿宋_GB2312" w:cs="仿宋_GB2312"/>
          <w:b w:val="0"/>
          <w:bCs/>
          <w:kern w:val="0"/>
          <w:sz w:val="32"/>
          <w:szCs w:val="32"/>
        </w:rPr>
        <w:t>退休费；</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公用经费86.73万元，主要包括：</w:t>
      </w:r>
      <w:r>
        <w:rPr>
          <w:rFonts w:hint="eastAsia" w:ascii="仿宋_GB2312" w:eastAsia="仿宋_GB2312" w:cs="仿宋_GB2312"/>
          <w:b w:val="0"/>
          <w:bCs/>
          <w:kern w:val="0"/>
          <w:sz w:val="32"/>
          <w:szCs w:val="32"/>
        </w:rPr>
        <w:t>办公费、印刷费、</w:t>
      </w:r>
      <w:r>
        <w:rPr>
          <w:rFonts w:hint="eastAsia" w:ascii="仿宋_GB2312" w:eastAsia="仿宋_GB2312" w:cs="仿宋_GB2312"/>
          <w:b w:val="0"/>
          <w:bCs/>
          <w:kern w:val="0"/>
          <w:sz w:val="32"/>
          <w:szCs w:val="32"/>
          <w:lang w:eastAsia="zh-CN"/>
        </w:rPr>
        <w:t>手续费、</w:t>
      </w:r>
      <w:r>
        <w:rPr>
          <w:rFonts w:hint="eastAsia" w:ascii="仿宋_GB2312" w:eastAsia="仿宋_GB2312" w:cs="仿宋_GB2312"/>
          <w:b w:val="0"/>
          <w:bCs/>
          <w:kern w:val="0"/>
          <w:sz w:val="32"/>
          <w:szCs w:val="32"/>
        </w:rPr>
        <w:t>水费、电费、邮电费、</w:t>
      </w:r>
      <w:r>
        <w:rPr>
          <w:rFonts w:hint="eastAsia" w:ascii="仿宋_GB2312" w:eastAsia="仿宋_GB2312" w:cs="仿宋_GB2312"/>
          <w:b w:val="0"/>
          <w:bCs/>
          <w:kern w:val="0"/>
          <w:sz w:val="32"/>
          <w:szCs w:val="32"/>
          <w:lang w:eastAsia="zh-CN"/>
        </w:rPr>
        <w:t>物业管理费、</w:t>
      </w:r>
      <w:r>
        <w:rPr>
          <w:rFonts w:hint="eastAsia" w:ascii="仿宋_GB2312" w:eastAsia="仿宋_GB2312" w:cs="仿宋_GB2312"/>
          <w:b w:val="0"/>
          <w:bCs/>
          <w:kern w:val="0"/>
          <w:sz w:val="32"/>
          <w:szCs w:val="32"/>
        </w:rPr>
        <w:t>差旅费、维修（护）费、</w:t>
      </w:r>
      <w:r>
        <w:rPr>
          <w:rFonts w:hint="eastAsia" w:ascii="仿宋_GB2312" w:eastAsia="仿宋_GB2312" w:cs="仿宋_GB2312"/>
          <w:b w:val="0"/>
          <w:bCs/>
          <w:kern w:val="0"/>
          <w:sz w:val="32"/>
          <w:szCs w:val="32"/>
          <w:lang w:eastAsia="zh-CN"/>
        </w:rPr>
        <w:t>租赁费、</w:t>
      </w:r>
      <w:r>
        <w:rPr>
          <w:rFonts w:hint="eastAsia" w:ascii="仿宋_GB2312" w:eastAsia="仿宋_GB2312" w:cs="仿宋_GB2312"/>
          <w:b w:val="0"/>
          <w:bCs/>
          <w:kern w:val="0"/>
          <w:sz w:val="32"/>
          <w:szCs w:val="32"/>
        </w:rPr>
        <w:t>会议费、培训费、公务接待费、劳务费、工会经费、福利费、公务用车运行维护费、其他交通费用、其他商品和服务支出</w:t>
      </w:r>
      <w:r>
        <w:rPr>
          <w:rFonts w:hint="eastAsia" w:ascii="仿宋_GB2312" w:eastAsia="仿宋_GB2312" w:cs="仿宋_GB2312"/>
          <w:b w:val="0"/>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3" w:firstLineChars="200"/>
        <w:jc w:val="left"/>
        <w:textAlignment w:val="auto"/>
        <w:rPr>
          <w:rFonts w:hint="eastAsia" w:ascii="仿宋_GB2312" w:eastAsia="仿宋_GB2312" w:cs="仿宋_GB2312"/>
          <w:b/>
          <w:bCs w:val="0"/>
          <w:kern w:val="0"/>
          <w:sz w:val="32"/>
          <w:szCs w:val="32"/>
        </w:rPr>
      </w:pPr>
      <w:r>
        <w:rPr>
          <w:rFonts w:hint="eastAsia" w:ascii="仿宋_GB2312" w:eastAsia="仿宋_GB2312" w:cs="仿宋_GB2312"/>
          <w:b/>
          <w:bCs w:val="0"/>
          <w:kern w:val="0"/>
          <w:sz w:val="32"/>
          <w:szCs w:val="32"/>
        </w:rPr>
        <w:t xml:space="preserve">七、2020年度一般公共预算财政拨款“三公” 经费支出决算情况 </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2020年度“三公”经费财政拨款支出预算为</w:t>
      </w:r>
      <w:r>
        <w:rPr>
          <w:rFonts w:hint="eastAsia" w:ascii="仿宋_GB2312" w:eastAsia="仿宋_GB2312" w:cs="仿宋_GB2312"/>
          <w:bCs/>
          <w:kern w:val="0"/>
          <w:sz w:val="32"/>
          <w:szCs w:val="32"/>
          <w:lang w:val="en-US" w:eastAsia="zh-CN"/>
        </w:rPr>
        <w:t>5.31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2.54</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47.83</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1.62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64.8</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0.93</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33.1</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0.14</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5.22</w:t>
      </w:r>
      <w:r>
        <w:rPr>
          <w:rFonts w:hint="eastAsia" w:ascii="仿宋_GB2312" w:eastAsia="仿宋_GB2312" w:cs="仿宋_GB2312"/>
          <w:bCs/>
          <w:kern w:val="0"/>
          <w:sz w:val="32"/>
          <w:szCs w:val="32"/>
        </w:rPr>
        <w:t>%，其中：因公出国（境）费支出决算减少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%；公务用车购置及运行费支出决算减少</w:t>
      </w:r>
      <w:r>
        <w:rPr>
          <w:rFonts w:hint="eastAsia" w:ascii="仿宋_GB2312" w:eastAsia="仿宋_GB2312" w:cs="仿宋_GB2312"/>
          <w:bCs/>
          <w:kern w:val="0"/>
          <w:sz w:val="32"/>
          <w:szCs w:val="32"/>
          <w:lang w:val="en-US" w:eastAsia="zh-CN"/>
        </w:rPr>
        <w:t>0.02</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1.22</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0.11</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10.58</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w:t>
      </w:r>
      <w:r>
        <w:rPr>
          <w:rFonts w:hint="eastAsia" w:ascii="仿宋_GB2312" w:eastAsia="仿宋_GB2312" w:cs="仿宋_GB2312"/>
          <w:bCs/>
          <w:kern w:val="0"/>
          <w:sz w:val="32"/>
          <w:szCs w:val="32"/>
          <w:highlight w:val="none"/>
          <w:lang w:eastAsia="zh-CN"/>
        </w:rPr>
        <w:t>团市委</w:t>
      </w:r>
      <w:r>
        <w:rPr>
          <w:rFonts w:hint="eastAsia" w:ascii="仿宋_GB2312" w:eastAsia="仿宋_GB2312" w:cs="仿宋_GB2312"/>
          <w:bCs/>
          <w:kern w:val="0"/>
          <w:sz w:val="32"/>
          <w:szCs w:val="32"/>
          <w:highlight w:val="none"/>
          <w:lang w:val="en-US" w:eastAsia="zh-CN"/>
        </w:rPr>
        <w:t>2020年没有上级单位安排的因公出国（境）活动</w:t>
      </w:r>
      <w:r>
        <w:rPr>
          <w:rFonts w:hint="eastAsia" w:ascii="仿宋_GB2312" w:eastAsia="仿宋_GB2312" w:cs="仿宋_GB2312"/>
          <w:bCs/>
          <w:kern w:val="0"/>
          <w:sz w:val="32"/>
          <w:szCs w:val="32"/>
        </w:rPr>
        <w:t>；公务用车购置及运行费支出减少的主要原因是</w:t>
      </w:r>
      <w:r>
        <w:rPr>
          <w:rFonts w:hint="eastAsia" w:ascii="仿宋_GB2312" w:eastAsia="仿宋_GB2312" w:cs="仿宋_GB2312"/>
          <w:bCs/>
          <w:kern w:val="0"/>
          <w:sz w:val="32"/>
          <w:szCs w:val="32"/>
          <w:lang w:eastAsia="zh-CN"/>
        </w:rPr>
        <w:t>团市委</w:t>
      </w:r>
      <w:r>
        <w:rPr>
          <w:rFonts w:hint="eastAsia" w:ascii="仿宋_GB2312" w:eastAsia="仿宋_GB2312" w:cs="仿宋_GB2312"/>
          <w:bCs/>
          <w:kern w:val="0"/>
          <w:sz w:val="32"/>
          <w:szCs w:val="32"/>
        </w:rPr>
        <w:t>进一步从严控制“三公”经费开支；公务接待费支出减少的主要原因是</w:t>
      </w:r>
      <w:r>
        <w:rPr>
          <w:rFonts w:hint="eastAsia" w:ascii="仿宋_GB2312" w:eastAsia="仿宋_GB2312" w:cs="仿宋_GB2312"/>
          <w:bCs/>
          <w:kern w:val="0"/>
          <w:sz w:val="32"/>
          <w:szCs w:val="32"/>
          <w:lang w:eastAsia="zh-CN"/>
        </w:rPr>
        <w:t>团市委</w:t>
      </w:r>
      <w:r>
        <w:rPr>
          <w:rFonts w:hint="eastAsia" w:ascii="仿宋_GB2312" w:eastAsia="仿宋_GB2312" w:cs="仿宋_GB2312"/>
          <w:bCs/>
          <w:kern w:val="0"/>
          <w:sz w:val="32"/>
          <w:szCs w:val="32"/>
        </w:rPr>
        <w:t>进一步从严控制“三公”经费开支</w:t>
      </w:r>
      <w:r>
        <w:rPr>
          <w:rFonts w:hint="eastAsia" w:ascii="仿宋_GB2312" w:eastAsia="仿宋_GB2312" w:cs="仿宋_GB2312"/>
          <w:bCs/>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1.62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63.78</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0.93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36.61</w:t>
      </w:r>
      <w:r>
        <w:rPr>
          <w:rFonts w:hint="eastAsia" w:ascii="仿宋_GB2312" w:eastAsia="仿宋_GB2312" w:cs="仿宋_GB2312"/>
          <w:bCs/>
          <w:kern w:val="0"/>
          <w:sz w:val="32"/>
          <w:szCs w:val="32"/>
        </w:rPr>
        <w:t xml:space="preserve">%。具体情况如下：  </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both"/>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0万</w:t>
      </w:r>
      <w:r>
        <w:rPr>
          <w:rFonts w:hint="eastAsia" w:ascii="仿宋_GB2312" w:eastAsia="仿宋_GB2312" w:cs="仿宋_GB2312"/>
          <w:bCs/>
          <w:kern w:val="0"/>
          <w:sz w:val="32"/>
          <w:szCs w:val="32"/>
        </w:rPr>
        <w:t>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keepNext w:val="0"/>
        <w:keepLines w:val="0"/>
        <w:pageBreakBefore w:val="0"/>
        <w:widowControl w:val="0"/>
        <w:kinsoku/>
        <w:wordWrap/>
        <w:overflowPunct/>
        <w:topLinePunct w:val="0"/>
        <w:autoSpaceDE w:val="0"/>
        <w:autoSpaceDN w:val="0"/>
        <w:bidi w:val="0"/>
        <w:adjustRightInd w:val="0"/>
        <w:snapToGrid/>
        <w:spacing w:line="560" w:lineRule="exact"/>
        <w:ind w:left="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1.62</w:t>
      </w:r>
      <w:r>
        <w:rPr>
          <w:rFonts w:hint="eastAsia" w:ascii="仿宋_GB2312" w:eastAsia="仿宋_GB2312" w:cs="仿宋_GB2312"/>
          <w:bCs/>
          <w:kern w:val="0"/>
          <w:sz w:val="32"/>
          <w:szCs w:val="32"/>
        </w:rPr>
        <w:t>万元。其中</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1.62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highlight w:val="none"/>
        </w:rPr>
        <w:t>市内因公出行以及开展业务所需车辆燃料费、维修费、过路过桥费、保险费等</w:t>
      </w:r>
      <w:r>
        <w:rPr>
          <w:rFonts w:hint="eastAsia" w:ascii="仿宋_GB2312" w:eastAsia="仿宋_GB2312" w:cs="仿宋_GB2312"/>
          <w:bCs/>
          <w:kern w:val="0"/>
          <w:sz w:val="32"/>
          <w:szCs w:val="32"/>
        </w:rPr>
        <w:t>。2020年，机关所属单位开支财政拨款的公务用车保有量为</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辆。</w:t>
      </w:r>
    </w:p>
    <w:p>
      <w:pPr>
        <w:keepNext w:val="0"/>
        <w:keepLines w:val="0"/>
        <w:pageBreakBefore w:val="0"/>
        <w:widowControl w:val="0"/>
        <w:kinsoku/>
        <w:wordWrap/>
        <w:overflowPunct/>
        <w:topLinePunct w:val="0"/>
        <w:autoSpaceDE w:val="0"/>
        <w:autoSpaceDN w:val="0"/>
        <w:bidi w:val="0"/>
        <w:adjustRightInd w:val="0"/>
        <w:snapToGrid/>
        <w:spacing w:line="560" w:lineRule="exact"/>
        <w:ind w:left="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0.93</w:t>
      </w:r>
      <w:r>
        <w:rPr>
          <w:rFonts w:hint="eastAsia" w:ascii="仿宋_GB2312" w:eastAsia="仿宋_GB2312" w:cs="仿宋_GB2312"/>
          <w:bCs/>
          <w:kern w:val="0"/>
          <w:sz w:val="32"/>
          <w:szCs w:val="32"/>
        </w:rPr>
        <w:t>万元。其中：</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jc w:val="both"/>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 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jc w:val="both"/>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0.93</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highlight w:val="none"/>
        </w:rPr>
        <w:t>接待外单位到我市考察调研、学习交流、检查指导、请示汇报工作等公务活动</w:t>
      </w:r>
      <w:r>
        <w:rPr>
          <w:rFonts w:hint="eastAsia" w:ascii="仿宋_GB2312" w:eastAsia="仿宋_GB2312" w:cs="仿宋_GB2312"/>
          <w:bCs/>
          <w:kern w:val="0"/>
          <w:sz w:val="32"/>
          <w:szCs w:val="32"/>
        </w:rPr>
        <w:t>。2020 年共接待国内来访团组</w:t>
      </w:r>
      <w:r>
        <w:rPr>
          <w:rFonts w:hint="eastAsia" w:ascii="仿宋_GB2312" w:eastAsia="仿宋_GB2312" w:cs="仿宋_GB2312"/>
          <w:bCs/>
          <w:kern w:val="0"/>
          <w:sz w:val="32"/>
          <w:szCs w:val="32"/>
          <w:lang w:val="en-US" w:eastAsia="zh-CN"/>
        </w:rPr>
        <w:t>18</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136</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3" w:firstLineChars="200"/>
        <w:jc w:val="left"/>
        <w:textAlignment w:val="auto"/>
        <w:rPr>
          <w:rFonts w:ascii="仿宋_GB2312" w:eastAsia="仿宋_GB2312" w:cs="仿宋_GB2312"/>
          <w:bCs/>
          <w:kern w:val="0"/>
          <w:sz w:val="32"/>
          <w:szCs w:val="32"/>
        </w:rPr>
      </w:pPr>
      <w:r>
        <w:rPr>
          <w:rFonts w:hint="eastAsia" w:ascii="仿宋_GB2312" w:eastAsia="仿宋_GB2312" w:cs="仿宋_GB2312"/>
          <w:b/>
          <w:bCs w:val="0"/>
          <w:kern w:val="0"/>
          <w:sz w:val="32"/>
          <w:szCs w:val="32"/>
        </w:rPr>
        <w:t xml:space="preserve">八、2020 年度政府性基金预算财政拨款收入支出决算情况说明 </w:t>
      </w:r>
    </w:p>
    <w:p>
      <w:pPr>
        <w:keepNext w:val="0"/>
        <w:keepLines w:val="0"/>
        <w:pageBreakBefore w:val="0"/>
        <w:widowControl w:val="0"/>
        <w:kinsoku/>
        <w:wordWrap/>
        <w:overflowPunct/>
        <w:topLinePunct w:val="0"/>
        <w:autoSpaceDE w:val="0"/>
        <w:autoSpaceDN w:val="0"/>
        <w:bidi w:val="0"/>
        <w:adjustRightInd w:val="0"/>
        <w:snapToGrid/>
        <w:spacing w:line="560" w:lineRule="exact"/>
        <w:ind w:left="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本部门2020年度政府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基金预算财政拨款收、支总决算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万元。与2019年相比，收、支总计</w:t>
      </w:r>
      <w:r>
        <w:rPr>
          <w:rFonts w:hint="eastAsia" w:ascii="仿宋_GB2312" w:eastAsia="仿宋_GB2312" w:cs="仿宋_GB2312"/>
          <w:bCs/>
          <w:kern w:val="0"/>
          <w:sz w:val="32"/>
          <w:szCs w:val="32"/>
          <w:lang w:eastAsia="zh-CN"/>
        </w:rPr>
        <w:t>持平。</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left="0" w:firstLine="643" w:firstLineChars="200"/>
        <w:jc w:val="both"/>
        <w:textAlignment w:val="auto"/>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jc w:val="both"/>
        <w:textAlignment w:val="auto"/>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2020年度国有资本经营预算财政拨款本年支出0万元。</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3" w:firstLineChars="200"/>
        <w:jc w:val="left"/>
        <w:textAlignment w:val="auto"/>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年度预算绩效情况说明</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640" w:firstLineChars="20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根据财政预算管理要求，我部门组织对</w:t>
      </w:r>
      <w:r>
        <w:rPr>
          <w:rFonts w:hint="eastAsia" w:ascii="仿宋_GB2312" w:eastAsia="仿宋_GB2312" w:cs="仿宋_GB2312"/>
          <w:bCs/>
          <w:kern w:val="0"/>
          <w:sz w:val="32"/>
          <w:szCs w:val="32"/>
          <w:lang w:eastAsia="zh-CN"/>
        </w:rPr>
        <w:t>20</w:t>
      </w:r>
      <w:r>
        <w:rPr>
          <w:rFonts w:hint="eastAsia" w:ascii="仿宋_GB2312" w:eastAsia="仿宋_GB2312" w:cs="仿宋_GB2312"/>
          <w:bCs/>
          <w:kern w:val="0"/>
          <w:sz w:val="32"/>
          <w:szCs w:val="32"/>
          <w:lang w:val="en-US" w:eastAsia="zh-CN"/>
        </w:rPr>
        <w:t>20</w:t>
      </w:r>
      <w:r>
        <w:rPr>
          <w:rFonts w:hint="eastAsia" w:ascii="仿宋_GB2312" w:eastAsia="仿宋_GB2312" w:cs="仿宋_GB2312"/>
          <w:bCs/>
          <w:kern w:val="0"/>
          <w:sz w:val="32"/>
          <w:szCs w:val="32"/>
        </w:rPr>
        <w:t>年度一般公共预算整体支出全面开展绩效自评。共涉及预算资金</w:t>
      </w:r>
      <w:r>
        <w:rPr>
          <w:rFonts w:hint="eastAsia" w:ascii="仿宋_GB2312" w:eastAsia="仿宋_GB2312" w:cs="仿宋_GB2312"/>
          <w:bCs/>
          <w:kern w:val="0"/>
          <w:sz w:val="32"/>
          <w:szCs w:val="32"/>
          <w:lang w:val="en-US" w:eastAsia="zh-CN"/>
        </w:rPr>
        <w:t>1228.63</w:t>
      </w:r>
      <w:r>
        <w:rPr>
          <w:rFonts w:hint="eastAsia" w:ascii="仿宋_GB2312" w:eastAsia="仿宋_GB2312" w:cs="仿宋_GB2312"/>
          <w:bCs/>
          <w:kern w:val="0"/>
          <w:sz w:val="32"/>
          <w:szCs w:val="32"/>
        </w:rPr>
        <w:t>万元，自评覆盖率达到</w:t>
      </w:r>
      <w:r>
        <w:rPr>
          <w:rFonts w:hint="eastAsia" w:ascii="仿宋_GB2312" w:eastAsia="仿宋_GB2312" w:cs="仿宋_GB2312"/>
          <w:bCs/>
          <w:kern w:val="0"/>
          <w:sz w:val="32"/>
          <w:szCs w:val="32"/>
          <w:lang w:eastAsia="zh-CN"/>
        </w:rPr>
        <w:t>年初预算的</w:t>
      </w:r>
      <w:r>
        <w:rPr>
          <w:rFonts w:hint="eastAsia" w:ascii="仿宋_GB2312" w:eastAsia="仿宋_GB2312" w:cs="仿宋_GB2312"/>
          <w:bCs/>
          <w:kern w:val="0"/>
          <w:sz w:val="32"/>
          <w:szCs w:val="32"/>
        </w:rPr>
        <w:t>100%。</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部门决算中项目绩效自评结果。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我部门年初设定了三个整体绩效目标，其中：共青团柳州市委员会整体绩效项目自评得分为</w:t>
      </w:r>
      <w:r>
        <w:rPr>
          <w:rFonts w:hint="eastAsia" w:ascii="仿宋_GB2312" w:eastAsia="仿宋_GB2312" w:cs="仿宋_GB2312"/>
          <w:kern w:val="0"/>
          <w:sz w:val="32"/>
          <w:szCs w:val="32"/>
          <w:lang w:val="en-US" w:eastAsia="zh-CN"/>
        </w:rPr>
        <w:t>93.59</w:t>
      </w:r>
      <w:r>
        <w:rPr>
          <w:rFonts w:hint="eastAsia" w:ascii="仿宋_GB2312" w:eastAsia="仿宋_GB2312" w:cs="仿宋_GB2312"/>
          <w:kern w:val="0"/>
          <w:sz w:val="32"/>
          <w:szCs w:val="32"/>
          <w:lang w:eastAsia="zh-CN"/>
        </w:rPr>
        <w:t>分，发现的主要问题及原因：受新冠疫情影响，2020年不宜举办大型聚集性活动，团市委参照上级单位的工作部署，将柳州市少先队鼓号队交流展示活动改为2021年举办，并且市级大型赛会的减少，我委志愿服务未能按照预计目标完成4场。下一步改进措施：及时与市财政局联系，根据工作实际调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柳州市团校整体绩效项目自评得分为93.</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lang w:eastAsia="zh-CN"/>
        </w:rPr>
        <w:t>分，发现的主要问题及原因：绩效目标制定不够细化，不能有效反映本单位的绩效目标是否达到具体效果。下一步改进措施：今后在制定定性指标时，应更具体更契合当年预算，目标更明确，以使评价工作更客观、更有参考价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柳州市青少年宫整体绩效项目自评得分为90.63分，发现的主要问题及原因：受新冠肺炎疫情影响，2020年不宜举办大型聚</w:t>
      </w:r>
      <w:bookmarkStart w:id="0" w:name="_GoBack"/>
      <w:bookmarkEnd w:id="0"/>
      <w:r>
        <w:rPr>
          <w:rFonts w:hint="eastAsia" w:ascii="仿宋_GB2312" w:eastAsia="仿宋_GB2312" w:cs="仿宋_GB2312"/>
          <w:kern w:val="0"/>
          <w:sz w:val="32"/>
          <w:szCs w:val="32"/>
          <w:lang w:eastAsia="zh-CN"/>
        </w:rPr>
        <w:t>集性活动，柳州市青少年宫按照疫情防控要求，严格控制汇报演出规模及场数，在社会上的影响未能达到预期指标。下一步改进措施：积极开展汇报演出、研学活动，为青少年发展提供艺术平台，增强社会影响力。</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55.73</w:t>
      </w:r>
      <w:r>
        <w:rPr>
          <w:rFonts w:hint="eastAsia" w:ascii="仿宋_GB2312" w:eastAsia="仿宋_GB2312" w:cs="仿宋_GB2312"/>
          <w:kern w:val="0"/>
          <w:sz w:val="32"/>
          <w:szCs w:val="32"/>
        </w:rPr>
        <w:t>万元，比2019年增加</w:t>
      </w:r>
      <w:r>
        <w:rPr>
          <w:rFonts w:hint="eastAsia" w:ascii="仿宋_GB2312" w:eastAsia="仿宋_GB2312" w:cs="仿宋_GB2312"/>
          <w:kern w:val="0"/>
          <w:sz w:val="32"/>
          <w:szCs w:val="32"/>
          <w:lang w:val="en-US" w:eastAsia="zh-CN"/>
        </w:rPr>
        <w:t>6.41</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13</w:t>
      </w:r>
      <w:r>
        <w:rPr>
          <w:rFonts w:hint="eastAsia" w:ascii="仿宋_GB2312" w:eastAsia="仿宋_GB2312" w:cs="仿宋_GB2312"/>
          <w:kern w:val="0"/>
          <w:sz w:val="32"/>
          <w:szCs w:val="32"/>
        </w:rPr>
        <w:t>%，增</w:t>
      </w:r>
      <w:r>
        <w:rPr>
          <w:rFonts w:hint="eastAsia" w:ascii="仿宋_GB2312" w:eastAsia="仿宋_GB2312" w:cs="仿宋_GB2312"/>
          <w:kern w:val="0"/>
          <w:sz w:val="32"/>
          <w:szCs w:val="32"/>
          <w:lang w:eastAsia="zh-CN"/>
        </w:rPr>
        <w:t>长</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val="en-US" w:eastAsia="zh-CN"/>
        </w:rPr>
        <w:t>2020年团市委在职人数多于上年，市财政局安排的</w:t>
      </w:r>
      <w:r>
        <w:rPr>
          <w:rFonts w:hint="eastAsia" w:ascii="仿宋_GB2312" w:eastAsia="仿宋_GB2312" w:cs="仿宋_GB2312"/>
          <w:kern w:val="0"/>
          <w:sz w:val="32"/>
          <w:szCs w:val="32"/>
        </w:rPr>
        <w:t>机关运行经费</w:t>
      </w:r>
      <w:r>
        <w:rPr>
          <w:rFonts w:hint="eastAsia" w:ascii="仿宋_GB2312" w:eastAsia="仿宋_GB2312" w:cs="仿宋_GB2312"/>
          <w:kern w:val="0"/>
          <w:sz w:val="32"/>
          <w:szCs w:val="32"/>
          <w:lang w:eastAsia="zh-CN"/>
        </w:rPr>
        <w:t>增加，支出也增加</w:t>
      </w:r>
      <w:r>
        <w:rPr>
          <w:rFonts w:hint="eastAsia" w:ascii="仿宋_GB2312" w:eastAsia="仿宋_GB2312" w:cs="仿宋_GB2312"/>
          <w:kern w:val="0"/>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35.75</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35.75</w:t>
      </w:r>
      <w:r>
        <w:rPr>
          <w:rFonts w:hint="eastAsia" w:ascii="仿宋_GB2312" w:eastAsia="仿宋_GB2312" w:cs="仿宋_GB2312"/>
          <w:kern w:val="0"/>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keepNext w:val="0"/>
        <w:keepLines w:val="0"/>
        <w:pageBreakBefore w:val="0"/>
        <w:widowControl w:val="0"/>
        <w:kinsoku/>
        <w:wordWrap/>
        <w:overflowPunct/>
        <w:topLinePunct w:val="0"/>
        <w:bidi w:val="0"/>
        <w:snapToGrid/>
        <w:spacing w:line="560" w:lineRule="exact"/>
        <w:ind w:left="0" w:firstLine="645"/>
        <w:jc w:val="center"/>
        <w:textAlignment w:val="auto"/>
        <w:rPr>
          <w:rFonts w:hint="eastAsia" w:ascii="仿宋_GB2312" w:eastAsia="仿宋_GB2312"/>
          <w:b/>
          <w:sz w:val="32"/>
          <w:szCs w:val="32"/>
        </w:rPr>
      </w:pPr>
      <w:r>
        <w:rPr>
          <w:rFonts w:hint="eastAsia" w:ascii="仿宋_GB2312" w:eastAsia="仿宋_GB2312"/>
          <w:b/>
          <w:sz w:val="32"/>
          <w:szCs w:val="32"/>
        </w:rPr>
        <w:t>第四部分：名词解释</w:t>
      </w:r>
    </w:p>
    <w:p>
      <w:pPr>
        <w:keepNext w:val="0"/>
        <w:keepLines w:val="0"/>
        <w:pageBreakBefore w:val="0"/>
        <w:widowControl w:val="0"/>
        <w:numPr>
          <w:ilvl w:val="0"/>
          <w:numId w:val="3"/>
        </w:numPr>
        <w:kinsoku/>
        <w:wordWrap/>
        <w:overflowPunct/>
        <w:topLinePunct w:val="0"/>
        <w:bidi w:val="0"/>
        <w:snapToGrid/>
        <w:spacing w:line="560" w:lineRule="exact"/>
        <w:ind w:left="0" w:leftChars="0" w:firstLine="645" w:firstLineChars="0"/>
        <w:textAlignment w:val="auto"/>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keepNext w:val="0"/>
        <w:keepLines w:val="0"/>
        <w:pageBreakBefore w:val="0"/>
        <w:widowControl w:val="0"/>
        <w:numPr>
          <w:ilvl w:val="0"/>
          <w:numId w:val="3"/>
        </w:numPr>
        <w:kinsoku/>
        <w:wordWrap/>
        <w:overflowPunct/>
        <w:topLinePunct w:val="0"/>
        <w:bidi w:val="0"/>
        <w:snapToGrid/>
        <w:spacing w:line="560" w:lineRule="exact"/>
        <w:ind w:left="0" w:leftChars="0" w:firstLine="645" w:firstLineChars="0"/>
        <w:textAlignment w:val="auto"/>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keepNext w:val="0"/>
        <w:keepLines w:val="0"/>
        <w:pageBreakBefore w:val="0"/>
        <w:widowControl w:val="0"/>
        <w:numPr>
          <w:ilvl w:val="0"/>
          <w:numId w:val="3"/>
        </w:numPr>
        <w:kinsoku/>
        <w:wordWrap/>
        <w:overflowPunct/>
        <w:topLinePunct w:val="0"/>
        <w:bidi w:val="0"/>
        <w:snapToGrid/>
        <w:spacing w:line="560" w:lineRule="exact"/>
        <w:ind w:left="0" w:leftChars="0" w:firstLine="645" w:firstLineChars="0"/>
        <w:textAlignment w:val="auto"/>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keepNext w:val="0"/>
        <w:keepLines w:val="0"/>
        <w:pageBreakBefore w:val="0"/>
        <w:widowControl w:val="0"/>
        <w:numPr>
          <w:ilvl w:val="0"/>
          <w:numId w:val="3"/>
        </w:numPr>
        <w:kinsoku/>
        <w:wordWrap/>
        <w:overflowPunct/>
        <w:topLinePunct w:val="0"/>
        <w:bidi w:val="0"/>
        <w:snapToGrid/>
        <w:spacing w:line="560" w:lineRule="exact"/>
        <w:ind w:left="0" w:leftChars="0" w:firstLine="645" w:firstLineChars="0"/>
        <w:textAlignment w:val="auto"/>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r>
        <w:rPr>
          <w:rFonts w:hint="eastAsia" w:ascii="仿宋_GB2312" w:eastAsia="仿宋_GB2312"/>
          <w:b w:val="0"/>
          <w:bCs/>
          <w:sz w:val="32"/>
          <w:szCs w:val="32"/>
          <w:lang w:eastAsia="zh-CN"/>
        </w:rPr>
        <w:t>利息；水电费；教育局学校系统相关培训及公益岗人员补等</w:t>
      </w:r>
      <w:r>
        <w:rPr>
          <w:rFonts w:hint="eastAsia" w:ascii="仿宋_GB2312" w:eastAsia="仿宋_GB2312"/>
          <w:b w:val="0"/>
          <w:bCs/>
          <w:sz w:val="32"/>
          <w:szCs w:val="32"/>
          <w:lang w:val="en-US" w:eastAsia="zh-CN"/>
        </w:rPr>
        <w:t>。</w:t>
      </w:r>
    </w:p>
    <w:p>
      <w:pPr>
        <w:keepNext w:val="0"/>
        <w:keepLines w:val="0"/>
        <w:pageBreakBefore w:val="0"/>
        <w:widowControl w:val="0"/>
        <w:numPr>
          <w:ilvl w:val="0"/>
          <w:numId w:val="3"/>
        </w:numPr>
        <w:kinsoku/>
        <w:wordWrap/>
        <w:overflowPunct/>
        <w:topLinePunct w:val="0"/>
        <w:bidi w:val="0"/>
        <w:snapToGrid/>
        <w:spacing w:line="560" w:lineRule="exact"/>
        <w:ind w:left="0" w:leftChars="0" w:firstLine="645" w:firstLineChars="0"/>
        <w:textAlignment w:val="auto"/>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val="0"/>
        <w:numPr>
          <w:ilvl w:val="0"/>
          <w:numId w:val="3"/>
        </w:numPr>
        <w:kinsoku/>
        <w:wordWrap/>
        <w:overflowPunct/>
        <w:topLinePunct w:val="0"/>
        <w:bidi w:val="0"/>
        <w:snapToGrid/>
        <w:spacing w:line="560" w:lineRule="exact"/>
        <w:ind w:left="0" w:leftChars="0" w:firstLine="645" w:firstLineChars="0"/>
        <w:textAlignment w:val="auto"/>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keepNext w:val="0"/>
        <w:keepLines w:val="0"/>
        <w:pageBreakBefore w:val="0"/>
        <w:widowControl w:val="0"/>
        <w:numPr>
          <w:ilvl w:val="0"/>
          <w:numId w:val="3"/>
        </w:numPr>
        <w:kinsoku/>
        <w:wordWrap/>
        <w:overflowPunct/>
        <w:topLinePunct w:val="0"/>
        <w:bidi w:val="0"/>
        <w:snapToGrid/>
        <w:spacing w:line="560" w:lineRule="exact"/>
        <w:ind w:left="0" w:leftChars="0" w:firstLine="645" w:firstLineChars="0"/>
        <w:textAlignment w:val="auto"/>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keepNext w:val="0"/>
        <w:keepLines w:val="0"/>
        <w:pageBreakBefore w:val="0"/>
        <w:widowControl w:val="0"/>
        <w:numPr>
          <w:ilvl w:val="0"/>
          <w:numId w:val="3"/>
        </w:numPr>
        <w:kinsoku/>
        <w:wordWrap/>
        <w:overflowPunct/>
        <w:topLinePunct w:val="0"/>
        <w:bidi w:val="0"/>
        <w:snapToGrid/>
        <w:spacing w:line="560" w:lineRule="exact"/>
        <w:ind w:left="0" w:leftChars="0" w:firstLine="645" w:firstLineChars="0"/>
        <w:textAlignment w:val="auto"/>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keepNext w:val="0"/>
        <w:keepLines w:val="0"/>
        <w:pageBreakBefore w:val="0"/>
        <w:widowControl w:val="0"/>
        <w:numPr>
          <w:ilvl w:val="0"/>
          <w:numId w:val="3"/>
        </w:numPr>
        <w:kinsoku/>
        <w:wordWrap/>
        <w:overflowPunct/>
        <w:topLinePunct w:val="0"/>
        <w:bidi w:val="0"/>
        <w:snapToGrid/>
        <w:spacing w:line="560" w:lineRule="exact"/>
        <w:ind w:left="0" w:leftChars="0" w:firstLine="645" w:firstLineChars="0"/>
        <w:textAlignment w:val="auto"/>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keepNext w:val="0"/>
        <w:keepLines w:val="0"/>
        <w:pageBreakBefore w:val="0"/>
        <w:widowControl w:val="0"/>
        <w:numPr>
          <w:ilvl w:val="0"/>
          <w:numId w:val="3"/>
        </w:numPr>
        <w:kinsoku/>
        <w:wordWrap/>
        <w:overflowPunct/>
        <w:topLinePunct w:val="0"/>
        <w:bidi w:val="0"/>
        <w:snapToGrid/>
        <w:spacing w:line="560" w:lineRule="exact"/>
        <w:ind w:left="0" w:leftChars="0" w:firstLine="645" w:firstLineChars="0"/>
        <w:textAlignment w:val="auto"/>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keepNext w:val="0"/>
        <w:keepLines w:val="0"/>
        <w:pageBreakBefore w:val="0"/>
        <w:widowControl w:val="0"/>
        <w:numPr>
          <w:ilvl w:val="0"/>
          <w:numId w:val="3"/>
        </w:numPr>
        <w:kinsoku/>
        <w:wordWrap/>
        <w:overflowPunct/>
        <w:topLinePunct w:val="0"/>
        <w:bidi w:val="0"/>
        <w:snapToGrid/>
        <w:spacing w:line="560" w:lineRule="exact"/>
        <w:ind w:left="0" w:leftChars="0" w:firstLine="645" w:firstLineChars="0"/>
        <w:textAlignment w:val="auto"/>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keepNext w:val="0"/>
        <w:keepLines w:val="0"/>
        <w:pageBreakBefore w:val="0"/>
        <w:widowControl w:val="0"/>
        <w:numPr>
          <w:ilvl w:val="0"/>
          <w:numId w:val="3"/>
        </w:numPr>
        <w:kinsoku/>
        <w:wordWrap/>
        <w:overflowPunct/>
        <w:topLinePunct w:val="0"/>
        <w:bidi w:val="0"/>
        <w:snapToGrid/>
        <w:spacing w:line="560" w:lineRule="exact"/>
        <w:ind w:left="0" w:leftChars="0" w:firstLine="645" w:firstLineChars="0"/>
        <w:textAlignment w:val="auto"/>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numPr>
          <w:ilvl w:val="0"/>
          <w:numId w:val="3"/>
        </w:numPr>
        <w:kinsoku/>
        <w:wordWrap/>
        <w:overflowPunct/>
        <w:topLinePunct w:val="0"/>
        <w:bidi w:val="0"/>
        <w:snapToGrid/>
        <w:spacing w:line="560" w:lineRule="exact"/>
        <w:ind w:left="0" w:leftChars="0" w:firstLine="645" w:firstLineChars="0"/>
        <w:textAlignment w:val="auto"/>
        <w:rPr>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pPr>
        <w:ind w:left="-15"/>
      </w:pPr>
      <w:rPr>
        <w:rFonts w:hint="eastAsia" w:ascii="仿宋_GB2312" w:hAnsi="仿宋_GB2312" w:eastAsia="仿宋_GB2312" w:cs="仿宋_GB2312"/>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6C1367"/>
    <w:rsid w:val="00715385"/>
    <w:rsid w:val="00F66C5B"/>
    <w:rsid w:val="048B7990"/>
    <w:rsid w:val="051867A4"/>
    <w:rsid w:val="06FE7DBD"/>
    <w:rsid w:val="08FC04A2"/>
    <w:rsid w:val="09F218AC"/>
    <w:rsid w:val="0BF81843"/>
    <w:rsid w:val="0DFC5C8A"/>
    <w:rsid w:val="0E074DDF"/>
    <w:rsid w:val="0E0A2972"/>
    <w:rsid w:val="0FCB4AF3"/>
    <w:rsid w:val="107036DA"/>
    <w:rsid w:val="11007E4D"/>
    <w:rsid w:val="124204B5"/>
    <w:rsid w:val="182962AB"/>
    <w:rsid w:val="192345C4"/>
    <w:rsid w:val="19670574"/>
    <w:rsid w:val="19D073EB"/>
    <w:rsid w:val="1A5A4071"/>
    <w:rsid w:val="1A8E6E70"/>
    <w:rsid w:val="1C1168F5"/>
    <w:rsid w:val="1CC31F67"/>
    <w:rsid w:val="1D0025E5"/>
    <w:rsid w:val="1E3D2B94"/>
    <w:rsid w:val="20DA5216"/>
    <w:rsid w:val="21B42BBE"/>
    <w:rsid w:val="24D337DC"/>
    <w:rsid w:val="26460DBA"/>
    <w:rsid w:val="29526FA0"/>
    <w:rsid w:val="29CD4F88"/>
    <w:rsid w:val="2B6F74EB"/>
    <w:rsid w:val="2C4219FE"/>
    <w:rsid w:val="2C723060"/>
    <w:rsid w:val="2EDA4667"/>
    <w:rsid w:val="30A77050"/>
    <w:rsid w:val="34020F86"/>
    <w:rsid w:val="34D243EF"/>
    <w:rsid w:val="39A63F06"/>
    <w:rsid w:val="3A877AA5"/>
    <w:rsid w:val="3ED1439F"/>
    <w:rsid w:val="3EDC26FE"/>
    <w:rsid w:val="42DF1E7A"/>
    <w:rsid w:val="435659EE"/>
    <w:rsid w:val="441F5424"/>
    <w:rsid w:val="45022841"/>
    <w:rsid w:val="46052775"/>
    <w:rsid w:val="48374EDC"/>
    <w:rsid w:val="4A40087A"/>
    <w:rsid w:val="4C256E3D"/>
    <w:rsid w:val="4CB52F0F"/>
    <w:rsid w:val="4DCB1C84"/>
    <w:rsid w:val="4E75595A"/>
    <w:rsid w:val="4EB420EE"/>
    <w:rsid w:val="4FE6063C"/>
    <w:rsid w:val="532F1F9A"/>
    <w:rsid w:val="53456529"/>
    <w:rsid w:val="53DF4BA7"/>
    <w:rsid w:val="54C94F38"/>
    <w:rsid w:val="5A4D09FE"/>
    <w:rsid w:val="5E995A3E"/>
    <w:rsid w:val="607A0E8D"/>
    <w:rsid w:val="613F6DE0"/>
    <w:rsid w:val="62163194"/>
    <w:rsid w:val="624D024D"/>
    <w:rsid w:val="650E086A"/>
    <w:rsid w:val="669F6C92"/>
    <w:rsid w:val="66F02360"/>
    <w:rsid w:val="696D0DB3"/>
    <w:rsid w:val="6A5A2B33"/>
    <w:rsid w:val="6AB93E3F"/>
    <w:rsid w:val="6BAA0708"/>
    <w:rsid w:val="6C167482"/>
    <w:rsid w:val="70AB01BF"/>
    <w:rsid w:val="74931B69"/>
    <w:rsid w:val="760A5628"/>
    <w:rsid w:val="797927A0"/>
    <w:rsid w:val="7A4E4462"/>
    <w:rsid w:val="7A63291F"/>
    <w:rsid w:val="7BA01135"/>
    <w:rsid w:val="7BA24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page number"/>
    <w:basedOn w:val="6"/>
    <w:qFormat/>
    <w:uiPriority w:val="0"/>
  </w:style>
  <w:style w:type="character" w:styleId="9">
    <w:name w:val="Emphasis"/>
    <w:basedOn w:val="6"/>
    <w:qFormat/>
    <w:uiPriority w:val="0"/>
    <w:rPr>
      <w:i/>
    </w:rPr>
  </w:style>
  <w:style w:type="character" w:customStyle="1" w:styleId="10">
    <w:name w:val="批注框文本 Char"/>
    <w:basedOn w:val="6"/>
    <w:link w:val="2"/>
    <w:qFormat/>
    <w:uiPriority w:val="0"/>
    <w:rPr>
      <w:kern w:val="2"/>
      <w:sz w:val="18"/>
      <w:szCs w:val="18"/>
    </w:rPr>
  </w:style>
  <w:style w:type="character" w:customStyle="1" w:styleId="11">
    <w:name w:val="font11"/>
    <w:basedOn w:val="6"/>
    <w:qFormat/>
    <w:uiPriority w:val="0"/>
    <w:rPr>
      <w:rFonts w:hint="eastAsia" w:ascii="宋体" w:hAnsi="宋体" w:eastAsia="宋体" w:cs="宋体"/>
      <w:color w:val="000000"/>
      <w:sz w:val="22"/>
      <w:szCs w:val="22"/>
      <w:u w:val="none"/>
    </w:rPr>
  </w:style>
  <w:style w:type="character" w:customStyle="1" w:styleId="12">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6270</Words>
  <Characters>6981</Characters>
  <Lines>60</Lines>
  <Paragraphs>17</Paragraphs>
  <TotalTime>1</TotalTime>
  <ScaleCrop>false</ScaleCrop>
  <LinksUpToDate>false</LinksUpToDate>
  <CharactersWithSpaces>7048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2022-10-21T03:26:04Z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422434182E6B45BCAD8A523A4262940F</vt:lpwstr>
  </property>
</Properties>
</file>