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中国民主同盟柳州市委员会</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九、2020年度</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概况</w:t>
      </w:r>
    </w:p>
    <w:p>
      <w:pPr>
        <w:ind w:firstLine="646"/>
        <w:jc w:val="center"/>
        <w:rPr>
          <w:rFonts w:ascii="仿宋_GB2312" w:eastAsia="仿宋_GB2312"/>
          <w:b/>
          <w:sz w:val="32"/>
          <w:szCs w:val="32"/>
        </w:rPr>
      </w:pPr>
    </w:p>
    <w:p>
      <w:pPr>
        <w:ind w:left="646"/>
        <w:rPr>
          <w:rFonts w:ascii="仿宋_GB2312" w:eastAsia="仿宋_GB2312"/>
          <w:b/>
          <w:sz w:val="32"/>
          <w:szCs w:val="32"/>
        </w:rPr>
      </w:pPr>
      <w:r>
        <w:rPr>
          <w:rFonts w:hint="eastAsia" w:ascii="仿宋_GB2312" w:eastAsia="仿宋_GB2312"/>
          <w:b/>
          <w:sz w:val="32"/>
          <w:szCs w:val="32"/>
        </w:rPr>
        <w:t>一、主要职能</w:t>
      </w:r>
    </w:p>
    <w:p>
      <w:pPr>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中国民主同盟是主要由从事文化教育以及科学技术工作的高、中级知识分子组成的，具有政治联盟特点的，接受中国共产党领导、同中国共产党通力合作，进步性与广泛性相统一的中国特色社会主义参政党</w:t>
      </w:r>
      <w:r>
        <w:rPr>
          <w:rFonts w:ascii="仿宋_GB2312" w:eastAsia="仿宋_GB2312" w:cs="仿宋_GB2312"/>
          <w:sz w:val="32"/>
          <w:szCs w:val="32"/>
          <w:shd w:val="clear" w:color="auto" w:fill="FFFFFF"/>
        </w:rPr>
        <w:t>。民盟柳州市委是中国共产党领导的多党合作和政治协商制度的组成部分，其主要职能是：参政议政，民主监督，</w:t>
      </w:r>
      <w:r>
        <w:rPr>
          <w:rFonts w:hint="eastAsia" w:ascii="仿宋_GB2312" w:eastAsia="仿宋_GB2312" w:cs="仿宋_GB2312"/>
          <w:sz w:val="32"/>
          <w:szCs w:val="32"/>
          <w:shd w:val="clear" w:color="auto" w:fill="FFFFFF"/>
        </w:rPr>
        <w:t>参加中国共产党领导的政治协商以及</w:t>
      </w:r>
      <w:r>
        <w:rPr>
          <w:rFonts w:ascii="仿宋_GB2312" w:eastAsia="仿宋_GB2312" w:cs="仿宋_GB2312"/>
          <w:sz w:val="32"/>
          <w:szCs w:val="32"/>
          <w:shd w:val="clear" w:color="auto" w:fill="FFFFFF"/>
        </w:rPr>
        <w:t>社会服务等，并通过调查研究向党委、政府提出意见和建议。在加强自身思想建设和组织建设的同时，开展参政议政调研、民主监督、社会服务及民盟</w:t>
      </w:r>
      <w:r>
        <w:rPr>
          <w:rFonts w:hint="eastAsia" w:ascii="仿宋_GB2312" w:eastAsia="仿宋_GB2312" w:cs="仿宋_GB2312"/>
          <w:sz w:val="32"/>
          <w:szCs w:val="32"/>
          <w:shd w:val="clear" w:color="auto" w:fill="FFFFFF"/>
        </w:rPr>
        <w:t>盟</w:t>
      </w:r>
      <w:r>
        <w:rPr>
          <w:rFonts w:ascii="仿宋_GB2312" w:eastAsia="仿宋_GB2312" w:cs="仿宋_GB2312"/>
          <w:sz w:val="32"/>
          <w:szCs w:val="32"/>
          <w:shd w:val="clear" w:color="auto" w:fill="FFFFFF"/>
        </w:rPr>
        <w:t>务工作。</w:t>
      </w:r>
    </w:p>
    <w:p>
      <w:pPr>
        <w:ind w:firstLine="640" w:firstLineChars="200"/>
        <w:rPr>
          <w:rFonts w:ascii="仿宋_GB2312" w:eastAsia="仿宋_GB2312" w:cs="仿宋_GB2312"/>
          <w:sz w:val="32"/>
          <w:szCs w:val="32"/>
          <w:shd w:val="clear" w:color="auto" w:fill="FFFFFF"/>
        </w:rPr>
      </w:pPr>
    </w:p>
    <w:p>
      <w:pPr>
        <w:ind w:firstLine="646"/>
        <w:rPr>
          <w:rFonts w:ascii="仿宋_GB2312" w:eastAsia="仿宋_GB2312"/>
          <w:b/>
          <w:sz w:val="32"/>
          <w:szCs w:val="32"/>
        </w:rPr>
      </w:pPr>
      <w:r>
        <w:rPr>
          <w:rFonts w:hint="eastAsia" w:ascii="仿宋_GB2312" w:eastAsia="仿宋_GB2312"/>
          <w:b/>
          <w:sz w:val="32"/>
          <w:szCs w:val="32"/>
        </w:rPr>
        <w:t>二、部门决算单位构成</w:t>
      </w:r>
    </w:p>
    <w:p>
      <w:pPr>
        <w:ind w:firstLine="640" w:firstLineChars="200"/>
      </w:pPr>
      <w:r>
        <w:rPr>
          <w:rFonts w:ascii="仿宋_GB2312" w:eastAsia="仿宋_GB2312" w:cs="仿宋_GB2312"/>
          <w:sz w:val="32"/>
          <w:szCs w:val="32"/>
          <w:shd w:val="clear" w:color="auto" w:fill="FFFFFF"/>
        </w:rPr>
        <w:t>中国民主同盟柳州市委员会（简称“民盟柳州市委”）成立于1951年8月。目前，盟市委共设置</w:t>
      </w:r>
      <w:r>
        <w:rPr>
          <w:rFonts w:ascii="仿宋_GB2312" w:hAnsi="宋体" w:eastAsia="仿宋_GB2312" w:cs="仿宋_GB2312"/>
          <w:kern w:val="0"/>
          <w:sz w:val="32"/>
          <w:szCs w:val="32"/>
          <w:shd w:val="clear" w:color="auto" w:fill="FFFFFF"/>
        </w:rPr>
        <w:t>3个职能科室，具体为：办公室、组织科、宣传科。现有编制数14名。单位在职职工实际使用编制数为1</w:t>
      </w:r>
      <w:r>
        <w:rPr>
          <w:rFonts w:hint="eastAsia" w:ascii="仿宋_GB2312" w:hAnsi="宋体" w:eastAsia="仿宋_GB2312" w:cs="仿宋_GB2312"/>
          <w:kern w:val="0"/>
          <w:sz w:val="32"/>
          <w:szCs w:val="32"/>
          <w:shd w:val="clear" w:color="auto" w:fill="FFFFFF"/>
        </w:rPr>
        <w:t>2</w:t>
      </w:r>
      <w:r>
        <w:rPr>
          <w:rFonts w:ascii="仿宋_GB2312" w:hAnsi="宋体" w:eastAsia="仿宋_GB2312" w:cs="仿宋_GB2312"/>
          <w:kern w:val="0"/>
          <w:sz w:val="32"/>
          <w:szCs w:val="32"/>
          <w:shd w:val="clear" w:color="auto" w:fill="FFFFFF"/>
        </w:rPr>
        <w:t>人，离退休职工实际使用编制数为7人。</w:t>
      </w:r>
    </w:p>
    <w:p>
      <w:pPr>
        <w:ind w:firstLine="646"/>
        <w:rPr>
          <w:rFonts w:ascii="仿宋_GB2312" w:eastAsia="仿宋_GB2312"/>
          <w:b/>
          <w:sz w:val="32"/>
          <w:szCs w:val="32"/>
        </w:rPr>
      </w:pPr>
    </w:p>
    <w:p/>
    <w:p>
      <w:pPr>
        <w:widowControl/>
        <w:jc w:val="left"/>
        <w:rPr>
          <w:rFonts w:ascii="仿宋_GB2312" w:eastAsia="仿宋_GB2312"/>
          <w:b/>
          <w:sz w:val="32"/>
          <w:szCs w:val="32"/>
        </w:rPr>
      </w:pPr>
      <w:r>
        <w:rPr>
          <w:rFonts w:ascii="仿宋_GB2312" w:eastAsia="仿宋_GB2312"/>
          <w:b/>
          <w:sz w:val="32"/>
          <w:szCs w:val="32"/>
        </w:rPr>
        <w:br w:type="page"/>
      </w: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2020年部门决算报表</w:t>
      </w:r>
    </w:p>
    <w:p>
      <w:pPr>
        <w:ind w:firstLine="640" w:firstLineChars="200"/>
        <w:rPr>
          <w:rFonts w:ascii="仿宋_GB2312" w:hAnsi="黑体" w:eastAsia="仿宋_GB2312"/>
          <w:sz w:val="32"/>
          <w:szCs w:val="32"/>
        </w:rPr>
      </w:pPr>
    </w:p>
    <w:tbl>
      <w:tblPr>
        <w:tblStyle w:val="5"/>
        <w:tblW w:w="8720" w:type="dxa"/>
        <w:jc w:val="center"/>
        <w:tblLayout w:type="fixed"/>
        <w:tblCellMar>
          <w:top w:w="0" w:type="dxa"/>
          <w:left w:w="108" w:type="dxa"/>
          <w:bottom w:w="0" w:type="dxa"/>
          <w:right w:w="108" w:type="dxa"/>
        </w:tblCellMar>
      </w:tblPr>
      <w:tblGrid>
        <w:gridCol w:w="2895"/>
        <w:gridCol w:w="1085"/>
        <w:gridCol w:w="3123"/>
        <w:gridCol w:w="1617"/>
      </w:tblGrid>
      <w:tr>
        <w:tblPrEx>
          <w:tblCellMar>
            <w:top w:w="0" w:type="dxa"/>
            <w:left w:w="108" w:type="dxa"/>
            <w:bottom w:w="0" w:type="dxa"/>
            <w:right w:w="108" w:type="dxa"/>
          </w:tblCellMar>
        </w:tblPrEx>
        <w:trPr>
          <w:wAfter w:w="0" w:type="auto"/>
          <w:trHeight w:val="570" w:hRule="atLeast"/>
          <w:jc w:val="center"/>
        </w:trPr>
        <w:tc>
          <w:tcPr>
            <w:tcW w:w="8720"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346.73</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235.78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三、国防支出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四、公共安全支出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五、教育支出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六、科学技术支出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八、社会保障和就业支出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60.17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九、卫生健康支出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31.04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十九、住房保障支出</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19.74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346.73</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346.73</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p>
        </w:tc>
      </w:tr>
      <w:tr>
        <w:tblPrEx>
          <w:tblCellMar>
            <w:top w:w="0" w:type="dxa"/>
            <w:left w:w="108" w:type="dxa"/>
            <w:bottom w:w="0" w:type="dxa"/>
            <w:right w:w="108" w:type="dxa"/>
          </w:tblCellMar>
        </w:tblPrEx>
        <w:trPr>
          <w:trHeight w:val="262"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346.73</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tcBorders>
              <w:top w:val="nil"/>
              <w:left w:val="nil"/>
              <w:bottom w:val="single" w:color="auto" w:sz="4" w:space="0"/>
              <w:right w:val="single" w:color="auto" w:sz="4" w:space="0"/>
            </w:tcBorders>
            <w:vAlign w:val="center"/>
          </w:tcPr>
          <w:p>
            <w:pPr>
              <w:widowControl/>
              <w:jc w:val="right"/>
              <w:rPr>
                <w:rFonts w:ascii="宋体" w:hAnsi="宋体" w:cs="宋体"/>
                <w:b/>
                <w:color w:val="000000"/>
                <w:kern w:val="0"/>
                <w:sz w:val="22"/>
                <w:szCs w:val="22"/>
              </w:rPr>
            </w:pPr>
            <w:r>
              <w:rPr>
                <w:rFonts w:hint="eastAsia" w:ascii="宋体" w:hAnsi="宋体" w:cs="宋体"/>
                <w:b/>
                <w:color w:val="000000"/>
                <w:kern w:val="0"/>
                <w:sz w:val="22"/>
                <w:szCs w:val="22"/>
              </w:rPr>
              <w:t>346.73</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4140" w:type="dxa"/>
        <w:jc w:val="center"/>
        <w:tblLayout w:type="fixed"/>
        <w:tblCellMar>
          <w:top w:w="0" w:type="dxa"/>
          <w:left w:w="108" w:type="dxa"/>
          <w:bottom w:w="0" w:type="dxa"/>
          <w:right w:w="108" w:type="dxa"/>
        </w:tblCellMar>
      </w:tblPr>
      <w:tblGrid>
        <w:gridCol w:w="1367"/>
        <w:gridCol w:w="4111"/>
        <w:gridCol w:w="1134"/>
        <w:gridCol w:w="1134"/>
        <w:gridCol w:w="992"/>
        <w:gridCol w:w="1134"/>
        <w:gridCol w:w="1188"/>
        <w:gridCol w:w="1540"/>
        <w:gridCol w:w="1540"/>
      </w:tblGrid>
      <w:tr>
        <w:tblPrEx>
          <w:tblCellMar>
            <w:top w:w="0" w:type="dxa"/>
            <w:left w:w="108" w:type="dxa"/>
            <w:bottom w:w="0" w:type="dxa"/>
            <w:right w:w="108" w:type="dxa"/>
          </w:tblCellMar>
        </w:tblPrEx>
        <w:trPr>
          <w:trHeight w:val="288" w:hRule="atLeast"/>
          <w:jc w:val="center"/>
        </w:trPr>
        <w:tc>
          <w:tcPr>
            <w:tcW w:w="5478"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13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p>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1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582" w:hRule="atLeast"/>
          <w:jc w:val="center"/>
        </w:trPr>
        <w:tc>
          <w:tcPr>
            <w:tcW w:w="1367"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411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3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5478"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18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5478"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34" w:type="dxa"/>
            <w:tcBorders>
              <w:top w:val="nil"/>
              <w:left w:val="nil"/>
              <w:bottom w:val="single" w:color="auto" w:sz="4" w:space="0"/>
              <w:right w:val="single" w:color="auto" w:sz="4" w:space="0"/>
            </w:tcBorders>
          </w:tcPr>
          <w:p>
            <w:pPr>
              <w:widowControl/>
              <w:jc w:val="right"/>
              <w:textAlignment w:val="center"/>
              <w:rPr>
                <w:rFonts w:ascii="宋体" w:hAnsi="宋体" w:cs="宋体"/>
                <w:color w:val="000000"/>
                <w:kern w:val="0"/>
                <w:sz w:val="24"/>
              </w:rPr>
            </w:pPr>
            <w:r>
              <w:rPr>
                <w:rFonts w:hint="eastAsia" w:ascii="宋体" w:hAnsi="宋体" w:cs="宋体"/>
                <w:color w:val="000000"/>
                <w:kern w:val="0"/>
                <w:sz w:val="24"/>
              </w:rPr>
              <w:t>346.73</w:t>
            </w:r>
          </w:p>
        </w:tc>
        <w:tc>
          <w:tcPr>
            <w:tcW w:w="1134" w:type="dxa"/>
            <w:tcBorders>
              <w:top w:val="nil"/>
              <w:left w:val="nil"/>
              <w:bottom w:val="single" w:color="auto" w:sz="4" w:space="0"/>
              <w:right w:val="single" w:color="auto" w:sz="4" w:space="0"/>
            </w:tcBorders>
          </w:tcPr>
          <w:p>
            <w:pPr>
              <w:widowControl/>
              <w:jc w:val="right"/>
              <w:textAlignment w:val="center"/>
              <w:rPr>
                <w:rFonts w:ascii="宋体" w:hAnsi="宋体" w:cs="宋体"/>
                <w:color w:val="000000"/>
                <w:kern w:val="0"/>
                <w:sz w:val="24"/>
              </w:rPr>
            </w:pPr>
            <w:r>
              <w:rPr>
                <w:rFonts w:hint="eastAsia" w:ascii="宋体" w:hAnsi="宋体" w:cs="宋体"/>
                <w:color w:val="000000"/>
                <w:kern w:val="0"/>
                <w:sz w:val="24"/>
              </w:rPr>
              <w:t>346.73　</w:t>
            </w:r>
          </w:p>
        </w:tc>
        <w:tc>
          <w:tcPr>
            <w:tcW w:w="99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88"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w:t>
            </w:r>
          </w:p>
        </w:tc>
        <w:tc>
          <w:tcPr>
            <w:tcW w:w="4111"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一般公共服务支出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235.78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235.78</w:t>
            </w:r>
          </w:p>
        </w:tc>
        <w:tc>
          <w:tcPr>
            <w:tcW w:w="99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w:t>
            </w:r>
          </w:p>
        </w:tc>
        <w:tc>
          <w:tcPr>
            <w:tcW w:w="4111"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民主党派及工商联事务</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235.78</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235.78</w:t>
            </w:r>
          </w:p>
        </w:tc>
        <w:tc>
          <w:tcPr>
            <w:tcW w:w="99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2012801</w:t>
            </w:r>
          </w:p>
        </w:tc>
        <w:tc>
          <w:tcPr>
            <w:tcW w:w="4111"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行政运行</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194.93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194.93</w:t>
            </w:r>
          </w:p>
        </w:tc>
        <w:tc>
          <w:tcPr>
            <w:tcW w:w="99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2012802</w:t>
            </w:r>
          </w:p>
        </w:tc>
        <w:tc>
          <w:tcPr>
            <w:tcW w:w="4111"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一般行政管理事务</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8.5</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8.5</w:t>
            </w:r>
          </w:p>
        </w:tc>
        <w:tc>
          <w:tcPr>
            <w:tcW w:w="99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34"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2012804</w:t>
            </w:r>
          </w:p>
        </w:tc>
        <w:tc>
          <w:tcPr>
            <w:tcW w:w="4111"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参政议政</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32.35</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32.35</w:t>
            </w:r>
          </w:p>
        </w:tc>
        <w:tc>
          <w:tcPr>
            <w:tcW w:w="99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67"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w:t>
            </w:r>
          </w:p>
        </w:tc>
        <w:tc>
          <w:tcPr>
            <w:tcW w:w="4111"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社会保障和就业支出</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60.17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60.17</w:t>
            </w:r>
          </w:p>
        </w:tc>
        <w:tc>
          <w:tcPr>
            <w:tcW w:w="99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88"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行政事业单位养老支出</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60.17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60.17</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2080501</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行政单位离退休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25.58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25.58</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2080505</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机关事业单位基本养老保险缴费支出</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23.95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23.95</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2080506</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机关事业单位职业年金缴费支出</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10.63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10.63</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卫生健康支出</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31.04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31.04</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21011</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行政事业单位医疗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31.04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31.04</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2101101</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行政单位医疗</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20.73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7.01</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2101103</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公务员医疗补助</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10.31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4.63</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住房保障支出</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19.74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19.74</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22102</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住房改革支出</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19.74</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19.74 </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2210201</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住房公积金</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17.43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17.43 </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2210203</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购房补贴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2.31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2.31</w:t>
            </w:r>
          </w:p>
        </w:tc>
        <w:tc>
          <w:tcPr>
            <w:tcW w:w="992"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34"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88"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bl>
    <w:p>
      <w:r>
        <w:rPr>
          <w:rFonts w:hint="eastAsia"/>
        </w:rPr>
        <w:t>注：本表反映部门本年度取得的各项收入情况。</w:t>
      </w: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4049" w:type="dxa"/>
        <w:jc w:val="center"/>
        <w:tblLayout w:type="fixed"/>
        <w:tblCellMar>
          <w:top w:w="0" w:type="dxa"/>
          <w:left w:w="108" w:type="dxa"/>
          <w:bottom w:w="0" w:type="dxa"/>
          <w:right w:w="108" w:type="dxa"/>
        </w:tblCellMar>
      </w:tblPr>
      <w:tblGrid>
        <w:gridCol w:w="1464"/>
        <w:gridCol w:w="4111"/>
        <w:gridCol w:w="992"/>
        <w:gridCol w:w="1134"/>
        <w:gridCol w:w="1134"/>
        <w:gridCol w:w="1386"/>
        <w:gridCol w:w="1843"/>
        <w:gridCol w:w="1985"/>
      </w:tblGrid>
      <w:tr>
        <w:tblPrEx>
          <w:tblCellMar>
            <w:top w:w="0" w:type="dxa"/>
            <w:left w:w="108" w:type="dxa"/>
            <w:bottom w:w="0" w:type="dxa"/>
            <w:right w:w="108" w:type="dxa"/>
          </w:tblCellMar>
        </w:tblPrEx>
        <w:trPr>
          <w:trHeight w:val="288" w:hRule="atLeast"/>
          <w:jc w:val="center"/>
        </w:trPr>
        <w:tc>
          <w:tcPr>
            <w:tcW w:w="55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3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411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5575"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99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134" w:type="dxa"/>
            <w:tcBorders>
              <w:top w:val="nil"/>
              <w:left w:val="nil"/>
              <w:bottom w:val="single" w:color="auto" w:sz="4" w:space="0"/>
              <w:right w:val="single" w:color="auto" w:sz="4" w:space="0"/>
            </w:tcBorders>
          </w:tcPr>
          <w:p>
            <w:pPr>
              <w:widowControl/>
              <w:ind w:firstLine="330" w:firstLineChars="150"/>
              <w:jc w:val="center"/>
              <w:rPr>
                <w:rFonts w:ascii="宋体" w:hAnsi="宋体" w:cs="Arial"/>
                <w:color w:val="000000"/>
                <w:kern w:val="0"/>
                <w:sz w:val="22"/>
                <w:szCs w:val="22"/>
              </w:rPr>
            </w:pPr>
            <w:r>
              <w:rPr>
                <w:rFonts w:hint="eastAsia" w:ascii="宋体" w:hAnsi="宋体" w:cs="Arial"/>
                <w:kern w:val="0"/>
                <w:sz w:val="22"/>
                <w:szCs w:val="22"/>
              </w:rPr>
              <w:t>2</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38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5575"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992"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346.73</w:t>
            </w:r>
          </w:p>
        </w:tc>
        <w:tc>
          <w:tcPr>
            <w:tcW w:w="1134"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314.38</w:t>
            </w:r>
          </w:p>
        </w:tc>
        <w:tc>
          <w:tcPr>
            <w:tcW w:w="1134"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32.35　</w:t>
            </w:r>
          </w:p>
        </w:tc>
        <w:tc>
          <w:tcPr>
            <w:tcW w:w="1386"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w:t>
            </w:r>
          </w:p>
        </w:tc>
        <w:tc>
          <w:tcPr>
            <w:tcW w:w="4111"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一般公共服务支出</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235.78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203.43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32.35 </w:t>
            </w:r>
          </w:p>
        </w:tc>
        <w:tc>
          <w:tcPr>
            <w:tcW w:w="1386"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w:t>
            </w:r>
          </w:p>
        </w:tc>
        <w:tc>
          <w:tcPr>
            <w:tcW w:w="4111"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民主党派及工商联事务</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235.78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203.43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32.35</w:t>
            </w:r>
          </w:p>
        </w:tc>
        <w:tc>
          <w:tcPr>
            <w:tcW w:w="1386"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2012801</w:t>
            </w:r>
          </w:p>
        </w:tc>
        <w:tc>
          <w:tcPr>
            <w:tcW w:w="4111"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行政运行</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194.93 </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194.93</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2012802</w:t>
            </w:r>
          </w:p>
        </w:tc>
        <w:tc>
          <w:tcPr>
            <w:tcW w:w="4111"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一般行政管理事务</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8.5</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8.5</w:t>
            </w:r>
          </w:p>
        </w:tc>
        <w:tc>
          <w:tcPr>
            <w:tcW w:w="113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38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2012804</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参政议政</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32.35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32.35 </w:t>
            </w: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w:t>
            </w:r>
          </w:p>
        </w:tc>
        <w:tc>
          <w:tcPr>
            <w:tcW w:w="4111"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社会保障和就业支出</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60.17</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60.17</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w:t>
            </w:r>
          </w:p>
        </w:tc>
        <w:tc>
          <w:tcPr>
            <w:tcW w:w="4111"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行政事业单位养老支出</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60.17</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60.17</w:t>
            </w:r>
          </w:p>
        </w:tc>
        <w:tc>
          <w:tcPr>
            <w:tcW w:w="1134"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2080501</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行政单位离退休</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25.58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25.58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2080505</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机关事业单位基本养老保险缴费支出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23.95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23.95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2080506</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机关事业单位职业年金缴费支出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10.63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10.63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卫生健康支出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31.04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31.04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21011</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行政事业单位医疗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31.04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31.04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2101101</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行政单位医疗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20.73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20.73</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2101103</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公务员医疗补助</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10.31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10.31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住房保障支出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19.74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19.74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22102</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住房改革支出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19.74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19.74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2210201</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住房公积金</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17.43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17.43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4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2210203</w:t>
            </w:r>
          </w:p>
        </w:tc>
        <w:tc>
          <w:tcPr>
            <w:tcW w:w="41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购房补贴</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2.31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2.31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1386"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r>
    </w:tbl>
    <w:p>
      <w:r>
        <w:rPr>
          <w:rFonts w:hint="eastAsia"/>
        </w:rPr>
        <w:t>注：本表反映部门本年度各项支出情况。</w:t>
      </w:r>
    </w:p>
    <w:p>
      <w:pPr>
        <w:ind w:firstLine="3600" w:firstLineChars="1000"/>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ind w:firstLine="2200" w:firstLineChars="1000"/>
        <w:jc w:val="right"/>
      </w:pPr>
      <w:r>
        <w:rPr>
          <w:rFonts w:hint="eastAsia"/>
          <w:sz w:val="22"/>
          <w:szCs w:val="22"/>
        </w:rPr>
        <w:t>单位：万元</w:t>
      </w:r>
    </w:p>
    <w:tbl>
      <w:tblPr>
        <w:tblStyle w:val="5"/>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385"/>
        <w:gridCol w:w="717"/>
        <w:gridCol w:w="878"/>
        <w:gridCol w:w="3372"/>
        <w:gridCol w:w="681"/>
        <w:gridCol w:w="1267"/>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438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17"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87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17"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7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7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346.73　</w:t>
            </w:r>
          </w:p>
        </w:tc>
        <w:tc>
          <w:tcPr>
            <w:tcW w:w="337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235.78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235.78</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78"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tcPr>
          <w:p>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878"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三、国防支出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tcPr>
          <w:p>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878"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四、公共安全支出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78"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五、教育支出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78"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六、科学技术支出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tcPr>
          <w:p>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880" w:firstLineChars="4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878"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八、社会保障和就业支出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60.17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60.17</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78"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九、卫生健康支出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31.04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31.04</w:t>
            </w:r>
          </w:p>
        </w:tc>
        <w:tc>
          <w:tcPr>
            <w:tcW w:w="1316"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878"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2"/>
                <w:szCs w:val="22"/>
              </w:rPr>
              <w:t>十九、住房保障支出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19.74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19.74</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878"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tcPr>
          <w:p>
            <w:pPr>
              <w:widowControl/>
              <w:ind w:firstLine="660" w:firstLineChars="3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878"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87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346.73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346.73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87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87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878" w:type="dxa"/>
            <w:tcBorders>
              <w:top w:val="nil"/>
              <w:left w:val="nil"/>
              <w:bottom w:val="single" w:color="auto" w:sz="4" w:space="0"/>
              <w:right w:val="single" w:color="auto" w:sz="4" w:space="0"/>
            </w:tcBorders>
          </w:tcPr>
          <w:p>
            <w:pPr>
              <w:widowControl/>
              <w:ind w:firstLine="440" w:firstLineChars="2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878" w:type="dxa"/>
            <w:tcBorders>
              <w:top w:val="nil"/>
              <w:left w:val="nil"/>
              <w:bottom w:val="single" w:color="auto" w:sz="4" w:space="0"/>
              <w:right w:val="single" w:color="auto" w:sz="4" w:space="0"/>
            </w:tcBorders>
          </w:tcPr>
          <w:p>
            <w:pPr>
              <w:widowControl/>
              <w:ind w:firstLine="220" w:firstLineChars="10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8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878" w:type="dxa"/>
            <w:tcBorders>
              <w:top w:val="nil"/>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346.73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346.73　</w:t>
            </w:r>
          </w:p>
        </w:tc>
      </w:tr>
    </w:tbl>
    <w:p>
      <w:r>
        <w:rPr>
          <w:rFonts w:hint="eastAsia"/>
        </w:rPr>
        <w:t>注：本表反映部门本年度一般公共预算财政拨款和政府性基金预算财政拨款的总收支和年末结转结余情况。</w:t>
      </w:r>
    </w:p>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462"/>
        <w:gridCol w:w="3969"/>
        <w:gridCol w:w="1752"/>
        <w:gridCol w:w="2900"/>
        <w:gridCol w:w="3396"/>
      </w:tblGrid>
      <w:tr>
        <w:tblPrEx>
          <w:tblCellMar>
            <w:top w:w="0" w:type="dxa"/>
            <w:left w:w="108" w:type="dxa"/>
            <w:bottom w:w="0" w:type="dxa"/>
            <w:right w:w="108" w:type="dxa"/>
          </w:tblCellMar>
        </w:tblPrEx>
        <w:trPr>
          <w:trHeight w:val="300" w:hRule="atLeast"/>
          <w:jc w:val="center"/>
        </w:trPr>
        <w:tc>
          <w:tcPr>
            <w:tcW w:w="54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17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462"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969"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17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431"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1752"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5431"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1752"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b/>
                <w:bCs/>
                <w:color w:val="000000"/>
                <w:kern w:val="0"/>
                <w:sz w:val="22"/>
                <w:szCs w:val="22"/>
              </w:rPr>
              <w:t>346.73</w:t>
            </w:r>
          </w:p>
        </w:tc>
        <w:tc>
          <w:tcPr>
            <w:tcW w:w="290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b/>
                <w:bCs/>
                <w:color w:val="000000"/>
                <w:kern w:val="0"/>
                <w:sz w:val="22"/>
                <w:szCs w:val="22"/>
              </w:rPr>
              <w:t>314.38</w:t>
            </w:r>
          </w:p>
        </w:tc>
        <w:tc>
          <w:tcPr>
            <w:tcW w:w="339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b/>
                <w:bCs/>
                <w:color w:val="000000"/>
                <w:kern w:val="0"/>
                <w:sz w:val="22"/>
                <w:szCs w:val="22"/>
              </w:rPr>
              <w:t>32.35</w:t>
            </w: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一般公共服务支出</w:t>
            </w:r>
          </w:p>
        </w:tc>
        <w:tc>
          <w:tcPr>
            <w:tcW w:w="1752"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235.78 </w:t>
            </w:r>
          </w:p>
        </w:tc>
        <w:tc>
          <w:tcPr>
            <w:tcW w:w="2900"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203.43 </w:t>
            </w:r>
          </w:p>
        </w:tc>
        <w:tc>
          <w:tcPr>
            <w:tcW w:w="3396"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32.35 </w:t>
            </w: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民主党派及工商联事务</w:t>
            </w:r>
          </w:p>
        </w:tc>
        <w:tc>
          <w:tcPr>
            <w:tcW w:w="1752"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235.78 </w:t>
            </w:r>
          </w:p>
        </w:tc>
        <w:tc>
          <w:tcPr>
            <w:tcW w:w="2900"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203.43 </w:t>
            </w:r>
          </w:p>
        </w:tc>
        <w:tc>
          <w:tcPr>
            <w:tcW w:w="3396"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32.35</w:t>
            </w: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2012801</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行政运行</w:t>
            </w:r>
          </w:p>
        </w:tc>
        <w:tc>
          <w:tcPr>
            <w:tcW w:w="1752"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194.93 </w:t>
            </w:r>
          </w:p>
        </w:tc>
        <w:tc>
          <w:tcPr>
            <w:tcW w:w="2900"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194.93</w:t>
            </w:r>
          </w:p>
        </w:tc>
        <w:tc>
          <w:tcPr>
            <w:tcW w:w="3396"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1462"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2012802</w:t>
            </w:r>
          </w:p>
        </w:tc>
        <w:tc>
          <w:tcPr>
            <w:tcW w:w="3969" w:type="dxa"/>
            <w:tcBorders>
              <w:top w:val="nil"/>
              <w:left w:val="nil"/>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一般行政管理事务</w:t>
            </w:r>
          </w:p>
        </w:tc>
        <w:tc>
          <w:tcPr>
            <w:tcW w:w="1752"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8.5</w:t>
            </w:r>
          </w:p>
        </w:tc>
        <w:tc>
          <w:tcPr>
            <w:tcW w:w="2900"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8.5</w:t>
            </w:r>
          </w:p>
        </w:tc>
        <w:tc>
          <w:tcPr>
            <w:tcW w:w="3396" w:type="dxa"/>
            <w:tcBorders>
              <w:top w:val="nil"/>
              <w:left w:val="nil"/>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2012804</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left"/>
              <w:rPr>
                <w:rFonts w:ascii="宋体" w:hAnsi="宋体" w:cs="Arial"/>
                <w:kern w:val="0"/>
                <w:sz w:val="22"/>
                <w:szCs w:val="22"/>
              </w:rPr>
            </w:pPr>
            <w:r>
              <w:rPr>
                <w:rFonts w:hint="eastAsia" w:ascii="宋体" w:hAnsi="宋体" w:cs="Arial"/>
                <w:kern w:val="0"/>
                <w:sz w:val="22"/>
                <w:szCs w:val="22"/>
              </w:rPr>
              <w:t>参政议政</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32.35</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32.35 </w:t>
            </w: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社会保障和就业支出</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60.17</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60.17</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行政事业单位养老支出</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60.17</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60.17</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79"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2080501</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行政单位离退休</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25.58 </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25.58 </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2080505</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机关事业单位基本养老保险缴费支出</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23.95 </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23.95 </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2080506</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机关事业单位职业年金缴费支出</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10.63</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10.63</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卫生健康支出</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31.04 </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31.04 </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21011</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行政事业单位医疗</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31.04 </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31.04 </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2101101</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行政单位医疗</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20.73</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20.73</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2101103</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公务员医疗补助</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10.31</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10.31</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住房保障支出</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19.74 </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19.74 </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22102</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住房改革支出</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19.74 </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19.74 </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2210201</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住房公积金</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17.43 </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 xml:space="preserve">17.43 </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r>
        <w:tblPrEx>
          <w:tblCellMar>
            <w:top w:w="0" w:type="dxa"/>
            <w:left w:w="108" w:type="dxa"/>
            <w:bottom w:w="0" w:type="dxa"/>
            <w:right w:w="108" w:type="dxa"/>
          </w:tblCellMar>
        </w:tblPrEx>
        <w:trPr>
          <w:trHeight w:val="264" w:hRule="atLeast"/>
          <w:jc w:val="center"/>
        </w:trPr>
        <w:tc>
          <w:tcPr>
            <w:tcW w:w="146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2210203</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r>
              <w:rPr>
                <w:rFonts w:hint="eastAsia" w:ascii="宋体" w:hAnsi="宋体" w:cs="Arial"/>
                <w:kern w:val="0"/>
                <w:sz w:val="22"/>
                <w:szCs w:val="22"/>
              </w:rPr>
              <w:t xml:space="preserve">  购房补贴</w:t>
            </w:r>
          </w:p>
        </w:tc>
        <w:tc>
          <w:tcPr>
            <w:tcW w:w="17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2.31</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r>
              <w:rPr>
                <w:rFonts w:hint="eastAsia" w:ascii="宋体" w:hAnsi="宋体" w:cs="Arial"/>
                <w:kern w:val="0"/>
                <w:sz w:val="22"/>
                <w:szCs w:val="22"/>
              </w:rPr>
              <w:t>2.31</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kern w:val="0"/>
                <w:sz w:val="22"/>
                <w:szCs w:val="22"/>
              </w:rPr>
            </w:pPr>
          </w:p>
        </w:tc>
      </w:tr>
    </w:tbl>
    <w:p>
      <w:pPr>
        <w:ind w:firstLine="210" w:firstLineChars="100"/>
      </w:pPr>
      <w:r>
        <w:rPr>
          <w:rFonts w:hint="eastAsia"/>
        </w:rPr>
        <w:t>注：本表反映部门本年度一般公共预算财政拨款实际支出情况。</w:t>
      </w:r>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bookmarkStart w:id="0" w:name="_GoBack"/>
      <w:bookmarkEnd w:id="0"/>
    </w:p>
    <w:p>
      <w:pPr>
        <w:jc w:val="center"/>
        <w:rPr>
          <w:rFonts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5"/>
        <w:tblW w:w="9151" w:type="dxa"/>
        <w:jc w:val="center"/>
        <w:tblLayout w:type="fixed"/>
        <w:tblCellMar>
          <w:top w:w="0" w:type="dxa"/>
          <w:left w:w="108" w:type="dxa"/>
          <w:bottom w:w="0" w:type="dxa"/>
          <w:right w:w="108" w:type="dxa"/>
        </w:tblCellMar>
      </w:tblPr>
      <w:tblGrid>
        <w:gridCol w:w="916"/>
        <w:gridCol w:w="3113"/>
        <w:gridCol w:w="1000"/>
        <w:gridCol w:w="807"/>
        <w:gridCol w:w="1843"/>
        <w:gridCol w:w="1472"/>
      </w:tblGrid>
      <w:tr>
        <w:tblPrEx>
          <w:tblCellMar>
            <w:top w:w="0" w:type="dxa"/>
            <w:left w:w="108" w:type="dxa"/>
            <w:bottom w:w="0" w:type="dxa"/>
            <w:right w:w="108" w:type="dxa"/>
          </w:tblCellMar>
        </w:tblPrEx>
        <w:trPr>
          <w:trHeight w:val="564" w:hRule="atLeast"/>
          <w:jc w:val="center"/>
        </w:trPr>
        <w:tc>
          <w:tcPr>
            <w:tcW w:w="502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2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311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0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07"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84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72"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11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243.18</w:t>
            </w: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r>
              <w:rPr>
                <w:rFonts w:ascii="宋体" w:hAnsi="宋体" w:cs="Arial"/>
                <w:color w:val="000000"/>
                <w:kern w:val="0"/>
                <w:sz w:val="22"/>
                <w:szCs w:val="22"/>
              </w:rPr>
              <w:t>　</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40.73</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311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00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47.87</w:t>
            </w:r>
          </w:p>
        </w:tc>
        <w:tc>
          <w:tcPr>
            <w:tcW w:w="80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办公费　</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2.15</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311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00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45.45</w:t>
            </w:r>
          </w:p>
        </w:tc>
        <w:tc>
          <w:tcPr>
            <w:tcW w:w="80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印刷费　</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0.36</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311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  </w:t>
            </w:r>
            <w:r>
              <w:rPr>
                <w:rFonts w:ascii="宋体" w:hAnsi="宋体" w:cs="Arial"/>
                <w:color w:val="000000"/>
                <w:kern w:val="0"/>
                <w:sz w:val="22"/>
                <w:szCs w:val="22"/>
              </w:rPr>
              <w:t>　</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66.06</w:t>
            </w: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咨询费</w:t>
            </w:r>
            <w:r>
              <w:rPr>
                <w:rFonts w:ascii="宋体" w:hAnsi="宋体" w:cs="Arial"/>
                <w:color w:val="000000"/>
                <w:kern w:val="0"/>
                <w:sz w:val="22"/>
                <w:szCs w:val="22"/>
              </w:rPr>
              <w:t>　</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伙食补助费</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手续费</w:t>
            </w:r>
            <w:r>
              <w:rPr>
                <w:rFonts w:ascii="宋体" w:hAnsi="宋体" w:cs="Arial"/>
                <w:color w:val="000000"/>
                <w:kern w:val="0"/>
                <w:sz w:val="22"/>
                <w:szCs w:val="22"/>
              </w:rPr>
              <w:t>　</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绩效工资</w:t>
            </w:r>
          </w:p>
        </w:tc>
        <w:tc>
          <w:tcPr>
            <w:tcW w:w="100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80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水费　</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0.3</w:t>
            </w: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机关事业单位基本养老保险缴费</w:t>
            </w:r>
          </w:p>
        </w:tc>
        <w:tc>
          <w:tcPr>
            <w:tcW w:w="100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23.95</w:t>
            </w:r>
          </w:p>
        </w:tc>
        <w:tc>
          <w:tcPr>
            <w:tcW w:w="80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184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电费　</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1.32</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职业年金缴费</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10.63</w:t>
            </w: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邮电费</w:t>
            </w:r>
            <w:r>
              <w:rPr>
                <w:rFonts w:ascii="宋体" w:hAnsi="宋体" w:cs="Arial"/>
                <w:color w:val="000000"/>
                <w:kern w:val="0"/>
                <w:sz w:val="22"/>
                <w:szCs w:val="22"/>
              </w:rPr>
              <w:t>　</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3.44</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职工基本医疗保险缴费</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11.13</w:t>
            </w: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物业管理费</w:t>
            </w:r>
            <w:r>
              <w:rPr>
                <w:rFonts w:ascii="宋体" w:hAnsi="宋体" w:cs="Arial"/>
                <w:color w:val="000000"/>
                <w:kern w:val="0"/>
                <w:sz w:val="22"/>
                <w:szCs w:val="22"/>
              </w:rPr>
              <w:t>　</w:t>
            </w:r>
          </w:p>
        </w:tc>
        <w:tc>
          <w:tcPr>
            <w:tcW w:w="147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0.24</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公务员医疗补助缴费</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19.91</w:t>
            </w: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4.44</w:t>
            </w: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其他社会保障缴费</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0.74</w:t>
            </w: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0.72</w:t>
            </w: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住房公积金</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17.43</w:t>
            </w: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会议费</w:t>
            </w:r>
          </w:p>
        </w:tc>
        <w:tc>
          <w:tcPr>
            <w:tcW w:w="147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0.84</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医疗费</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培训费</w:t>
            </w:r>
          </w:p>
        </w:tc>
        <w:tc>
          <w:tcPr>
            <w:tcW w:w="1472"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0.72</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20"/>
                <w:szCs w:val="20"/>
              </w:rPr>
              <w:t>其他工资福利支出</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公务接待费</w:t>
            </w:r>
            <w:r>
              <w:rPr>
                <w:rFonts w:ascii="宋体" w:hAnsi="宋体" w:cs="Arial"/>
                <w:color w:val="000000"/>
                <w:kern w:val="0"/>
                <w:sz w:val="22"/>
                <w:szCs w:val="22"/>
              </w:rPr>
              <w:t>　</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0.48</w:t>
            </w: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303</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Arial"/>
                <w:color w:val="000000"/>
                <w:kern w:val="0"/>
                <w:sz w:val="22"/>
                <w:szCs w:val="22"/>
              </w:rPr>
              <w:t>对个人和家庭的补助</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4.01</w:t>
            </w: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工会经费</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2.66</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 30301</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离休费</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18.95</w:t>
            </w: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其他交通费用</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12.49</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 xml:space="preserve"> 30302</w:t>
            </w:r>
          </w:p>
        </w:tc>
        <w:tc>
          <w:tcPr>
            <w:tcW w:w="3113"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退休费</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5.52</w:t>
            </w: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其他商品和服务支出</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10.57</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11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w:t>
            </w: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11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39999</w:t>
            </w: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w:t>
            </w: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311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311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p>
        </w:tc>
        <w:tc>
          <w:tcPr>
            <w:tcW w:w="807"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64" w:hRule="atLeast"/>
          <w:jc w:val="center"/>
        </w:trPr>
        <w:tc>
          <w:tcPr>
            <w:tcW w:w="4029" w:type="dxa"/>
            <w:gridSpan w:val="2"/>
            <w:tcBorders>
              <w:top w:val="nil"/>
              <w:left w:val="single" w:color="auto" w:sz="4" w:space="0"/>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0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267.66</w:t>
            </w:r>
          </w:p>
        </w:tc>
        <w:tc>
          <w:tcPr>
            <w:tcW w:w="265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472"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46.73</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0.23</w:t>
            </w:r>
          </w:p>
        </w:tc>
        <w:tc>
          <w:tcPr>
            <w:tcW w:w="1603"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828"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1242"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1242"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121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0.23</w:t>
            </w:r>
          </w:p>
        </w:tc>
        <w:tc>
          <w:tcPr>
            <w:tcW w:w="80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0.23</w:t>
            </w:r>
          </w:p>
        </w:tc>
        <w:tc>
          <w:tcPr>
            <w:tcW w:w="1560"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806"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1398"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1208"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0.00</w:t>
            </w:r>
          </w:p>
        </w:tc>
        <w:tc>
          <w:tcPr>
            <w:tcW w:w="1183" w:type="dxa"/>
            <w:tcBorders>
              <w:top w:val="nil"/>
              <w:left w:val="nil"/>
              <w:bottom w:val="single" w:color="auto" w:sz="4" w:space="0"/>
              <w:right w:val="single" w:color="auto" w:sz="4" w:space="0"/>
            </w:tcBorders>
            <w:vAlign w:val="center"/>
          </w:tcPr>
          <w:p>
            <w:pPr>
              <w:widowControl/>
              <w:jc w:val="right"/>
              <w:textAlignment w:val="center"/>
              <w:rPr>
                <w:rFonts w:ascii="Arial" w:hAnsi="Arial" w:cs="Arial"/>
                <w:color w:val="000000"/>
                <w:kern w:val="0"/>
                <w:sz w:val="20"/>
                <w:szCs w:val="20"/>
              </w:rPr>
            </w:pPr>
            <w:r>
              <w:rPr>
                <w:rFonts w:hint="eastAsia" w:ascii="宋体" w:hAnsi="宋体" w:cs="宋体"/>
                <w:color w:val="000000"/>
                <w:kern w:val="0"/>
                <w:sz w:val="22"/>
                <w:szCs w:val="22"/>
              </w:rPr>
              <w:t>0.23</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注：本表反映部门本年度“三公”经费支出预决算情况。其中，2020年度预算数为“三公”经费年初预算数，决算数是包括当年一般公共预算财政拨款和以前年度结转资金安排的实际支出。</w:t>
      </w:r>
    </w:p>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single" w:color="auto" w:sz="4" w:space="0"/>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right"/>
              <w:textAlignment w:val="center"/>
              <w:rPr>
                <w:rFonts w:ascii="宋体" w:hAnsi="宋体" w:cs="宋体"/>
                <w:kern w:val="0"/>
                <w:sz w:val="22"/>
                <w:szCs w:val="22"/>
              </w:rPr>
            </w:pPr>
          </w:p>
        </w:tc>
      </w:tr>
    </w:tbl>
    <w:p>
      <w:pPr>
        <w:spacing w:line="560" w:lineRule="exact"/>
        <w:ind w:firstLine="420"/>
      </w:pPr>
      <w:r>
        <w:rPr>
          <w:rFonts w:hint="eastAsia"/>
        </w:rPr>
        <w:t>注：中国民主同盟柳州市委员会没有政府性基金预算财政拨款收入，也没有政府性基金预算财政拨款安排的支出，故本表无数据。</w:t>
      </w:r>
    </w:p>
    <w:p>
      <w:pPr>
        <w:spacing w:line="560" w:lineRule="exact"/>
        <w:ind w:firstLine="420"/>
      </w:pPr>
    </w:p>
    <w:p>
      <w:pPr>
        <w:spacing w:line="560" w:lineRule="exact"/>
        <w:ind w:firstLine="420"/>
      </w:pPr>
    </w:p>
    <w:p>
      <w:pPr>
        <w:spacing w:line="560" w:lineRule="exact"/>
        <w:ind w:firstLine="420"/>
      </w:pP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rPr>
          <w:trHeight w:val="768" w:hRule="atLeast"/>
        </w:trPr>
        <w:tc>
          <w:tcPr>
            <w:tcW w:w="13520" w:type="dxa"/>
            <w:gridSpan w:val="6"/>
            <w:shd w:val="clear" w:color="auto" w:fill="FFFFFF"/>
            <w:vAlign w:val="center"/>
          </w:tcPr>
          <w:p>
            <w:pPr>
              <w:widowControl/>
              <w:jc w:val="center"/>
              <w:rPr>
                <w:rFonts w:ascii="华文中宋" w:hAnsi="华文中宋" w:eastAsia="华文中宋" w:cs="华文中宋"/>
                <w:color w:val="000000"/>
                <w:sz w:val="32"/>
                <w:szCs w:val="32"/>
              </w:rPr>
            </w:pPr>
            <w:r>
              <w:rPr>
                <w:rFonts w:hint="eastAsia" w:ascii="方正小标宋简体" w:hAnsi="宋体" w:eastAsia="方正小标宋简体" w:cs="宋体"/>
                <w:kern w:val="0"/>
                <w:sz w:val="36"/>
                <w:szCs w:val="36"/>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部门：</w:t>
            </w:r>
          </w:p>
        </w:tc>
        <w:tc>
          <w:tcPr>
            <w:tcW w:w="1292" w:type="dxa"/>
            <w:shd w:val="clear" w:color="auto" w:fill="FFFFFF"/>
            <w:vAlign w:val="center"/>
          </w:tcPr>
          <w:p>
            <w:pPr>
              <w:jc w:val="center"/>
              <w:rPr>
                <w:rFonts w:ascii="宋体" w:hAnsi="宋体" w:cs="宋体"/>
                <w:color w:val="000000"/>
                <w:sz w:val="20"/>
                <w:szCs w:val="20"/>
              </w:rPr>
            </w:pPr>
          </w:p>
        </w:tc>
        <w:tc>
          <w:tcPr>
            <w:tcW w:w="2249" w:type="dxa"/>
            <w:shd w:val="clear" w:color="auto" w:fill="FFFFFF"/>
            <w:vAlign w:val="center"/>
          </w:tcPr>
          <w:p>
            <w:pPr>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pPr>
              <w:rPr>
                <w:rFonts w:ascii="宋体" w:hAnsi="宋体" w:cs="宋体"/>
                <w:color w:val="000000"/>
                <w:sz w:val="20"/>
                <w:szCs w:val="20"/>
              </w:rPr>
            </w:pPr>
          </w:p>
        </w:tc>
        <w:tc>
          <w:tcPr>
            <w:tcW w:w="1344" w:type="dxa"/>
            <w:tcBorders>
              <w:bottom w:val="single" w:color="000000" w:sz="12" w:space="0"/>
            </w:tcBorders>
            <w:shd w:val="clear" w:color="auto" w:fill="FFFFFF"/>
            <w:vAlign w:val="center"/>
          </w:tcPr>
          <w:p>
            <w:pPr>
              <w:rPr>
                <w:rFonts w:ascii="宋体" w:hAnsi="宋体" w:cs="宋体"/>
                <w:color w:val="000000"/>
                <w:sz w:val="20"/>
                <w:szCs w:val="20"/>
              </w:rPr>
            </w:pPr>
          </w:p>
        </w:tc>
        <w:tc>
          <w:tcPr>
            <w:tcW w:w="4075" w:type="dxa"/>
            <w:shd w:val="clear" w:color="auto" w:fill="FFFFFF"/>
            <w:vAlign w:val="center"/>
          </w:tcPr>
          <w:p>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项 </w:t>
            </w:r>
            <w:r>
              <w:rPr>
                <w:rStyle w:val="10"/>
                <w:rFonts w:hint="default"/>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ascii="宋体" w:hAnsi="宋体" w:cs="宋体"/>
                <w:color w:val="000000"/>
                <w:sz w:val="24"/>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ascii="宋体" w:hAnsi="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注：中国民主同盟柳州市委员会没有国有资本经营预算财政拨款收入，也没有国有资本经营预算财政拨款安排的支出，故本表无数据。</w:t>
            </w: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2020年度部门决算情况说明</w:t>
      </w:r>
    </w:p>
    <w:p>
      <w:pPr>
        <w:spacing w:line="580" w:lineRule="exact"/>
        <w:rPr>
          <w:rFonts w:ascii="仿宋_GB2312" w:eastAsia="仿宋_GB2312"/>
          <w:b/>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2020年度收入总计346.73万元，支出总计346.73元，与2019年相比，收、支分别增加55.97万元；分别增长16.14%。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本年收入总计346.73万元 ，其中：一般公共预算财政拨款收入346.73万元；占比100% ；</w:t>
      </w:r>
      <w:r>
        <w:rPr>
          <w:rFonts w:hint="eastAsia" w:ascii="仿宋_GB2312" w:eastAsia="仿宋_GB2312" w:cs="仿宋_GB2312"/>
          <w:bCs/>
          <w:kern w:val="0"/>
          <w:sz w:val="32"/>
          <w:szCs w:val="32"/>
          <w:lang w:eastAsia="zh-CN"/>
        </w:rPr>
        <w:t>政府性基金</w:t>
      </w:r>
      <w:r>
        <w:rPr>
          <w:rFonts w:hint="eastAsia" w:ascii="仿宋_GB2312" w:eastAsia="仿宋_GB2312" w:cs="仿宋_GB2312"/>
          <w:bCs/>
          <w:kern w:val="0"/>
          <w:sz w:val="32"/>
          <w:szCs w:val="32"/>
        </w:rPr>
        <w:t>预算财政拨款收入0万元；占比0%；上级补助收入0万元，占比0%；事业收入0万元，占比0%；事业单位经营收入0万元，占比0%；附属单位上缴收入0万元，占比0%；其他收入0万元，占比0%。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本年支出合计346.73万元，其中：基本支出 314.38万元，占90.67%；项目支出 32.35万元， 占9.33%；上缴上级支出0万元，占0%；经营支出0万元，占0%；对附属单位补助支出0万元，占0%。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2020年度财政拨款收、支总决算346.73万元、346.73万元。与 2019 年相比，财政拨款收、支总计各增加增加57.84万元、56.25万元；分别增长16.68%、16.22%。</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2020年度财政拨款支出346.73万元，占本年支出合计的100%。与 2019 年相比，财政拨款支出增加56.25万元；增长16.22%。</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年度财政拨款支出346.73万元，主要用于以下方面：一般公共服务（类）支出235.78万元， 占68.01%； 教育（类）支出0万元，占0%；科学技术（类） 支出0万元，占0%；文化体育与传媒（类）支出0万元，占0%；社会保障和就业（类）支出60.17万元，占17.35%；农林水（类）支出0万元，占0%；卫生健康支出31.04万元，占8.95%；住房保障（类）支出19.74万元，占5.69%。</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年度财政拨款支出年初预算为297.78万元，支出决算为346.73万元，完成年初预算的 100%。决算数大于预算数的主要原因是年中追加安排财政拨款支出预算，涉及项目有补发2019年度绩效考评奖励、预发2020年度绩效考评奖励（增补）、预发2020年度绩效考评奖励（补差）、2019年度考核优秀奖励等。其中：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1.一般公共服务（类）财政事务（款）行政运行（项）。 年初预算为197.83万元，支出决算为235.78万元，完成年初预算的100%。决算数大于预算数的主要原因是年中追加安排财政拨款支出预算，涉及项目有补发2019年度绩效考评奖励、预发2020年度绩效考评奖励（增补）、预发2020年度绩效考评奖励（补差）、2019年度考核优秀奖励等。</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2.社会保障和就业（类）支出。年初预算为56.39万元，支出决算为60.17万元，完成年初预算的100%。</w:t>
      </w:r>
      <w:r>
        <w:rPr>
          <w:rFonts w:hint="eastAsia" w:ascii="仿宋_GB2312" w:eastAsia="仿宋_GB2312" w:cs="仿宋_GB2312"/>
          <w:kern w:val="0"/>
          <w:sz w:val="32"/>
          <w:szCs w:val="32"/>
        </w:rPr>
        <w:t>决算数大于预算数的主要原因是年中追加安排财政拨款支出预算，涉及项目有机关事业单位基本养老保险缴费。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3.卫生健康支出（类）。年初预算为27.62万元，支出决算为31.04万元，完成年初预算的100%。决算数大于预算数的主要原因是年中追加安排财政拨款支出预算，涉及项目有2020年上半年机关事业单位职工医疗保险费。</w:t>
      </w:r>
    </w:p>
    <w:p>
      <w:pPr>
        <w:autoSpaceDE w:val="0"/>
        <w:autoSpaceDN w:val="0"/>
        <w:adjustRightInd w:val="0"/>
        <w:spacing w:line="580" w:lineRule="exact"/>
        <w:ind w:firstLine="640" w:firstLineChars="200"/>
        <w:jc w:val="left"/>
        <w:rPr>
          <w:rFonts w:ascii="宋体" w:hAnsi="宋体" w:cs="宋体"/>
          <w:kern w:val="0"/>
          <w:sz w:val="24"/>
          <w:shd w:val="clear" w:color="auto" w:fill="FFFFFF"/>
        </w:rPr>
      </w:pPr>
      <w:r>
        <w:rPr>
          <w:rFonts w:hint="eastAsia" w:ascii="仿宋_GB2312" w:eastAsia="仿宋_GB2312" w:cs="仿宋_GB2312"/>
          <w:bCs/>
          <w:kern w:val="0"/>
          <w:sz w:val="32"/>
          <w:szCs w:val="32"/>
        </w:rPr>
        <w:t>4.住房保障（类）支出。年初预算为15.95万元，支出决算为19.74万元，完成年初预算的100%。决算数大于预算数的主要原因是年中追加安排财政拨款支出预算与2020年购房补贴</w:t>
      </w:r>
      <w:r>
        <w:rPr>
          <w:rFonts w:hint="eastAsia" w:ascii="宋体" w:hAnsi="宋体" w:cs="宋体"/>
          <w:kern w:val="0"/>
          <w:sz w:val="24"/>
          <w:shd w:val="clear" w:color="auto" w:fill="FFFFFF"/>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2020年度财政拨款基本支出314.38万元，其中：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人员经费267.66万元，主要包括：基本工资、津贴补贴、 奖金、机关事业单位基本养老保险缴费、职业年金缴费、职工基本医疗保险缴费、公务员医疗补助缴费、其他社会保障缴费、住房公积金、离休费、退休费；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公用经费46.73万元，主要包括：办公费、印刷费、水费、电费、邮电费、物业管理费、差旅费、维修（护）费、会议费、培训费、公务接待费、工会经费、其他交通费用、其他商品和服务支出。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0.23万元，支出决算为0.23万元，完成预算的100%，其中：因公出国（境）费支出决算为0万元，完成预算的0%；公务用车购置及运行费支出决算为0万元，完成预算的0%；公务接待费支出决算为0.23万元，完成预算的100%。公务接待费支出决算数与预算数一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0.01万元，增长3.13%，其中：因公出国（境）费支出决算增加0万元，增长0%；公务用车购置及运行费支出决算增加0万元，增长0%；公务接待费支出决算增加0.01万元，增长3.13%。</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因公出国（境）费支出决算数与预算数一致；公务用车购置及运行费支出决算数与预算数一致；公务接待费支出决算数与预算数一致。</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2020年度“三公”经费财政拨款支出决算中，因公出国（境）费支出决算0万元，占0%；公务用车购置及运行费 支出决算0万元，占0%；公务接待费支出决算0.23万元，占100%。具体情况如下：</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1.因公出国（境）费支出0万元。全年安排机关和所属单位因公出国 （境）团组0个，累计0人次。</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 公务用车购置支出为0万元。公务用车运行支出0万元。2020年，机关所属单位开支财政拨款的公务用车保有量为0辆。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3.公务接待费支出0.23万元。其中：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外宾接待支出0万元。2020 年共接待国（境）外来访团组0个、来访外宾0人次。</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国内公务接待支出0.23万元。主要用于民盟广西区委和区内各市盟市委。2020年共接待国内来访团组5个、来宾20人次。</w:t>
      </w:r>
    </w:p>
    <w:p>
      <w:pPr>
        <w:autoSpaceDE w:val="0"/>
        <w:autoSpaceDN w:val="0"/>
        <w:adjustRightInd w:val="0"/>
        <w:spacing w:line="580" w:lineRule="exact"/>
        <w:ind w:firstLine="645"/>
        <w:jc w:val="left"/>
        <w:rPr>
          <w:rFonts w:ascii="仿宋_GB2312" w:eastAsia="仿宋_GB2312" w:cs="仿宋_GB2312"/>
          <w:bCs/>
          <w:kern w:val="0"/>
          <w:sz w:val="32"/>
          <w:szCs w:val="32"/>
        </w:rPr>
      </w:pP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2020年度</w:t>
      </w:r>
      <w:r>
        <w:rPr>
          <w:rFonts w:hint="eastAsia" w:ascii="仿宋_GB2312" w:eastAsia="仿宋_GB2312" w:cs="仿宋_GB2312"/>
          <w:bCs/>
          <w:kern w:val="0"/>
          <w:sz w:val="32"/>
          <w:szCs w:val="32"/>
          <w:lang w:eastAsia="zh-CN"/>
        </w:rPr>
        <w:t>政府性基金</w:t>
      </w:r>
      <w:r>
        <w:rPr>
          <w:rFonts w:hint="eastAsia" w:ascii="仿宋_GB2312" w:eastAsia="仿宋_GB2312" w:cs="仿宋_GB2312"/>
          <w:bCs/>
          <w:kern w:val="0"/>
          <w:sz w:val="32"/>
          <w:szCs w:val="32"/>
        </w:rPr>
        <w:t>预算财政拨款收、支总决算 0万元、0万元。与2019年相比，收、支总计各增加0万元，增长0%。其中，支出情况为：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2020年基金拨款年初预算为0万元，支出决算0万元，完成年初预算0%，其中：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城乡社区支出（类）政府住房基金及对应专项债务收入安排支出（款）费用支出（项）。年初预算为0万元，支出决算为0万元，完成年初预算的0%。 </w:t>
      </w:r>
    </w:p>
    <w:p>
      <w:pPr>
        <w:pStyle w:val="12"/>
        <w:autoSpaceDE w:val="0"/>
        <w:autoSpaceDN w:val="0"/>
        <w:adjustRightInd w:val="0"/>
        <w:spacing w:line="580" w:lineRule="exact"/>
        <w:ind w:firstLine="640"/>
        <w:jc w:val="left"/>
        <w:rPr>
          <w:rFonts w:ascii="仿宋_GB2312" w:eastAsia="仿宋_GB2312" w:cs="仿宋_GB2312"/>
          <w:bCs/>
          <w:kern w:val="0"/>
          <w:sz w:val="32"/>
          <w:szCs w:val="32"/>
        </w:rPr>
      </w:pPr>
    </w:p>
    <w:p>
      <w:pPr>
        <w:numPr>
          <w:ilvl w:val="0"/>
          <w:numId w:val="1"/>
        </w:num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2020年度国有资本经营预算财政拨款本年支出0万元。</w:t>
      </w:r>
    </w:p>
    <w:p>
      <w:pPr>
        <w:autoSpaceDE w:val="0"/>
        <w:autoSpaceDN w:val="0"/>
        <w:adjustRightInd w:val="0"/>
        <w:spacing w:line="580" w:lineRule="exact"/>
        <w:jc w:val="left"/>
        <w:rPr>
          <w:rFonts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根据财政预算管理要求，我部门组织对2020年度一般公共预算项目支出全面开展绩效自评,共涉及预算资金346.73万元，自评覆盖率达到 100%。</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60" w:lineRule="exact"/>
        <w:ind w:firstLine="579" w:firstLineChars="181"/>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绩效评价结果显示，上述部门整体支出绩效情况理想，达到部门整体支出申请时设定的各项绩效目标。</w:t>
      </w:r>
    </w:p>
    <w:p>
      <w:pPr>
        <w:autoSpaceDE w:val="0"/>
        <w:autoSpaceDN w:val="0"/>
        <w:adjustRightInd w:val="0"/>
        <w:ind w:firstLine="640" w:firstLineChars="200"/>
        <w:jc w:val="left"/>
        <w:rPr>
          <w:rFonts w:ascii="仿宋_GB2312" w:eastAsia="仿宋_GB2312" w:cs="仿宋_GB2312"/>
          <w:bCs/>
          <w:kern w:val="0"/>
          <w:sz w:val="32"/>
          <w:szCs w:val="32"/>
        </w:rPr>
      </w:pP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（一）机关运行经费支出情况。2020年度部门机关运行经费支出46.73万元，比2019年增加0.91万元，增长1.95%，增加原因是水电、办公等各项经费费用增加。</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（二）政府采购支出情况。2020年度部门政府采购支出总额2.5万元，其中：货物支出2.5万元、工程支出0万元、服务支出0万元。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（三）国有资产占用情况。截至年末部门共有车辆0辆，其中：公务用车0辆；执法执勤用车0辆；专业技术用车0辆；单价50万元以上通用设备0台（套），单价100万元以上专用设备0台（套）。 </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事业收入：指事业单位开展专业活动用辅助活动所取得的收入。如：......</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其他收入：指除上述“财政拨款收入”、“事业收入”、“经营收入”等以外的收入。主要是：......</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- 14 -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gyY2Y5Y2UxZjkwY2NiYzg1MTM4ZmQzOTFhYWJhY2IifQ=="/>
  </w:docVars>
  <w:rsids>
    <w:rsidRoot w:val="4C256E3D"/>
    <w:rsid w:val="00066CA3"/>
    <w:rsid w:val="00151603"/>
    <w:rsid w:val="001670BA"/>
    <w:rsid w:val="00192227"/>
    <w:rsid w:val="001F10B5"/>
    <w:rsid w:val="002537B5"/>
    <w:rsid w:val="002A38ED"/>
    <w:rsid w:val="00317A26"/>
    <w:rsid w:val="00321C37"/>
    <w:rsid w:val="00341B71"/>
    <w:rsid w:val="00356737"/>
    <w:rsid w:val="00371A00"/>
    <w:rsid w:val="003C2EB4"/>
    <w:rsid w:val="003F4DCC"/>
    <w:rsid w:val="00427172"/>
    <w:rsid w:val="004D385B"/>
    <w:rsid w:val="004E768F"/>
    <w:rsid w:val="00534CAE"/>
    <w:rsid w:val="0054087A"/>
    <w:rsid w:val="00566647"/>
    <w:rsid w:val="00567FDC"/>
    <w:rsid w:val="00574379"/>
    <w:rsid w:val="005A5DF2"/>
    <w:rsid w:val="005C3225"/>
    <w:rsid w:val="00604996"/>
    <w:rsid w:val="00624CEE"/>
    <w:rsid w:val="006B1ECF"/>
    <w:rsid w:val="006C1367"/>
    <w:rsid w:val="006F569C"/>
    <w:rsid w:val="00715385"/>
    <w:rsid w:val="007541B7"/>
    <w:rsid w:val="007654E9"/>
    <w:rsid w:val="00783090"/>
    <w:rsid w:val="008003E4"/>
    <w:rsid w:val="008412C1"/>
    <w:rsid w:val="00880FB7"/>
    <w:rsid w:val="00902585"/>
    <w:rsid w:val="00946665"/>
    <w:rsid w:val="00A02D27"/>
    <w:rsid w:val="00A14C8B"/>
    <w:rsid w:val="00A269EE"/>
    <w:rsid w:val="00AC0AA1"/>
    <w:rsid w:val="00AC543A"/>
    <w:rsid w:val="00B32B05"/>
    <w:rsid w:val="00B73278"/>
    <w:rsid w:val="00BA31CB"/>
    <w:rsid w:val="00BE5DC0"/>
    <w:rsid w:val="00C039EB"/>
    <w:rsid w:val="00C06C0C"/>
    <w:rsid w:val="00C22E05"/>
    <w:rsid w:val="00C34C73"/>
    <w:rsid w:val="00C9550C"/>
    <w:rsid w:val="00CA0A74"/>
    <w:rsid w:val="00D05558"/>
    <w:rsid w:val="00D623F5"/>
    <w:rsid w:val="00DA3CD5"/>
    <w:rsid w:val="00DD5DEA"/>
    <w:rsid w:val="00DE2E98"/>
    <w:rsid w:val="00E82528"/>
    <w:rsid w:val="00E873DB"/>
    <w:rsid w:val="00E948CE"/>
    <w:rsid w:val="00F45163"/>
    <w:rsid w:val="00F64450"/>
    <w:rsid w:val="00F66C5B"/>
    <w:rsid w:val="00F84C97"/>
    <w:rsid w:val="00FE0D23"/>
    <w:rsid w:val="00FE3F93"/>
    <w:rsid w:val="01A6445A"/>
    <w:rsid w:val="02AE5BD7"/>
    <w:rsid w:val="05790F69"/>
    <w:rsid w:val="05CF3A37"/>
    <w:rsid w:val="0633661D"/>
    <w:rsid w:val="073437F5"/>
    <w:rsid w:val="0E074DDF"/>
    <w:rsid w:val="124204B5"/>
    <w:rsid w:val="182962AB"/>
    <w:rsid w:val="19D073EB"/>
    <w:rsid w:val="1A6F04AA"/>
    <w:rsid w:val="1CC31F67"/>
    <w:rsid w:val="1D547699"/>
    <w:rsid w:val="20075F1B"/>
    <w:rsid w:val="210E6204"/>
    <w:rsid w:val="24D337DC"/>
    <w:rsid w:val="25757493"/>
    <w:rsid w:val="26460DBA"/>
    <w:rsid w:val="28CB6F0A"/>
    <w:rsid w:val="2B6F74EB"/>
    <w:rsid w:val="2C4219FE"/>
    <w:rsid w:val="2DCB7D52"/>
    <w:rsid w:val="34020F86"/>
    <w:rsid w:val="351070B0"/>
    <w:rsid w:val="388A1F09"/>
    <w:rsid w:val="39A63F06"/>
    <w:rsid w:val="3ED1439F"/>
    <w:rsid w:val="3EE30ECF"/>
    <w:rsid w:val="48374EDC"/>
    <w:rsid w:val="49D03871"/>
    <w:rsid w:val="4C256E3D"/>
    <w:rsid w:val="4CB52F0F"/>
    <w:rsid w:val="50142B16"/>
    <w:rsid w:val="521F6DCB"/>
    <w:rsid w:val="532F1F9A"/>
    <w:rsid w:val="56595B11"/>
    <w:rsid w:val="57307D7F"/>
    <w:rsid w:val="5949048C"/>
    <w:rsid w:val="5A0F0C7C"/>
    <w:rsid w:val="5D2E2AE6"/>
    <w:rsid w:val="5E995A3E"/>
    <w:rsid w:val="603D7FB7"/>
    <w:rsid w:val="612430C0"/>
    <w:rsid w:val="62163194"/>
    <w:rsid w:val="624D024D"/>
    <w:rsid w:val="63387E95"/>
    <w:rsid w:val="650E086A"/>
    <w:rsid w:val="658049E4"/>
    <w:rsid w:val="6BAA0708"/>
    <w:rsid w:val="6C8065BA"/>
    <w:rsid w:val="7110099A"/>
    <w:rsid w:val="72DE7A5C"/>
    <w:rsid w:val="75DB5D90"/>
    <w:rsid w:val="79DD0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customStyle="1" w:styleId="11">
    <w:name w:val="正文1"/>
    <w:basedOn w:val="1"/>
    <w:qFormat/>
    <w:uiPriority w:val="0"/>
    <w:pPr>
      <w:widowControl/>
    </w:pPr>
    <w:rPr>
      <w:rFonts w:eastAsia="Times New Roman"/>
      <w:kern w:val="0"/>
      <w:szCs w:val="20"/>
      <w:lang w:val="zh-CN"/>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21</Pages>
  <Words>1516</Words>
  <Characters>8646</Characters>
  <Lines>72</Lines>
  <Paragraphs>20</Paragraphs>
  <TotalTime>334</TotalTime>
  <ScaleCrop>false</ScaleCrop>
  <LinksUpToDate>false</LinksUpToDate>
  <CharactersWithSpaces>10142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2022-10-16T08:01:43Z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DAAFFA1A07E349758547D8D0A581AAE6</vt:lpwstr>
  </property>
</Properties>
</file>