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行政审批局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ascii="仿宋_GB2312" w:hAnsi="宋体" w:eastAsia="仿宋_GB2312" w:cs="仿宋_GB2312"/>
          <w:i w:val="0"/>
          <w:iCs w:val="0"/>
          <w:caps w:val="0"/>
          <w:color w:val="333333"/>
          <w:spacing w:val="0"/>
          <w:sz w:val="31"/>
          <w:szCs w:val="31"/>
          <w:shd w:val="clear" w:fill="FFFFFF"/>
        </w:rPr>
        <w:t>贯彻执行国家、自治区和柳州市有关行政管理体制、行政审批制度改革等方面的法律法规、方针政策，拟订行政审批各项规章制度和管理办法，并组织实施。负责规范全市行政审批和政务服务行为，建立和完善相应工作机制。负责对行政审批、政务服务事项进行流程再造、环节优化、压缩时限，并对办理情况进行跟踪督办，协调解决进入政务服务中心事项办理中出现的相关问题。承办市直部门、事业单位划入的涉及投资建设、市场服务、食药卫健、安全质量、基建项目、市政公用、环保城管、交通运输、社会事务、涉农事务等方面的行政审批事项和相关勘验工作，并承担相应的法律责任。负责实施行政审批相关的行政事业性收费。负责统筹推进全市行政审批制度改革。负责协调推进行政许可事项的清理、规范、管理等工作，规范行政审批行为，推进审批服务便民化。负责市本级行政权力运行流程工作的协调、推进、指导和监督。负责审核并督促落实取消下放审批事项的事中事后监管措施。建立和完善全市政务服务体系。负责全市政务服务平台的建设和管理。负责进驻政务服务中心的市直部门、双重管理部门及中区直驻柳部门设置的窗口行政审批、政务服务工作的规范、管理和监督。负责对市政务服务中心各分中心的运行进行指导和监督。负责对实施行政审批涉及的中介服务行为进行监督。贯彻执行国家、自治区有关政务公开、政府信息公开相关法律法规和方针政策。参与起草全市政务公开、政府信息公开政策规定。推进、指导、协调、监督全市政务公开、政府信息公开工作。贯彻执行国家、自治区有关公共资源交易相关法律法规和方针政策。组织拟订柳州市公共资源交易监管相关规章制度和管理办法。组织拟订公共资源交易规则和操作规程。牵头整合建立统一规范的公共资源交易平台。协调、监督全市公共资源交易工作。会同有关部门建设和管理全市统一的公共资源交易综合评标、评审专家库，推进公共资源交易信用体系建设。负责全市行政审批、政务服务、公共资源交易体系信息化建设。负责对进入市政务服务平台、公共资源交易平台的行政审批、公共资源交易活动及其他政务服务等事项的投诉举报的承办、转办和督办工作，配合有关部门查处违法、违规、违纪问题。完成市委、市政府交办的其他任务。与各行政主管部门的职责分工：行政审批职责划转后，由市行政审批局统一负责市级职责范围内的行政审批事项的依法受理、审查、审批及决定送达，并承担相应的法律责任。原承担行政审批的行政主管部门不再承担审批的具体事务，主要工作职能转变为拟订并实施行业发展规划、行政审批标准以及监管标准，推动行业发展，加强行业事中事后监管，提高公共服务有效供给等。国务院、自治区明确下放（调整）的行政审批事项由市行政审批局承接。取消的行政审批事项后续监管工作由各行政主管部门负责。</w:t>
      </w:r>
      <w:r>
        <w:rPr>
          <w:rFonts w:hint="eastAsia" w:ascii="仿宋_GB2312" w:eastAsia="仿宋_GB2312"/>
          <w:sz w:val="32"/>
          <w:szCs w:val="32"/>
        </w:rPr>
        <w:t>二、部门决算单位构成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本部门共有直属单位叁个。其中：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（一）行政单位壹个，为柳州市行政审批局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（二）全额拨款事业单位贰个，分别是柳州市公共资源交易服务中心、柳州市行政审批服务中心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pPr>
      <w:r>
        <w:rPr>
          <w:rFonts w:hint="eastAsia" w:ascii="仿宋_GB2312" w:hAnsi="黑体" w:eastAsia="仿宋_GB2312" w:cs="Times New Roman"/>
          <w:kern w:val="2"/>
          <w:sz w:val="32"/>
          <w:szCs w:val="32"/>
          <w:lang w:val="en-US" w:eastAsia="zh-CN" w:bidi="ar-SA"/>
        </w:rPr>
        <w:t>机关本级内设贰拾个科室，分别为：办公室、财务科、政策法规科、电子政务科、效能督查科、运行管理科、行政审批改革科、勘验商服科、投资项目审批科、市场服务审批科、食药卫健审批科、安全质量审批科、基建项目审批科、市政公用审批科、环保城管审批科、交通运输审批科、社会事务审批科、涉农事务审批科、政务公开科、公共资源交易监督管理科</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2020年部门决算报表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hAnsi="黑体" w:eastAsia="仿宋_GB2312"/>
          <w:sz w:val="32"/>
          <w:szCs w:val="32"/>
          <w:lang w:eastAsia="zh-CN"/>
        </w:rPr>
        <w:t>。</w:t>
      </w:r>
    </w:p>
    <w:p>
      <w:pPr>
        <w:jc w:val="center"/>
      </w:pPr>
    </w:p>
    <w:p/>
    <w:tbl>
      <w:tblPr>
        <w:tblStyle w:val="6"/>
        <w:tblW w:w="8720" w:type="dxa"/>
        <w:jc w:val="center"/>
        <w:tblLayout w:type="fixed"/>
        <w:tblCellMar>
          <w:top w:w="0" w:type="dxa"/>
          <w:left w:w="108" w:type="dxa"/>
          <w:bottom w:w="0" w:type="dxa"/>
          <w:right w:w="108" w:type="dxa"/>
        </w:tblCellMar>
      </w:tblPr>
      <w:tblGrid>
        <w:gridCol w:w="2895"/>
        <w:gridCol w:w="1085"/>
        <w:gridCol w:w="3123"/>
        <w:gridCol w:w="1617"/>
      </w:tblGrid>
      <w:tr>
        <w:tblPrEx>
          <w:tblCellMar>
            <w:top w:w="0" w:type="dxa"/>
            <w:left w:w="108" w:type="dxa"/>
            <w:bottom w:w="0" w:type="dxa"/>
            <w:right w:w="108" w:type="dxa"/>
          </w:tblCellMar>
        </w:tblPrEx>
        <w:trPr>
          <w:wAfter w:w="0" w:type="auto"/>
          <w:trHeight w:val="570" w:hRule="atLeast"/>
          <w:jc w:val="center"/>
        </w:trPr>
        <w:tc>
          <w:tcPr>
            <w:tcW w:w="8720"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6092.33</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5368.05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1.98</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i w:val="0"/>
                <w:iCs w:val="0"/>
                <w:caps w:val="0"/>
                <w:color w:val="000000"/>
                <w:spacing w:val="0"/>
                <w:sz w:val="22"/>
                <w:szCs w:val="22"/>
                <w:shd w:val="clear" w:fill="FFFFFF"/>
              </w:rPr>
              <w:t>……</w:t>
            </w:r>
          </w:p>
        </w:tc>
        <w:tc>
          <w:tcPr>
            <w:tcW w:w="16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八、社会保障和就业支出</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377.84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九、卫生健康支出</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155.58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i w:val="0"/>
                <w:iCs w:val="0"/>
                <w:caps w:val="0"/>
                <w:color w:val="000000"/>
                <w:spacing w:val="0"/>
                <w:sz w:val="22"/>
                <w:szCs w:val="22"/>
                <w:shd w:val="clear" w:fill="FFFFFF"/>
              </w:rPr>
              <w:t>……</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22"/>
                <w:szCs w:val="22"/>
                <w:lang w:val="en-US" w:eastAsia="zh-CN"/>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十一、城乡社区支出</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7.98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eastAsia="宋体" w:cs="宋体"/>
                <w:i w:val="0"/>
                <w:iCs w:val="0"/>
                <w:caps w:val="0"/>
                <w:color w:val="000000"/>
                <w:spacing w:val="0"/>
                <w:sz w:val="22"/>
                <w:szCs w:val="22"/>
                <w:shd w:val="clear" w:fill="FFFFFF"/>
              </w:rPr>
              <w:t>……</w:t>
            </w:r>
          </w:p>
        </w:tc>
        <w:tc>
          <w:tcPr>
            <w:tcW w:w="16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lang w:val="en-US" w:eastAsia="zh-CN"/>
              </w:rPr>
            </w:pPr>
          </w:p>
        </w:tc>
      </w:tr>
      <w:tr>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十九、住房保障支出</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235.19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aps w:val="0"/>
                <w:color w:val="000000"/>
                <w:spacing w:val="0"/>
                <w:sz w:val="22"/>
                <w:szCs w:val="22"/>
                <w:shd w:val="clear" w:fill="FFFFFF"/>
              </w:rPr>
              <w:t>……</w:t>
            </w:r>
          </w:p>
        </w:tc>
        <w:tc>
          <w:tcPr>
            <w:tcW w:w="16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6094.56</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b/>
                <w:color w:val="000000"/>
                <w:kern w:val="0"/>
                <w:sz w:val="22"/>
                <w:szCs w:val="22"/>
                <w:lang w:val="en-US" w:eastAsia="zh-CN"/>
              </w:rPr>
              <w:t>6145.64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434.89</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383.80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6529.44</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6529.44</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055"/>
        <w:gridCol w:w="2305"/>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3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6094.56</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6094.31</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0.25</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w:t>
            </w:r>
          </w:p>
        </w:tc>
        <w:tc>
          <w:tcPr>
            <w:tcW w:w="230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一般公共服务支出</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5264.56</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5264.56</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20103</w:t>
            </w:r>
          </w:p>
        </w:tc>
        <w:tc>
          <w:tcPr>
            <w:tcW w:w="230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政府办公厅（室）及相关机构事务</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5264.56</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5264.56</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2010301</w:t>
            </w:r>
            <w:r>
              <w:rPr>
                <w:rFonts w:hint="eastAsia" w:ascii="宋体" w:hAnsi="宋体" w:cs="Arial"/>
                <w:color w:val="000000"/>
                <w:kern w:val="0"/>
                <w:sz w:val="22"/>
                <w:szCs w:val="22"/>
              </w:rPr>
              <w:t xml:space="preserve">  </w:t>
            </w:r>
          </w:p>
        </w:tc>
        <w:tc>
          <w:tcPr>
            <w:tcW w:w="230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行政运行</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1080.23</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1080.23</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97"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2010306</w:t>
            </w:r>
          </w:p>
        </w:tc>
        <w:tc>
          <w:tcPr>
            <w:tcW w:w="230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政务公开审批</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3165.92</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3165.92</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97"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2010350</w:t>
            </w:r>
          </w:p>
        </w:tc>
        <w:tc>
          <w:tcPr>
            <w:tcW w:w="2305"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事业运行</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1018.41</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1018.41</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230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社会保障和就业支出</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443.85</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443.85</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5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w:t>
            </w:r>
            <w:r>
              <w:rPr>
                <w:rFonts w:hint="eastAsia" w:ascii="宋体" w:hAnsi="宋体" w:cs="Arial"/>
                <w:color w:val="000000"/>
                <w:kern w:val="0"/>
                <w:sz w:val="22"/>
                <w:szCs w:val="22"/>
              </w:rPr>
              <w:t>　</w:t>
            </w:r>
          </w:p>
        </w:tc>
        <w:tc>
          <w:tcPr>
            <w:tcW w:w="230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行政事业单位养老支出</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443.85</w:t>
            </w:r>
          </w:p>
        </w:tc>
        <w:tc>
          <w:tcPr>
            <w:tcW w:w="1540" w:type="dxa"/>
            <w:tcBorders>
              <w:top w:val="nil"/>
              <w:left w:val="nil"/>
              <w:bottom w:val="single" w:color="auto" w:sz="4" w:space="0"/>
              <w:right w:val="single" w:color="auto" w:sz="4" w:space="0"/>
            </w:tcBorders>
            <w:vAlign w:val="top"/>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443.85</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23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54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8.61</w:t>
            </w:r>
          </w:p>
        </w:tc>
        <w:tc>
          <w:tcPr>
            <w:tcW w:w="154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8.61</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3.48</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3.48</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303.93</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303.93</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84"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127.84</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127.84</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148.72</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148.72</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148.72</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148.72</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53.86</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53.86</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49.11</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49.11</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45.76</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45.76</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1.98</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1.98</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1.98</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1.98</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2120803</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城市建设支出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1.98</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1.98</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235.19</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235.19</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235.19</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235.19</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228.67</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228.67</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2210203</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6.51</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6.51</w:t>
            </w: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0.25</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0.25</w:t>
            </w:r>
          </w:p>
        </w:tc>
      </w:tr>
      <w:tr>
        <w:tblPrEx>
          <w:tblCellMar>
            <w:top w:w="0" w:type="dxa"/>
            <w:left w:w="108" w:type="dxa"/>
            <w:bottom w:w="0" w:type="dxa"/>
            <w:right w:w="108" w:type="dxa"/>
          </w:tblCellMar>
        </w:tblPrEx>
        <w:trPr>
          <w:trHeight w:val="287"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0.25</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0.25</w:t>
            </w:r>
          </w:p>
        </w:tc>
      </w:tr>
      <w:tr>
        <w:tblPrEx>
          <w:tblCellMar>
            <w:top w:w="0" w:type="dxa"/>
            <w:left w:w="108" w:type="dxa"/>
            <w:bottom w:w="0" w:type="dxa"/>
            <w:right w:w="108" w:type="dxa"/>
          </w:tblCellMar>
        </w:tblPrEx>
        <w:trPr>
          <w:trHeight w:val="288"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2299901</w:t>
            </w:r>
          </w:p>
        </w:tc>
        <w:tc>
          <w:tcPr>
            <w:tcW w:w="23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cs="Arial"/>
                <w:color w:val="000000"/>
                <w:kern w:val="0"/>
                <w:sz w:val="22"/>
                <w:szCs w:val="22"/>
                <w:lang w:val="en-US" w:eastAsia="zh-CN"/>
              </w:rPr>
              <w:t>0.25</w:t>
            </w:r>
          </w:p>
        </w:tc>
        <w:tc>
          <w:tcPr>
            <w:tcW w:w="1540"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val="en-US" w:eastAsia="zh-CN" w:bidi="ar-SA"/>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0.25</w:t>
            </w:r>
          </w:p>
        </w:tc>
      </w:tr>
    </w:tbl>
    <w:p/>
    <w:p>
      <w:r>
        <w:rPr>
          <w:rFonts w:hint="eastAsia"/>
        </w:rPr>
        <w:t>注：本表反映部门本年度取得的各项收入情况。</w:t>
      </w:r>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6145.64</w:t>
            </w:r>
          </w:p>
        </w:tc>
        <w:tc>
          <w:tcPr>
            <w:tcW w:w="1842"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3037.44</w:t>
            </w:r>
          </w:p>
        </w:tc>
        <w:tc>
          <w:tcPr>
            <w:tcW w:w="1701"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3108.20</w:t>
            </w:r>
          </w:p>
        </w:tc>
        <w:tc>
          <w:tcPr>
            <w:tcW w:w="1701"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iCs w:val="0"/>
                <w:color w:val="000000"/>
                <w:kern w:val="2"/>
                <w:sz w:val="20"/>
                <w:szCs w:val="20"/>
                <w:u w:val="none"/>
                <w:lang w:val="en-US" w:eastAsia="zh-CN" w:bidi="ar-SA"/>
              </w:rPr>
            </w:pP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985"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5368.05</w:t>
            </w:r>
          </w:p>
        </w:tc>
        <w:tc>
          <w:tcPr>
            <w:tcW w:w="1842"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2267.82</w:t>
            </w:r>
          </w:p>
        </w:tc>
        <w:tc>
          <w:tcPr>
            <w:tcW w:w="1701"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3100.22</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985"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5368.05</w:t>
            </w:r>
          </w:p>
        </w:tc>
        <w:tc>
          <w:tcPr>
            <w:tcW w:w="1842"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2267.82</w:t>
            </w:r>
          </w:p>
        </w:tc>
        <w:tc>
          <w:tcPr>
            <w:tcW w:w="1701"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3100.22</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85"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1064.36</w:t>
            </w:r>
          </w:p>
        </w:tc>
        <w:tc>
          <w:tcPr>
            <w:tcW w:w="1842"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1064.36</w:t>
            </w:r>
          </w:p>
        </w:tc>
        <w:tc>
          <w:tcPr>
            <w:tcW w:w="1701"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04"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2010306</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政务公开审批</w:t>
            </w:r>
          </w:p>
        </w:tc>
        <w:tc>
          <w:tcPr>
            <w:tcW w:w="1985"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3100.22</w:t>
            </w:r>
          </w:p>
        </w:tc>
        <w:tc>
          <w:tcPr>
            <w:tcW w:w="1842"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3100.22</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42"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2010350</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1203.46</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1203.46</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377.84</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377.84</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9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377.84</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377.84</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24"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8.32</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8.32</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9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3.35</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3.35</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2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247.42</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247.42</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118.76</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118.76</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4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156.58</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156.58</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27"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985"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156.58</w:t>
            </w:r>
          </w:p>
        </w:tc>
        <w:tc>
          <w:tcPr>
            <w:tcW w:w="1842"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156.58</w:t>
            </w:r>
          </w:p>
        </w:tc>
        <w:tc>
          <w:tcPr>
            <w:tcW w:w="1701"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53.86</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53.86</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50.17</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50.17</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52.56</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52.56</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7.98</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7.98</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6.00</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6.00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2120201</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6.00</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6.00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1.98</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1.98</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2120803</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城市建设支出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1.98</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1.98</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235.19</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235.19</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235.19</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235.19</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75"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228.67</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228.67</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123"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2210203</w:t>
            </w:r>
          </w:p>
        </w:tc>
        <w:tc>
          <w:tcPr>
            <w:tcW w:w="18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购房补贴</w:t>
            </w:r>
          </w:p>
        </w:tc>
        <w:tc>
          <w:tcPr>
            <w:tcW w:w="1985"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6.51</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6.51</w:t>
            </w:r>
          </w:p>
        </w:tc>
        <w:tc>
          <w:tcPr>
            <w:tcW w:w="1701" w:type="dxa"/>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default" w:ascii="宋体" w:hAnsi="宋体" w:cs="Arial"/>
                <w:color w:val="000000"/>
                <w:kern w:val="0"/>
                <w:sz w:val="22"/>
                <w:szCs w:val="22"/>
                <w:lang w:val="en-US" w:eastAsia="zh-CN"/>
              </w:rPr>
              <w:t>0.00</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bl>
    <w:p/>
    <w:p>
      <w:pPr>
        <w:rPr>
          <w:rFonts w:hint="eastAsia"/>
        </w:rPr>
      </w:pPr>
      <w:r>
        <w:rPr>
          <w:rFonts w:hint="eastAsia"/>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pPr>
      <w:r>
        <w:rPr>
          <w:rFonts w:hint="eastAsia"/>
          <w:sz w:val="22"/>
          <w:szCs w:val="22"/>
        </w:rPr>
        <w:t>单位：万元</w:t>
      </w:r>
    </w:p>
    <w:tbl>
      <w:tblPr>
        <w:tblStyle w:val="6"/>
        <w:tblpPr w:leftFromText="180" w:rightFromText="180" w:vertAnchor="text" w:horzAnchor="page" w:tblpX="1994" w:tblpY="24"/>
        <w:tblOverlap w:val="never"/>
        <w:tblW w:w="13539" w:type="dxa"/>
        <w:tblInd w:w="0" w:type="dxa"/>
        <w:tblLayout w:type="fixed"/>
        <w:tblCellMar>
          <w:top w:w="0" w:type="dxa"/>
          <w:left w:w="108" w:type="dxa"/>
          <w:bottom w:w="0" w:type="dxa"/>
          <w:right w:w="108" w:type="dxa"/>
        </w:tblCellMar>
      </w:tblPr>
      <w:tblGrid>
        <w:gridCol w:w="3511"/>
        <w:gridCol w:w="833"/>
        <w:gridCol w:w="1410"/>
        <w:gridCol w:w="3015"/>
        <w:gridCol w:w="750"/>
        <w:gridCol w:w="1015"/>
        <w:gridCol w:w="1517"/>
        <w:gridCol w:w="1488"/>
      </w:tblGrid>
      <w:tr>
        <w:tblPrEx>
          <w:tblCellMar>
            <w:top w:w="0" w:type="dxa"/>
            <w:left w:w="108" w:type="dxa"/>
            <w:bottom w:w="0" w:type="dxa"/>
            <w:right w:w="108" w:type="dxa"/>
          </w:tblCellMar>
        </w:tblPrEx>
        <w:trPr>
          <w:trHeight w:val="300" w:hRule="atLeast"/>
        </w:trPr>
        <w:tc>
          <w:tcPr>
            <w:tcW w:w="5754"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51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833"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1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17"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488"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833"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1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8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6092.33</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一、一般公共服务支出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0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5368.05 </w:t>
            </w:r>
          </w:p>
        </w:tc>
        <w:tc>
          <w:tcPr>
            <w:tcW w:w="1517"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5368.05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10" w:type="dxa"/>
            <w:tcBorders>
              <w:top w:val="nil"/>
              <w:left w:val="nil"/>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1.98</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二、外交支出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015"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17"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三、教育支出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015"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17"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四、科学技术支出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015"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17"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五、文化旅游体育与传媒支出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015"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17"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eastAsia="宋体" w:cs="宋体"/>
                <w:i w:val="0"/>
                <w:iCs w:val="0"/>
                <w:caps w:val="0"/>
                <w:color w:val="000000"/>
                <w:spacing w:val="0"/>
                <w:sz w:val="22"/>
                <w:szCs w:val="22"/>
                <w:shd w:val="clear" w:fill="FFFFFF"/>
              </w:rPr>
              <w:t>……</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015"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17"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lang w:eastAsia="zh-CN"/>
              </w:rPr>
              <w:t>八、社会保障和就业支出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0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377.84 </w:t>
            </w:r>
          </w:p>
        </w:tc>
        <w:tc>
          <w:tcPr>
            <w:tcW w:w="1517"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377.84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lang w:eastAsia="zh-CN"/>
              </w:rPr>
              <w:t>九、卫生健康支出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0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156.58 </w:t>
            </w:r>
          </w:p>
        </w:tc>
        <w:tc>
          <w:tcPr>
            <w:tcW w:w="1517"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156.58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eastAsia="宋体" w:cs="宋体"/>
                <w:i w:val="0"/>
                <w:iCs w:val="0"/>
                <w:caps w:val="0"/>
                <w:color w:val="000000"/>
                <w:spacing w:val="0"/>
                <w:sz w:val="22"/>
                <w:szCs w:val="22"/>
                <w:shd w:val="clear" w:fill="FFFFFF"/>
              </w:rPr>
              <w:t>……</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015"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17"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488"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lang w:eastAsia="zh-CN"/>
              </w:rPr>
              <w:t>十一、城乡社区支出</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0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7.98 </w:t>
            </w:r>
          </w:p>
        </w:tc>
        <w:tc>
          <w:tcPr>
            <w:tcW w:w="1517" w:type="dxa"/>
            <w:tcBorders>
              <w:top w:val="nil"/>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6.00 </w:t>
            </w:r>
          </w:p>
        </w:tc>
        <w:tc>
          <w:tcPr>
            <w:tcW w:w="1488" w:type="dxa"/>
            <w:tcBorders>
              <w:top w:val="nil"/>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1.98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1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eastAsia="宋体" w:cs="宋体"/>
                <w:i w:val="0"/>
                <w:iCs w:val="0"/>
                <w:caps w:val="0"/>
                <w:color w:val="000000"/>
                <w:spacing w:val="0"/>
                <w:sz w:val="22"/>
                <w:szCs w:val="22"/>
                <w:shd w:val="clear" w:fill="FFFFFF"/>
              </w:rPr>
              <w:t>……</w:t>
            </w:r>
          </w:p>
        </w:tc>
        <w:tc>
          <w:tcPr>
            <w:tcW w:w="7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015" w:type="dxa"/>
            <w:tcBorders>
              <w:top w:val="single" w:color="auto" w:sz="4" w:space="0"/>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c>
          <w:tcPr>
            <w:tcW w:w="148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ind w:firstLine="1540" w:firstLineChars="700"/>
              <w:jc w:val="left"/>
              <w:rPr>
                <w:rFonts w:hint="eastAsia" w:ascii="宋体" w:hAnsi="宋体" w:cs="Arial"/>
                <w:kern w:val="0"/>
                <w:sz w:val="22"/>
                <w:szCs w:val="22"/>
              </w:rPr>
            </w:pPr>
          </w:p>
        </w:tc>
        <w:tc>
          <w:tcPr>
            <w:tcW w:w="833"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p>
        </w:tc>
        <w:tc>
          <w:tcPr>
            <w:tcW w:w="3015" w:type="dxa"/>
            <w:tcBorders>
              <w:top w:val="nil"/>
              <w:left w:val="nil"/>
              <w:bottom w:val="single" w:color="auto" w:sz="4" w:space="0"/>
              <w:right w:val="single" w:color="auto" w:sz="4" w:space="0"/>
            </w:tcBorders>
            <w:vAlign w:val="center"/>
          </w:tcPr>
          <w:p>
            <w:pPr>
              <w:widowControl/>
              <w:jc w:val="left"/>
              <w:rPr>
                <w:rFonts w:hint="eastAsia" w:ascii="宋体" w:hAnsi="宋体" w:cs="Arial"/>
                <w:kern w:val="0"/>
                <w:sz w:val="22"/>
                <w:szCs w:val="22"/>
              </w:rPr>
            </w:pPr>
            <w:r>
              <w:rPr>
                <w:rFonts w:hint="eastAsia" w:ascii="宋体" w:hAnsi="宋体" w:cs="宋体"/>
                <w:color w:val="000000"/>
                <w:kern w:val="0"/>
                <w:sz w:val="22"/>
                <w:szCs w:val="22"/>
                <w:lang w:eastAsia="zh-CN"/>
              </w:rPr>
              <w:t>十九、住房保障支出</w:t>
            </w:r>
          </w:p>
        </w:tc>
        <w:tc>
          <w:tcPr>
            <w:tcW w:w="75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w:t>
            </w:r>
          </w:p>
        </w:tc>
        <w:tc>
          <w:tcPr>
            <w:tcW w:w="101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235.19 </w:t>
            </w:r>
          </w:p>
        </w:tc>
        <w:tc>
          <w:tcPr>
            <w:tcW w:w="151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235.19 </w:t>
            </w:r>
          </w:p>
        </w:tc>
        <w:tc>
          <w:tcPr>
            <w:tcW w:w="148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ind w:firstLine="1540" w:firstLineChars="700"/>
              <w:jc w:val="left"/>
              <w:rPr>
                <w:rFonts w:hint="eastAsia" w:ascii="宋体" w:hAnsi="宋体" w:cs="Arial"/>
                <w:kern w:val="0"/>
                <w:sz w:val="22"/>
                <w:szCs w:val="22"/>
              </w:rPr>
            </w:pPr>
          </w:p>
        </w:tc>
        <w:tc>
          <w:tcPr>
            <w:tcW w:w="833"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p>
        </w:tc>
        <w:tc>
          <w:tcPr>
            <w:tcW w:w="3015" w:type="dxa"/>
            <w:tcBorders>
              <w:top w:val="nil"/>
              <w:left w:val="nil"/>
              <w:bottom w:val="single" w:color="auto" w:sz="4" w:space="0"/>
              <w:right w:val="single" w:color="auto" w:sz="4" w:space="0"/>
            </w:tcBorders>
            <w:vAlign w:val="center"/>
          </w:tcPr>
          <w:p>
            <w:pPr>
              <w:widowControl/>
              <w:jc w:val="left"/>
              <w:rPr>
                <w:rFonts w:hint="eastAsia" w:ascii="宋体" w:hAnsi="宋体" w:cs="Arial"/>
                <w:kern w:val="0"/>
                <w:sz w:val="22"/>
                <w:szCs w:val="22"/>
              </w:rPr>
            </w:pPr>
            <w:r>
              <w:rPr>
                <w:rFonts w:hint="eastAsia" w:ascii="宋体" w:hAnsi="宋体" w:eastAsia="宋体" w:cs="宋体"/>
                <w:i w:val="0"/>
                <w:iCs w:val="0"/>
                <w:caps w:val="0"/>
                <w:color w:val="000000"/>
                <w:spacing w:val="0"/>
                <w:sz w:val="22"/>
                <w:szCs w:val="22"/>
                <w:shd w:val="clear" w:fill="FFFFFF"/>
              </w:rPr>
              <w:t>……</w:t>
            </w:r>
          </w:p>
        </w:tc>
        <w:tc>
          <w:tcPr>
            <w:tcW w:w="75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015" w:type="dxa"/>
            <w:tcBorders>
              <w:top w:val="single" w:color="auto" w:sz="4" w:space="0"/>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c>
          <w:tcPr>
            <w:tcW w:w="148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833"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4</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6094.31 </w:t>
            </w:r>
          </w:p>
        </w:tc>
        <w:tc>
          <w:tcPr>
            <w:tcW w:w="30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5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w:t>
            </w:r>
          </w:p>
        </w:tc>
        <w:tc>
          <w:tcPr>
            <w:tcW w:w="4020" w:type="dxa"/>
            <w:gridSpan w:val="3"/>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6145.64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lang w:eastAsia="zh-CN"/>
              </w:rPr>
              <w:t>一、</w:t>
            </w:r>
            <w:r>
              <w:rPr>
                <w:rFonts w:hint="eastAsia" w:ascii="宋体" w:hAnsi="宋体" w:cs="Arial"/>
                <w:kern w:val="0"/>
                <w:sz w:val="22"/>
                <w:szCs w:val="22"/>
              </w:rPr>
              <w:t>年初财政拨款结转和结余</w:t>
            </w:r>
          </w:p>
        </w:tc>
        <w:tc>
          <w:tcPr>
            <w:tcW w:w="833"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5</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434.82 </w:t>
            </w:r>
          </w:p>
        </w:tc>
        <w:tc>
          <w:tcPr>
            <w:tcW w:w="30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50"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2</w:t>
            </w:r>
          </w:p>
        </w:tc>
        <w:tc>
          <w:tcPr>
            <w:tcW w:w="4020" w:type="dxa"/>
            <w:gridSpan w:val="3"/>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383.48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lang w:eastAsia="zh-CN"/>
              </w:rPr>
              <w:t>二、</w:t>
            </w:r>
            <w:r>
              <w:rPr>
                <w:rFonts w:hint="eastAsia" w:ascii="宋体" w:hAnsi="宋体" w:cs="Arial"/>
                <w:kern w:val="0"/>
                <w:sz w:val="22"/>
                <w:szCs w:val="22"/>
              </w:rPr>
              <w:t>一般公共预算财政拨款</w:t>
            </w:r>
          </w:p>
        </w:tc>
        <w:tc>
          <w:tcPr>
            <w:tcW w:w="833"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6</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434.82 </w:t>
            </w:r>
          </w:p>
        </w:tc>
        <w:tc>
          <w:tcPr>
            <w:tcW w:w="301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3</w:t>
            </w:r>
          </w:p>
        </w:tc>
        <w:tc>
          <w:tcPr>
            <w:tcW w:w="4020" w:type="dxa"/>
            <w:gridSpan w:val="3"/>
            <w:tcBorders>
              <w:top w:val="single" w:color="auto" w:sz="4" w:space="0"/>
              <w:left w:val="nil"/>
              <w:bottom w:val="single" w:color="auto" w:sz="4" w:space="0"/>
              <w:right w:val="single" w:color="auto" w:sz="4" w:space="0"/>
            </w:tcBorders>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288" w:hRule="atLeast"/>
        </w:trPr>
        <w:tc>
          <w:tcPr>
            <w:tcW w:w="3511"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lang w:eastAsia="zh-CN"/>
              </w:rPr>
              <w:t>三、</w:t>
            </w:r>
            <w:r>
              <w:rPr>
                <w:rFonts w:hint="eastAsia" w:ascii="宋体" w:hAnsi="宋体" w:cs="Arial"/>
                <w:kern w:val="0"/>
                <w:sz w:val="22"/>
                <w:szCs w:val="22"/>
              </w:rPr>
              <w:t>政府性基金预算财政拨款</w:t>
            </w:r>
          </w:p>
        </w:tc>
        <w:tc>
          <w:tcPr>
            <w:tcW w:w="833"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7</w:t>
            </w:r>
          </w:p>
        </w:tc>
        <w:tc>
          <w:tcPr>
            <w:tcW w:w="1410"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01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4</w:t>
            </w:r>
          </w:p>
        </w:tc>
        <w:tc>
          <w:tcPr>
            <w:tcW w:w="4020" w:type="dxa"/>
            <w:gridSpan w:val="3"/>
            <w:tcBorders>
              <w:top w:val="single" w:color="auto" w:sz="4" w:space="0"/>
              <w:left w:val="nil"/>
              <w:bottom w:val="single" w:color="auto" w:sz="4" w:space="0"/>
              <w:right w:val="single" w:color="auto" w:sz="4" w:space="0"/>
            </w:tcBorders>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rPr>
          <w:trHeight w:val="288" w:hRule="atLeast"/>
        </w:trPr>
        <w:tc>
          <w:tcPr>
            <w:tcW w:w="3511"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833"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9</w:t>
            </w:r>
          </w:p>
        </w:tc>
        <w:tc>
          <w:tcPr>
            <w:tcW w:w="141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6529.12 </w:t>
            </w:r>
          </w:p>
        </w:tc>
        <w:tc>
          <w:tcPr>
            <w:tcW w:w="30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50"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6</w:t>
            </w:r>
          </w:p>
        </w:tc>
        <w:tc>
          <w:tcPr>
            <w:tcW w:w="4020" w:type="dxa"/>
            <w:gridSpan w:val="3"/>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6529.12 </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297"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6143.66</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3037.44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3106.22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5368.05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2267.82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3100.22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5368.05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2267.82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3100.22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1064.36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1064.36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2010306</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政务公开审批</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3100.22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3100.22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2010350</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1203.46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1203.46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377.84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377.84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377.84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377.84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8.32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8.32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3.35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3.35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247.42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247.42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118.76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118.76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156.58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156.58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156.58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156.58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53.86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53.86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50.17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50.17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52.56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52.56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6.00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6.00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6.00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235.19 </w:t>
            </w:r>
          </w:p>
        </w:tc>
        <w:tc>
          <w:tcPr>
            <w:tcW w:w="2900"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235.19 </w:t>
            </w:r>
          </w:p>
        </w:tc>
        <w:tc>
          <w:tcPr>
            <w:tcW w:w="339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235.19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235.19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228.67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228.67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6.51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6.51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0.00 </w:t>
            </w: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pPr w:leftFromText="180" w:rightFromText="180" w:vertAnchor="text" w:horzAnchor="page" w:tblpXSpec="center" w:tblpY="75"/>
        <w:tblOverlap w:val="never"/>
        <w:tblW w:w="9151" w:type="dxa"/>
        <w:jc w:val="center"/>
        <w:tblLayout w:type="fixed"/>
        <w:tblCellMar>
          <w:top w:w="0" w:type="dxa"/>
          <w:left w:w="108" w:type="dxa"/>
          <w:bottom w:w="0" w:type="dxa"/>
          <w:right w:w="108" w:type="dxa"/>
        </w:tblCellMar>
      </w:tblPr>
      <w:tblGrid>
        <w:gridCol w:w="1442"/>
        <w:gridCol w:w="2289"/>
        <w:gridCol w:w="1256"/>
        <w:gridCol w:w="1100"/>
        <w:gridCol w:w="1864"/>
        <w:gridCol w:w="1200"/>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442"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28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5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1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864"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w:t>
            </w:r>
          </w:p>
        </w:tc>
        <w:tc>
          <w:tcPr>
            <w:tcW w:w="22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2782.39</w:t>
            </w:r>
          </w:p>
        </w:tc>
        <w:tc>
          <w:tcPr>
            <w:tcW w:w="11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w:t>
            </w:r>
          </w:p>
        </w:tc>
        <w:tc>
          <w:tcPr>
            <w:tcW w:w="186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244.14</w:t>
            </w:r>
          </w:p>
        </w:tc>
      </w:tr>
      <w:tr>
        <w:tblPrEx>
          <w:tblCellMar>
            <w:top w:w="0" w:type="dxa"/>
            <w:left w:w="108" w:type="dxa"/>
            <w:bottom w:w="0" w:type="dxa"/>
            <w:right w:w="108" w:type="dxa"/>
          </w:tblCellMar>
        </w:tblPrEx>
        <w:trPr>
          <w:trHeight w:val="264"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22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256"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571.18</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30201</w:t>
            </w:r>
          </w:p>
        </w:tc>
        <w:tc>
          <w:tcPr>
            <w:tcW w:w="186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63.33</w:t>
            </w:r>
          </w:p>
        </w:tc>
      </w:tr>
      <w:tr>
        <w:tblPrEx>
          <w:tblCellMar>
            <w:top w:w="0" w:type="dxa"/>
            <w:left w:w="108" w:type="dxa"/>
            <w:bottom w:w="0" w:type="dxa"/>
            <w:right w:w="108" w:type="dxa"/>
          </w:tblCellMar>
        </w:tblPrEx>
        <w:trPr>
          <w:trHeight w:val="264"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22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256"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276.96</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30202</w:t>
            </w:r>
          </w:p>
        </w:tc>
        <w:tc>
          <w:tcPr>
            <w:tcW w:w="186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0.66</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22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421.63</w:t>
            </w:r>
          </w:p>
        </w:tc>
        <w:tc>
          <w:tcPr>
            <w:tcW w:w="11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86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65</w:t>
            </w:r>
          </w:p>
        </w:tc>
        <w:tc>
          <w:tcPr>
            <w:tcW w:w="11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30307</w:t>
            </w:r>
          </w:p>
        </w:tc>
        <w:tc>
          <w:tcPr>
            <w:tcW w:w="186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19.16</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256"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680.93</w:t>
            </w:r>
          </w:p>
        </w:tc>
        <w:tc>
          <w:tcPr>
            <w:tcW w:w="11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86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256"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247.42</w:t>
            </w:r>
          </w:p>
        </w:tc>
        <w:tc>
          <w:tcPr>
            <w:tcW w:w="110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30211</w:t>
            </w:r>
          </w:p>
        </w:tc>
        <w:tc>
          <w:tcPr>
            <w:tcW w:w="1864"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差旅费</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20.14</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118.76</w:t>
            </w:r>
          </w:p>
        </w:tc>
        <w:tc>
          <w:tcPr>
            <w:tcW w:w="11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30215</w:t>
            </w:r>
          </w:p>
        </w:tc>
        <w:tc>
          <w:tcPr>
            <w:tcW w:w="1864"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会议费</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0.25</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104.03</w:t>
            </w:r>
          </w:p>
        </w:tc>
        <w:tc>
          <w:tcPr>
            <w:tcW w:w="11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30216</w:t>
            </w:r>
          </w:p>
        </w:tc>
        <w:tc>
          <w:tcPr>
            <w:tcW w:w="1864"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培训费</w:t>
            </w:r>
          </w:p>
        </w:tc>
        <w:tc>
          <w:tcPr>
            <w:tcW w:w="120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4.29</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52.56</w:t>
            </w:r>
          </w:p>
        </w:tc>
        <w:tc>
          <w:tcPr>
            <w:tcW w:w="11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30217</w:t>
            </w:r>
          </w:p>
        </w:tc>
        <w:tc>
          <w:tcPr>
            <w:tcW w:w="1864"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公务接待费</w:t>
            </w:r>
          </w:p>
        </w:tc>
        <w:tc>
          <w:tcPr>
            <w:tcW w:w="120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1.12</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15.25</w:t>
            </w:r>
          </w:p>
        </w:tc>
        <w:tc>
          <w:tcPr>
            <w:tcW w:w="11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86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228.67</w:t>
            </w:r>
          </w:p>
        </w:tc>
        <w:tc>
          <w:tcPr>
            <w:tcW w:w="1100"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864"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工会经费</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34.45</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256"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p>
        </w:tc>
        <w:tc>
          <w:tcPr>
            <w:tcW w:w="11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86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22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25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p>
        </w:tc>
        <w:tc>
          <w:tcPr>
            <w:tcW w:w="11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30239</w:t>
            </w:r>
          </w:p>
        </w:tc>
        <w:tc>
          <w:tcPr>
            <w:tcW w:w="1864"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其他交通费用</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68.66</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22"/>
                <w:szCs w:val="22"/>
              </w:rPr>
              <w:t>303</w:t>
            </w:r>
          </w:p>
        </w:tc>
        <w:tc>
          <w:tcPr>
            <w:tcW w:w="2289" w:type="dxa"/>
            <w:tcBorders>
              <w:top w:val="nil"/>
              <w:left w:val="nil"/>
              <w:bottom w:val="single" w:color="auto" w:sz="4" w:space="0"/>
              <w:right w:val="single" w:color="auto" w:sz="4" w:space="0"/>
            </w:tcBorders>
            <w:vAlign w:val="bottom"/>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0"/>
                <w:szCs w:val="20"/>
              </w:rPr>
              <w:t>对个人和家庭的补助</w:t>
            </w:r>
          </w:p>
        </w:tc>
        <w:tc>
          <w:tcPr>
            <w:tcW w:w="125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p>
        </w:tc>
        <w:tc>
          <w:tcPr>
            <w:tcW w:w="11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1864"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0"/>
                <w:szCs w:val="20"/>
                <w:lang w:eastAsia="zh-CN"/>
              </w:rPr>
              <w:t>其他商品和服务支出</w:t>
            </w:r>
          </w:p>
        </w:tc>
        <w:tc>
          <w:tcPr>
            <w:tcW w:w="1200"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32.09</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2289" w:type="dxa"/>
            <w:tcBorders>
              <w:top w:val="nil"/>
              <w:left w:val="nil"/>
              <w:bottom w:val="single" w:color="auto" w:sz="4" w:space="0"/>
              <w:right w:val="single" w:color="auto" w:sz="4" w:space="0"/>
            </w:tcBorders>
            <w:vAlign w:val="bottom"/>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退休费</w:t>
            </w:r>
          </w:p>
        </w:tc>
        <w:tc>
          <w:tcPr>
            <w:tcW w:w="1256"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10.91</w:t>
            </w:r>
          </w:p>
        </w:tc>
        <w:tc>
          <w:tcPr>
            <w:tcW w:w="1100" w:type="dxa"/>
            <w:tcBorders>
              <w:top w:val="nil"/>
              <w:left w:val="nil"/>
              <w:bottom w:val="single" w:color="auto" w:sz="4" w:space="0"/>
              <w:right w:val="single" w:color="auto" w:sz="4" w:space="0"/>
            </w:tcBorders>
            <w:vAlign w:val="bottom"/>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307</w:t>
            </w:r>
          </w:p>
        </w:tc>
        <w:tc>
          <w:tcPr>
            <w:tcW w:w="1864" w:type="dxa"/>
            <w:tcBorders>
              <w:top w:val="nil"/>
              <w:left w:val="nil"/>
              <w:bottom w:val="single" w:color="auto" w:sz="4" w:space="0"/>
              <w:right w:val="single" w:color="auto" w:sz="4" w:space="0"/>
            </w:tcBorders>
            <w:vAlign w:val="bottom"/>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120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rPr>
              <w:t>……</w:t>
            </w:r>
          </w:p>
        </w:tc>
        <w:tc>
          <w:tcPr>
            <w:tcW w:w="2289" w:type="dxa"/>
            <w:tcBorders>
              <w:top w:val="nil"/>
              <w:left w:val="nil"/>
              <w:bottom w:val="single" w:color="auto" w:sz="4" w:space="0"/>
              <w:right w:val="single" w:color="auto" w:sz="4" w:space="0"/>
            </w:tcBorders>
            <w:vAlign w:val="bottom"/>
          </w:tcPr>
          <w:p>
            <w:pPr>
              <w:widowControl/>
              <w:ind w:firstLine="440" w:firstLineChars="200"/>
              <w:jc w:val="both"/>
              <w:rPr>
                <w:rFonts w:hint="eastAsia" w:ascii="宋体" w:hAnsi="宋体" w:cs="Arial"/>
                <w:color w:val="000000"/>
                <w:kern w:val="0"/>
                <w:sz w:val="22"/>
                <w:szCs w:val="22"/>
              </w:rPr>
            </w:pPr>
            <w:r>
              <w:rPr>
                <w:rFonts w:hint="eastAsia" w:ascii="宋体" w:hAnsi="宋体" w:cs="Arial"/>
                <w:color w:val="000000"/>
                <w:kern w:val="0"/>
                <w:sz w:val="22"/>
                <w:szCs w:val="22"/>
              </w:rPr>
              <w:t>……</w:t>
            </w:r>
          </w:p>
        </w:tc>
        <w:tc>
          <w:tcPr>
            <w:tcW w:w="12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00" w:type="dxa"/>
            <w:tcBorders>
              <w:top w:val="nil"/>
              <w:left w:val="nil"/>
              <w:bottom w:val="single" w:color="auto" w:sz="4" w:space="0"/>
              <w:right w:val="single" w:color="auto" w:sz="4" w:space="0"/>
            </w:tcBorders>
            <w:vAlign w:val="bottom"/>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310</w:t>
            </w:r>
          </w:p>
        </w:tc>
        <w:tc>
          <w:tcPr>
            <w:tcW w:w="1864" w:type="dxa"/>
            <w:tcBorders>
              <w:top w:val="nil"/>
              <w:left w:val="nil"/>
              <w:bottom w:val="single" w:color="auto" w:sz="4" w:space="0"/>
              <w:right w:val="single" w:color="auto" w:sz="4" w:space="0"/>
            </w:tcBorders>
            <w:vAlign w:val="bottom"/>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资本性支出</w:t>
            </w:r>
          </w:p>
        </w:tc>
        <w:tc>
          <w:tcPr>
            <w:tcW w:w="12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22"/>
                <w:szCs w:val="22"/>
              </w:rPr>
              <w:t>……</w:t>
            </w:r>
          </w:p>
        </w:tc>
        <w:tc>
          <w:tcPr>
            <w:tcW w:w="22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22"/>
                <w:szCs w:val="22"/>
              </w:rPr>
              <w:t>……</w:t>
            </w:r>
          </w:p>
        </w:tc>
        <w:tc>
          <w:tcPr>
            <w:tcW w:w="12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00" w:type="dxa"/>
            <w:tcBorders>
              <w:top w:val="nil"/>
              <w:left w:val="nil"/>
              <w:bottom w:val="single" w:color="auto" w:sz="4" w:space="0"/>
              <w:right w:val="single" w:color="auto" w:sz="4" w:space="0"/>
            </w:tcBorders>
            <w:vAlign w:val="bottom"/>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399</w:t>
            </w:r>
          </w:p>
        </w:tc>
        <w:tc>
          <w:tcPr>
            <w:tcW w:w="1864" w:type="dxa"/>
            <w:tcBorders>
              <w:top w:val="nil"/>
              <w:left w:val="nil"/>
              <w:bottom w:val="single" w:color="auto" w:sz="4" w:space="0"/>
              <w:right w:val="single" w:color="auto" w:sz="4" w:space="0"/>
            </w:tcBorders>
            <w:vAlign w:val="bottom"/>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2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144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28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256"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6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607" w:hRule="atLeast"/>
          <w:jc w:val="center"/>
        </w:trPr>
        <w:tc>
          <w:tcPr>
            <w:tcW w:w="373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56"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2793.30</w:t>
            </w:r>
          </w:p>
        </w:tc>
        <w:tc>
          <w:tcPr>
            <w:tcW w:w="296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200"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244.14</w:t>
            </w:r>
          </w:p>
        </w:tc>
      </w:tr>
    </w:tbl>
    <w:p>
      <w:p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127"/>
        <w:gridCol w:w="895"/>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87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705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27"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9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27"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2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9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5.63</w:t>
            </w:r>
          </w:p>
        </w:tc>
        <w:tc>
          <w:tcPr>
            <w:tcW w:w="1603" w:type="dxa"/>
            <w:tcBorders>
              <w:top w:val="nil"/>
              <w:left w:val="nil"/>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828" w:type="dxa"/>
            <w:tcBorders>
              <w:top w:val="nil"/>
              <w:left w:val="nil"/>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242" w:type="dxa"/>
            <w:tcBorders>
              <w:top w:val="nil"/>
              <w:left w:val="nil"/>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1242" w:type="dxa"/>
            <w:tcBorders>
              <w:top w:val="nil"/>
              <w:left w:val="nil"/>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1127" w:type="dxa"/>
            <w:tcBorders>
              <w:top w:val="nil"/>
              <w:left w:val="nil"/>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5.63</w:t>
            </w:r>
          </w:p>
        </w:tc>
        <w:tc>
          <w:tcPr>
            <w:tcW w:w="895" w:type="dxa"/>
            <w:tcBorders>
              <w:top w:val="nil"/>
              <w:left w:val="nil"/>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1.12</w:t>
            </w:r>
          </w:p>
        </w:tc>
        <w:tc>
          <w:tcPr>
            <w:tcW w:w="1560" w:type="dxa"/>
            <w:tcBorders>
              <w:top w:val="nil"/>
              <w:left w:val="nil"/>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806" w:type="dxa"/>
            <w:tcBorders>
              <w:top w:val="nil"/>
              <w:left w:val="nil"/>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1398" w:type="dxa"/>
            <w:tcBorders>
              <w:top w:val="nil"/>
              <w:left w:val="nil"/>
              <w:bottom w:val="single" w:color="auto" w:sz="4" w:space="0"/>
              <w:right w:val="single" w:color="auto" w:sz="4" w:space="0"/>
            </w:tcBorders>
          </w:tcPr>
          <w:p>
            <w:pPr>
              <w:widowControl/>
              <w:ind w:firstLine="400" w:firstLineChars="2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1208" w:type="dxa"/>
            <w:tcBorders>
              <w:top w:val="nil"/>
              <w:left w:val="nil"/>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183" w:type="dxa"/>
            <w:tcBorders>
              <w:top w:val="nil"/>
              <w:left w:val="nil"/>
              <w:bottom w:val="single" w:color="auto" w:sz="4" w:space="0"/>
              <w:right w:val="single" w:color="auto" w:sz="4" w:space="0"/>
            </w:tcBorders>
          </w:tcPr>
          <w:p>
            <w:pPr>
              <w:widowControl/>
              <w:ind w:firstLine="200" w:firstLineChars="100"/>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1.12</w:t>
            </w:r>
          </w:p>
        </w:tc>
      </w:tr>
    </w:tbl>
    <w:p>
      <w:p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212</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城乡社区支出</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21208</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国有土地使用权出让收入安排的支出</w:t>
            </w: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2120803</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城市建设支出</w:t>
            </w: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1.98</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注：本表反映部门本年度政府性基金预算财政拨款收入支出及结转和结余情况。</w:t>
      </w:r>
    </w:p>
    <w:tbl>
      <w:tblPr>
        <w:tblStyle w:val="6"/>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1"/>
                <w:highlight w:val="none"/>
                <w:lang w:val="en-US" w:eastAsia="zh-CN" w:bidi="ar"/>
              </w:rPr>
              <w:t xml:space="preserve">   </w:t>
            </w:r>
            <w:r>
              <w:rPr>
                <w:rStyle w:val="12"/>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p>
            <w:pPr>
              <w:keepNext w:val="0"/>
              <w:keepLines w:val="0"/>
              <w:widowControl/>
              <w:suppressLineNumbers w:val="0"/>
              <w:ind w:firstLine="480" w:firstLineChars="20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柳州市行政审批局没有国有资本经营预算财政拨款收入，也没有国有资本经营预算财政拨款安排的支出，故本表无数据</w:t>
            </w:r>
          </w:p>
        </w:tc>
      </w:tr>
    </w:tbl>
    <w:p>
      <w:pPr>
        <w:spacing w:line="560" w:lineRule="exact"/>
        <w:ind w:firstLine="420"/>
        <w:rPr>
          <w:rFonts w:hint="eastAsia"/>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sz w:val="28"/>
          <w:szCs w:val="28"/>
          <w:lang w:val="en-US" w:eastAsia="zh-CN"/>
        </w:rPr>
        <w:t>6529.44</w:t>
      </w:r>
      <w:r>
        <w:rPr>
          <w:rFonts w:hint="eastAsia" w:ascii="仿宋_GB2312" w:eastAsia="仿宋_GB2312" w:cs="仿宋_GB2312"/>
          <w:bCs/>
          <w:kern w:val="0"/>
          <w:sz w:val="32"/>
          <w:szCs w:val="32"/>
        </w:rPr>
        <w:t>万元，支出总计</w:t>
      </w:r>
      <w:r>
        <w:rPr>
          <w:rFonts w:hint="eastAsia" w:ascii="仿宋_GB2312" w:eastAsia="仿宋_GB2312"/>
          <w:sz w:val="28"/>
          <w:szCs w:val="28"/>
          <w:lang w:val="en-US" w:eastAsia="zh-CN"/>
        </w:rPr>
        <w:t>6529.44</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573.86万元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9.64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。增加的主要原因：</w:t>
      </w:r>
      <w:r>
        <w:rPr>
          <w:rFonts w:hint="eastAsia" w:ascii="仿宋_GB2312" w:eastAsia="仿宋_GB2312" w:cs="仿宋_GB2312"/>
          <w:bCs/>
          <w:kern w:val="0"/>
          <w:sz w:val="32"/>
          <w:szCs w:val="32"/>
        </w:rPr>
        <w:t>一是年中追加安排财政拨款支出预算，涉及项目有</w:t>
      </w:r>
      <w:r>
        <w:rPr>
          <w:rFonts w:hint="eastAsia" w:ascii="仿宋_GB2312" w:hAnsi="仿宋_GB2312" w:eastAsia="仿宋_GB2312" w:cs="仿宋_GB2312"/>
          <w:sz w:val="32"/>
          <w:szCs w:val="32"/>
          <w:lang w:eastAsia="zh-CN"/>
        </w:rPr>
        <w:t>审批成本性支出、2020政府为民办实事“全城通办”系统项目经费、2</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年行政人员绩效考评奖励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增人增资的各项经费等。</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6094.56</w:t>
      </w:r>
      <w:r>
        <w:rPr>
          <w:rFonts w:hint="eastAsia" w:ascii="仿宋_GB2312" w:eastAsia="仿宋_GB2312" w:cs="仿宋_GB2312"/>
          <w:bCs/>
          <w:kern w:val="0"/>
          <w:sz w:val="32"/>
          <w:szCs w:val="32"/>
        </w:rPr>
        <w:t>万元 ，其中：一般公共预算财政拨款收入</w:t>
      </w:r>
      <w:r>
        <w:rPr>
          <w:rFonts w:hint="eastAsia" w:ascii="仿宋_GB2312" w:eastAsia="仿宋_GB2312"/>
          <w:sz w:val="28"/>
          <w:szCs w:val="28"/>
          <w:lang w:val="en-US" w:eastAsia="zh-CN"/>
        </w:rPr>
        <w:t>6092.33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99.96%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政府性基金</w:t>
      </w:r>
      <w:r>
        <w:rPr>
          <w:rFonts w:hint="eastAsia" w:ascii="仿宋_GB2312" w:eastAsia="仿宋_GB2312" w:cs="仿宋_GB2312"/>
          <w:bCs/>
          <w:kern w:val="0"/>
          <w:sz w:val="32"/>
          <w:szCs w:val="32"/>
        </w:rPr>
        <w:t>预算财政拨款收入</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6145.64</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3037.44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49.42</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3108.20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50.58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本部门2020年度财政拨款收、支总决算</w:t>
      </w:r>
      <w:r>
        <w:rPr>
          <w:rFonts w:hint="eastAsia" w:ascii="仿宋_GB2312" w:eastAsia="仿宋_GB2312" w:cs="仿宋_GB2312"/>
          <w:bCs/>
          <w:kern w:val="0"/>
          <w:sz w:val="32"/>
          <w:szCs w:val="32"/>
          <w:lang w:val="en-US" w:eastAsia="zh-CN"/>
        </w:rPr>
        <w:t>6529.12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6529.12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与2019年相比，财政拨款收、支总计各增加</w:t>
      </w:r>
      <w:r>
        <w:rPr>
          <w:rFonts w:hint="eastAsia" w:ascii="仿宋_GB2312" w:eastAsia="仿宋_GB2312" w:cs="仿宋_GB2312"/>
          <w:bCs/>
          <w:kern w:val="0"/>
          <w:sz w:val="32"/>
          <w:szCs w:val="32"/>
          <w:lang w:val="en-US" w:eastAsia="zh-CN"/>
        </w:rPr>
        <w:t>573.95</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9.64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增加的主要原因：</w:t>
      </w:r>
      <w:r>
        <w:rPr>
          <w:rFonts w:hint="eastAsia" w:ascii="仿宋_GB2312" w:eastAsia="仿宋_GB2312" w:cs="仿宋_GB2312"/>
          <w:bCs/>
          <w:kern w:val="0"/>
          <w:sz w:val="32"/>
          <w:szCs w:val="32"/>
        </w:rPr>
        <w:t>一是年中追加安排财政拨款支出预算，涉及项目有</w:t>
      </w:r>
      <w:r>
        <w:rPr>
          <w:rFonts w:hint="eastAsia" w:ascii="仿宋_GB2312" w:hAnsi="仿宋_GB2312" w:eastAsia="仿宋_GB2312" w:cs="仿宋_GB2312"/>
          <w:sz w:val="32"/>
          <w:szCs w:val="32"/>
          <w:lang w:eastAsia="zh-CN"/>
        </w:rPr>
        <w:t>审批成本性支出、2020政府为民办实事“全城通办”系统项目经费、2</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年行政人员绩效考评奖励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增人增资的各项经费等。</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w:t>
      </w:r>
      <w:r>
        <w:rPr>
          <w:rFonts w:hint="eastAsia" w:ascii="仿宋_GB2312" w:eastAsia="仿宋_GB2312" w:cs="仿宋_GB2312"/>
          <w:bCs/>
          <w:kern w:val="0"/>
          <w:sz w:val="32"/>
          <w:szCs w:val="32"/>
          <w:lang w:val="en-US" w:eastAsia="zh-CN"/>
        </w:rPr>
        <w:t>6143.66</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99.97</w:t>
      </w:r>
      <w:r>
        <w:rPr>
          <w:rFonts w:hint="eastAsia" w:ascii="仿宋_GB2312" w:eastAsia="仿宋_GB2312" w:cs="仿宋_GB2312"/>
          <w:bCs/>
          <w:kern w:val="0"/>
          <w:sz w:val="32"/>
          <w:szCs w:val="32"/>
        </w:rPr>
        <w:t>%。与2019 年相比，财政拨款支出增</w:t>
      </w:r>
      <w:r>
        <w:rPr>
          <w:rFonts w:hint="eastAsia" w:ascii="仿宋_GB2312" w:eastAsia="仿宋_GB2312" w:cs="仿宋_GB2312"/>
          <w:bCs/>
          <w:kern w:val="0"/>
          <w:sz w:val="32"/>
          <w:szCs w:val="32"/>
          <w:lang w:val="en-US" w:eastAsia="zh-CN"/>
        </w:rPr>
        <w:t>668.09</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12.20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增加的主要原因：</w:t>
      </w:r>
      <w:r>
        <w:rPr>
          <w:rFonts w:hint="eastAsia" w:ascii="仿宋_GB2312" w:eastAsia="仿宋_GB2312" w:cs="仿宋_GB2312"/>
          <w:bCs/>
          <w:kern w:val="0"/>
          <w:sz w:val="32"/>
          <w:szCs w:val="32"/>
        </w:rPr>
        <w:t>一是年中追加安排财政拨款支出预算，涉及项目有</w:t>
      </w:r>
      <w:r>
        <w:rPr>
          <w:rFonts w:hint="eastAsia" w:ascii="仿宋_GB2312" w:hAnsi="仿宋_GB2312" w:eastAsia="仿宋_GB2312" w:cs="仿宋_GB2312"/>
          <w:sz w:val="32"/>
          <w:szCs w:val="32"/>
          <w:lang w:eastAsia="zh-CN"/>
        </w:rPr>
        <w:t>审批成本性支出、2020政府为民办实事“全城通办”系统项目经费、2</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年行政人员绩效考评奖励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增人增资的各项经费等。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6143.66</w:t>
      </w:r>
      <w:r>
        <w:rPr>
          <w:rFonts w:hint="eastAsia" w:ascii="仿宋_GB2312" w:eastAsia="仿宋_GB2312" w:cs="仿宋_GB2312"/>
          <w:bCs/>
          <w:kern w:val="0"/>
          <w:sz w:val="32"/>
          <w:szCs w:val="32"/>
        </w:rPr>
        <w:t>万元，主要用于以下方面：一般公共服务支出</w:t>
      </w:r>
      <w:r>
        <w:rPr>
          <w:rFonts w:hint="eastAsia" w:ascii="仿宋_GB2312" w:eastAsia="仿宋_GB2312" w:cs="仿宋_GB2312"/>
          <w:bCs/>
          <w:kern w:val="0"/>
          <w:sz w:val="32"/>
          <w:szCs w:val="32"/>
          <w:lang w:val="en-US" w:eastAsia="zh-CN"/>
        </w:rPr>
        <w:t>5368.05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87.38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lang w:val="en-US" w:eastAsia="zh-CN"/>
        </w:rPr>
        <w:t>377.84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6.15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156.58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2.55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城乡社区支出</w:t>
      </w:r>
      <w:r>
        <w:rPr>
          <w:rFonts w:hint="eastAsia" w:ascii="仿宋_GB2312" w:eastAsia="仿宋_GB2312" w:cs="仿宋_GB2312"/>
          <w:bCs/>
          <w:kern w:val="0"/>
          <w:sz w:val="32"/>
          <w:szCs w:val="32"/>
          <w:lang w:val="en-US" w:eastAsia="zh-CN"/>
        </w:rPr>
        <w:t>7.98万元，占0.13%；</w:t>
      </w:r>
      <w:r>
        <w:rPr>
          <w:rFonts w:hint="eastAsia" w:ascii="仿宋_GB2312" w:eastAsia="仿宋_GB2312" w:cs="仿宋_GB2312"/>
          <w:bCs/>
          <w:kern w:val="0"/>
          <w:sz w:val="32"/>
          <w:szCs w:val="32"/>
          <w:lang w:eastAsia="zh-CN"/>
        </w:rPr>
        <w:t>住房保障</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235.19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3.83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 年度财政拨款支出年初预算为</w:t>
      </w:r>
      <w:r>
        <w:rPr>
          <w:rFonts w:hint="eastAsia" w:ascii="仿宋_GB2312" w:eastAsia="仿宋_GB2312" w:cs="仿宋_GB2312"/>
          <w:bCs/>
          <w:kern w:val="0"/>
          <w:sz w:val="32"/>
          <w:szCs w:val="32"/>
          <w:lang w:val="en-US" w:eastAsia="zh-CN"/>
        </w:rPr>
        <w:t>5215.35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6529.44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125.20</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hAnsi="仿宋_GB2312" w:eastAsia="仿宋_GB2312" w:cs="仿宋_GB2312"/>
          <w:sz w:val="32"/>
          <w:szCs w:val="32"/>
          <w:lang w:eastAsia="zh-CN"/>
        </w:rPr>
        <w:t>审批成本性支出、2020政府为民办实事“全城通办”系统项目经费、2</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年行政人员绩效考评奖励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增人增资的各项经费等</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一般公共服务支出（201）政府办公厅（室）及相关机构事务（03）行政运行（01）。年初预算为822.04万元，支出决算为1064.36万元，完成年初预算的124.31%。决算数大于预算数的主要原因是决算数大于预算数的主要原因一是增人增资；二是下达了绩效考评奖励；三是使用上年结转指标：公用经费、增人增资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hAnsi="Times New Roman" w:eastAsia="仿宋_GB2312" w:cs="仿宋_GB2312"/>
          <w:bCs/>
          <w:kern w:val="0"/>
          <w:sz w:val="32"/>
          <w:szCs w:val="32"/>
          <w:lang w:val="en-US" w:eastAsia="zh-CN"/>
        </w:rPr>
        <w:t>一般公共服务支出（201）政府办公厅（室）及相关机构事务（03）</w:t>
      </w:r>
      <w:r>
        <w:rPr>
          <w:rFonts w:hint="eastAsia" w:ascii="仿宋_GB2312" w:eastAsia="仿宋_GB2312" w:cs="仿宋_GB2312"/>
          <w:bCs/>
          <w:kern w:val="0"/>
          <w:sz w:val="32"/>
          <w:szCs w:val="32"/>
          <w:lang w:eastAsia="zh-CN"/>
        </w:rPr>
        <w:t>政务公开审批</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）。年初预算为2489.01万元，支出决算为</w:t>
      </w:r>
      <w:r>
        <w:rPr>
          <w:rFonts w:hint="eastAsia" w:ascii="仿宋_GB2312" w:eastAsia="仿宋_GB2312" w:cs="仿宋_GB2312"/>
          <w:bCs/>
          <w:kern w:val="0"/>
          <w:sz w:val="32"/>
          <w:szCs w:val="32"/>
          <w:lang w:val="en-US" w:eastAsia="zh-CN"/>
        </w:rPr>
        <w:t>3100.22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124.56</w:t>
      </w:r>
      <w:r>
        <w:rPr>
          <w:rFonts w:hint="eastAsia" w:ascii="仿宋_GB2312" w:eastAsia="仿宋_GB2312" w:cs="仿宋_GB2312"/>
          <w:bCs/>
          <w:kern w:val="0"/>
          <w:sz w:val="32"/>
          <w:szCs w:val="32"/>
        </w:rPr>
        <w:t xml:space="preserve"> %。决算数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一是下达了</w:t>
      </w:r>
      <w:r>
        <w:rPr>
          <w:rFonts w:hint="eastAsia" w:ascii="仿宋_GB2312" w:hAnsi="仿宋_GB2312" w:eastAsia="仿宋_GB2312" w:cs="仿宋_GB2312"/>
          <w:sz w:val="32"/>
          <w:szCs w:val="32"/>
          <w:lang w:eastAsia="zh-CN"/>
        </w:rPr>
        <w:t>2020政府为民办实事“全城通办”系统项目经费；二是增加了</w:t>
      </w:r>
      <w:r>
        <w:rPr>
          <w:rFonts w:hint="eastAsia" w:ascii="仿宋_GB2312" w:hAnsi="Times New Roman" w:eastAsia="仿宋_GB2312" w:cs="仿宋_GB2312"/>
          <w:bCs/>
          <w:kern w:val="0"/>
          <w:sz w:val="32"/>
          <w:szCs w:val="32"/>
          <w:lang w:val="en-US" w:eastAsia="zh-CN"/>
        </w:rPr>
        <w:t>审批服务成本性支出</w:t>
      </w:r>
      <w:r>
        <w:rPr>
          <w:rFonts w:hint="eastAsia" w:ascii="仿宋_GB2312" w:eastAsia="仿宋_GB2312" w:cs="仿宋_GB2312"/>
          <w:bCs/>
          <w:kern w:val="0"/>
          <w:sz w:val="32"/>
          <w:szCs w:val="32"/>
        </w:rPr>
        <w:t xml:space="preserve"> 。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hAnsi="Times New Roman" w:eastAsia="仿宋_GB2312" w:cs="仿宋_GB2312"/>
          <w:bCs/>
          <w:kern w:val="0"/>
          <w:sz w:val="32"/>
          <w:szCs w:val="32"/>
          <w:lang w:val="en-US" w:eastAsia="zh-CN"/>
        </w:rPr>
        <w:t>一般公共服务支出（201）政府办公厅（室）及相关机构事务（03）</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50</w:t>
      </w:r>
      <w:r>
        <w:rPr>
          <w:rFonts w:hint="eastAsia" w:ascii="仿宋_GB2312" w:eastAsia="仿宋_GB2312" w:cs="仿宋_GB2312"/>
          <w:bCs/>
          <w:kern w:val="0"/>
          <w:sz w:val="32"/>
          <w:szCs w:val="32"/>
        </w:rPr>
        <w:t>）。年</w:t>
      </w:r>
      <w:r>
        <w:rPr>
          <w:rFonts w:hint="eastAsia" w:ascii="仿宋_GB2312" w:hAnsi="仿宋_GB2312" w:eastAsia="仿宋_GB2312" w:cs="仿宋_GB2312"/>
          <w:sz w:val="32"/>
          <w:szCs w:val="32"/>
          <w:lang w:eastAsia="zh-CN"/>
        </w:rPr>
        <w:t>初预算为1004.58万</w:t>
      </w:r>
      <w:r>
        <w:rPr>
          <w:rFonts w:hint="eastAsia" w:ascii="仿宋_GB2312" w:eastAsia="仿宋_GB2312" w:cs="仿宋_GB2312"/>
          <w:bCs/>
          <w:kern w:val="0"/>
          <w:sz w:val="32"/>
          <w:szCs w:val="32"/>
        </w:rPr>
        <w:t>元，支出决算为</w:t>
      </w:r>
      <w:r>
        <w:rPr>
          <w:rFonts w:hint="eastAsia" w:ascii="仿宋_GB2312" w:eastAsia="仿宋_GB2312" w:cs="仿宋_GB2312"/>
          <w:bCs/>
          <w:kern w:val="0"/>
          <w:sz w:val="32"/>
          <w:szCs w:val="32"/>
          <w:lang w:val="en-US" w:eastAsia="zh-CN"/>
        </w:rPr>
        <w:t>1203.46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119.80</w:t>
      </w:r>
      <w:r>
        <w:rPr>
          <w:rFonts w:hint="eastAsia" w:ascii="仿宋_GB2312" w:eastAsia="仿宋_GB2312" w:cs="仿宋_GB2312"/>
          <w:bCs/>
          <w:kern w:val="0"/>
          <w:sz w:val="32"/>
          <w:szCs w:val="32"/>
        </w:rPr>
        <w:t>%。决算数大于预算数的主要原因是</w:t>
      </w:r>
      <w:r>
        <w:rPr>
          <w:rFonts w:hint="eastAsia" w:ascii="仿宋_GB2312" w:hAnsi="Times New Roman" w:eastAsia="仿宋_GB2312" w:cs="仿宋_GB2312"/>
          <w:bCs/>
          <w:kern w:val="0"/>
          <w:sz w:val="32"/>
          <w:szCs w:val="32"/>
          <w:lang w:val="en-US" w:eastAsia="zh-CN"/>
        </w:rPr>
        <w:t>一是增人增资；二是下达了绩效考评奖励及绩效工资总量差额；三是使用上年结转指标：公用经费、增人增资等</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4.</w:t>
      </w:r>
      <w:r>
        <w:rPr>
          <w:rFonts w:hint="default" w:ascii="仿宋_GB2312" w:hAnsi="Times New Roman" w:eastAsia="仿宋_GB2312" w:cs="仿宋_GB2312"/>
          <w:bCs/>
          <w:kern w:val="0"/>
          <w:sz w:val="32"/>
          <w:szCs w:val="32"/>
          <w:lang w:val="en-US" w:eastAsia="zh-CN"/>
        </w:rPr>
        <w:t xml:space="preserve"> </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行政单位离退休</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。年初预算为6.23万元，支出决算为8.32万元，完成年初预算的133.55</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。决算数大于预算数的主要原因一是年末财政下达了退休人员变动经费；二是使用了上年结转经费。</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5.</w:t>
      </w:r>
      <w:r>
        <w:rPr>
          <w:rFonts w:hint="default" w:ascii="仿宋_GB2312" w:hAnsi="Times New Roman" w:eastAsia="仿宋_GB2312" w:cs="仿宋_GB2312"/>
          <w:bCs/>
          <w:kern w:val="0"/>
          <w:sz w:val="32"/>
          <w:szCs w:val="32"/>
          <w:lang w:val="en-US" w:eastAsia="zh-CN"/>
        </w:rPr>
        <w:t xml:space="preserve"> </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事业单位离退休</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。年初预算为3.48万元，支出决算为3.35万元，完成年初预算的96.26</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。决算数小于预算数的主要原因退休人员公用经费及12月退休物业补贴未支付。</w:t>
      </w:r>
    </w:p>
    <w:p>
      <w:pPr>
        <w:autoSpaceDE w:val="0"/>
        <w:autoSpaceDN w:val="0"/>
        <w:adjustRightInd w:val="0"/>
        <w:spacing w:line="580" w:lineRule="exact"/>
        <w:ind w:firstLine="640" w:firstLineChars="200"/>
        <w:jc w:val="left"/>
        <w:rPr>
          <w:rFonts w:hint="default"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机关事业基本养老保险缴费支出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。年初预算为252.68万元，支出决算为247.42万元，完成年初预算的97.92</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。决算数小于预算数的主要原因是年度内人员变动较大，导致资金结余。</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7.</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机关事业单位职业年金缴费支出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。年初预算为126.34万元，支出决算为118.76万元，完成年初预算的94</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。决算数小于预算数的主要原因是年度内人员变动较大，导致资金结余。</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8.</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。年初预算为55.51万元，支出决算为53.86万元，完成年初预算的97.03</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。决算数小于预算数的主要原因是年度内人员变动较大，导致资金结余。</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9.</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。年初预算为63.59万元，支出决算为50.17万元，完成年初预算的78.90</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。决算数小于预算数的主要原因是年度内人员变动较大，导致资金结余。</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10.</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03</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。年初预算为46.40万元，支出决算为52.56万元，完成年初预算的113.28</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。决算数大于预算数的主要原因是一是年末财政下达了增人增资经费；二是使用了上年结转经费。</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11.</w:t>
      </w:r>
      <w:r>
        <w:rPr>
          <w:rFonts w:hint="eastAsia" w:ascii="仿宋_GB2312" w:eastAsia="仿宋_GB2312" w:cs="仿宋_GB2312"/>
          <w:bCs/>
          <w:kern w:val="0"/>
          <w:sz w:val="32"/>
          <w:szCs w:val="32"/>
          <w:lang w:eastAsia="zh-CN"/>
        </w:rPr>
        <w:t>城乡社区支出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城乡社区规划与管理</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城乡社区规划与管理</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。年初预算为0万元，支出决算为6万元，完成年初预算的600</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。决算数大于预算数的主要原因是使用了上年结转经费。</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12.</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221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。年初预算为189.51万元，支出决算为228.67万元，完成年初预算的120.66</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。决算数大于预算数的主要原因是年末财政下达了增人增资经费。</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13.</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221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购房补贴</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03</w:t>
      </w:r>
      <w:r>
        <w:rPr>
          <w:rFonts w:hint="eastAsia" w:ascii="仿宋_GB2312" w:eastAsia="仿宋_GB2312" w:cs="仿宋_GB2312"/>
          <w:bCs/>
          <w:kern w:val="0"/>
          <w:sz w:val="32"/>
          <w:szCs w:val="32"/>
        </w:rPr>
        <w:t>）</w:t>
      </w:r>
      <w:r>
        <w:rPr>
          <w:rFonts w:hint="eastAsia" w:ascii="仿宋_GB2312" w:hAnsi="Times New Roman" w:eastAsia="仿宋_GB2312" w:cs="仿宋_GB2312"/>
          <w:bCs/>
          <w:kern w:val="0"/>
          <w:sz w:val="32"/>
          <w:szCs w:val="32"/>
          <w:lang w:val="en-US" w:eastAsia="zh-CN"/>
        </w:rPr>
        <w:t>。年初预算为0万元，支出决算为6.51万元，完成年初预算的651</w:t>
      </w:r>
      <w:r>
        <w:rPr>
          <w:rFonts w:hint="default" w:ascii="仿宋_GB2312" w:hAnsi="Times New Roman"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rPr>
        <w:t>。决算数大于预算数的主要原因是</w:t>
      </w:r>
      <w:r>
        <w:rPr>
          <w:rFonts w:hint="default" w:ascii="仿宋_GB2312" w:hAnsi="Times New Roman" w:eastAsia="仿宋_GB2312" w:cs="仿宋_GB2312"/>
          <w:bCs/>
          <w:kern w:val="0"/>
          <w:sz w:val="32"/>
          <w:szCs w:val="32"/>
          <w:lang w:val="en-US" w:eastAsia="zh-CN"/>
        </w:rPr>
        <w:t>20</w:t>
      </w:r>
      <w:r>
        <w:rPr>
          <w:rFonts w:hint="eastAsia" w:ascii="仿宋_GB2312" w:hAnsi="Times New Roman" w:eastAsia="仿宋_GB2312" w:cs="仿宋_GB2312"/>
          <w:bCs/>
          <w:kern w:val="0"/>
          <w:sz w:val="32"/>
          <w:szCs w:val="32"/>
          <w:lang w:val="en-US" w:eastAsia="zh-CN"/>
        </w:rPr>
        <w:t>20年7月财政下达了在编人员住房补贴款。</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Times New Roman" w:eastAsia="仿宋_GB2312" w:cs="仿宋_GB2312"/>
          <w:b/>
          <w:kern w:val="0"/>
          <w:sz w:val="32"/>
          <w:szCs w:val="32"/>
        </w:rPr>
        <w:t>六、</w:t>
      </w:r>
      <w:r>
        <w:rPr>
          <w:rFonts w:hint="eastAsia" w:ascii="仿宋_GB2312" w:eastAsia="仿宋_GB2312" w:cs="仿宋_GB2312"/>
          <w:b/>
          <w:kern w:val="0"/>
          <w:sz w:val="32"/>
          <w:szCs w:val="32"/>
        </w:rPr>
        <w:t>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3037.44</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2793.30</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244.14</w:t>
      </w:r>
      <w:r>
        <w:rPr>
          <w:rFonts w:hint="eastAsia" w:ascii="仿宋_GB2312" w:eastAsia="仿宋_GB2312" w:cs="仿宋_GB2312"/>
          <w:bCs/>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5.63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18.89</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1.12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18.89</w:t>
      </w:r>
      <w:r>
        <w:rPr>
          <w:rFonts w:hint="eastAsia" w:ascii="仿宋_GB2312" w:eastAsia="仿宋_GB2312" w:cs="仿宋_GB2312"/>
          <w:bCs/>
          <w:kern w:val="0"/>
          <w:sz w:val="32"/>
          <w:szCs w:val="32"/>
        </w:rPr>
        <w:t>%。2020年度“三公”经费支出决算数小于预算数的主要原因</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；二是因疫情影响，公务接待次数减少。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18.56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94.31</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与上年持平</w:t>
      </w:r>
      <w:r>
        <w:rPr>
          <w:rFonts w:hint="eastAsia" w:ascii="仿宋_GB2312" w:eastAsia="仿宋_GB2312" w:cs="仿宋_GB2312"/>
          <w:bCs/>
          <w:kern w:val="0"/>
          <w:sz w:val="32"/>
          <w:szCs w:val="32"/>
        </w:rPr>
        <w:t>；公务用车购置及运行费支出 决算减少</w:t>
      </w:r>
      <w:r>
        <w:rPr>
          <w:rFonts w:hint="eastAsia" w:ascii="仿宋_GB2312" w:eastAsia="仿宋_GB2312" w:cs="仿宋_GB2312"/>
          <w:bCs/>
          <w:kern w:val="0"/>
          <w:sz w:val="32"/>
          <w:szCs w:val="32"/>
          <w:lang w:val="en-US" w:eastAsia="zh-CN"/>
        </w:rPr>
        <w:t>13.97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1.08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49.10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公务用车购置及运行费支出减少的主要原因是</w:t>
      </w:r>
      <w:r>
        <w:rPr>
          <w:rFonts w:hint="eastAsia" w:ascii="仿宋_GB2312" w:eastAsia="仿宋_GB2312" w:cs="仿宋_GB2312"/>
          <w:bCs/>
          <w:kern w:val="0"/>
          <w:sz w:val="32"/>
          <w:szCs w:val="32"/>
          <w:lang w:eastAsia="zh-CN"/>
        </w:rPr>
        <w:t>本年预算中未安排相关经费</w:t>
      </w:r>
      <w:r>
        <w:rPr>
          <w:rFonts w:hint="eastAsia" w:ascii="仿宋_GB2312" w:eastAsia="仿宋_GB2312" w:cs="仿宋_GB2312"/>
          <w:bCs/>
          <w:kern w:val="0"/>
          <w:sz w:val="32"/>
          <w:szCs w:val="32"/>
        </w:rPr>
        <w:t>；公务接待费支出减少的主要原因是</w:t>
      </w:r>
      <w:bookmarkStart w:id="0" w:name="_GoBack"/>
      <w:bookmarkEnd w:id="0"/>
      <w:r>
        <w:rPr>
          <w:rFonts w:hint="eastAsia" w:ascii="仿宋_GB2312" w:eastAsia="仿宋_GB2312" w:cs="仿宋_GB2312"/>
          <w:bCs/>
          <w:kern w:val="0"/>
          <w:sz w:val="32"/>
          <w:szCs w:val="32"/>
          <w:lang w:eastAsia="zh-CN"/>
        </w:rPr>
        <w:t>疫情影响，公务接待次数减少</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 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1.12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1.12</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1.12</w:t>
      </w:r>
      <w:r>
        <w:rPr>
          <w:rFonts w:hint="eastAsia" w:ascii="仿宋_GB2312" w:eastAsia="仿宋_GB2312" w:cs="仿宋_GB2312"/>
          <w:bCs/>
          <w:kern w:val="0"/>
          <w:sz w:val="32"/>
          <w:szCs w:val="32"/>
        </w:rPr>
        <w:t>万元。主要用于</w:t>
      </w:r>
      <w:r>
        <w:rPr>
          <w:rFonts w:hint="eastAsia" w:ascii="仿宋_GB2312" w:hAnsi="Times New Roman" w:eastAsia="仿宋_GB2312" w:cs="仿宋_GB2312"/>
          <w:bCs/>
          <w:kern w:val="0"/>
          <w:sz w:val="32"/>
          <w:szCs w:val="32"/>
        </w:rPr>
        <w:t>接待外地单位学习考察团工作餐</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78</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w:t>
      </w:r>
      <w:r>
        <w:rPr>
          <w:rFonts w:hint="eastAsia" w:ascii="仿宋_GB2312" w:eastAsia="仿宋_GB2312" w:cs="仿宋_GB2312"/>
          <w:bCs/>
          <w:kern w:val="0"/>
          <w:sz w:val="32"/>
          <w:szCs w:val="32"/>
          <w:lang w:eastAsia="zh-CN"/>
        </w:rPr>
        <w:t>政府性基金</w:t>
      </w:r>
      <w:r>
        <w:rPr>
          <w:rFonts w:hint="eastAsia" w:ascii="仿宋_GB2312" w:eastAsia="仿宋_GB2312" w:cs="仿宋_GB2312"/>
          <w:bCs/>
          <w:kern w:val="0"/>
          <w:sz w:val="32"/>
          <w:szCs w:val="32"/>
        </w:rPr>
        <w:t xml:space="preserve">预算财政拨款收、支总决算 </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万元。与2019年相比，收、支总计各增加</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%，决算大于预算数主要原因是年中追加安排财政拨款支出预算</w:t>
      </w:r>
      <w:r>
        <w:rPr>
          <w:rFonts w:hint="eastAsia" w:ascii="仿宋_GB2312" w:eastAsia="仿宋_GB2312" w:cs="仿宋_GB2312"/>
          <w:bCs/>
          <w:kern w:val="0"/>
          <w:sz w:val="32"/>
          <w:szCs w:val="32"/>
          <w:lang w:eastAsia="zh-CN"/>
        </w:rPr>
        <w:t>，项目为</w:t>
      </w:r>
      <w:r>
        <w:rPr>
          <w:rFonts w:hint="eastAsia" w:ascii="仿宋_GB2312" w:hAnsi="Times New Roman" w:eastAsia="仿宋_GB2312" w:cs="仿宋_GB2312"/>
          <w:bCs/>
          <w:kern w:val="0"/>
          <w:sz w:val="32"/>
          <w:szCs w:val="32"/>
        </w:rPr>
        <w:t>柳州数字政务一体化平台</w:t>
      </w:r>
      <w:r>
        <w:rPr>
          <w:rFonts w:hint="eastAsia" w:ascii="仿宋_GB2312" w:eastAsia="仿宋_GB2312" w:cs="仿宋_GB2312"/>
          <w:bCs/>
          <w:kern w:val="0"/>
          <w:sz w:val="32"/>
          <w:szCs w:val="32"/>
        </w:rPr>
        <w:t xml:space="preserve">。其中：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1.城乡社区支出（类）</w:t>
      </w:r>
      <w:r>
        <w:rPr>
          <w:rFonts w:hint="eastAsia" w:ascii="仿宋_GB2312" w:eastAsia="仿宋_GB2312" w:cs="仿宋_GB2312"/>
          <w:bCs/>
          <w:kern w:val="0"/>
          <w:sz w:val="32"/>
          <w:szCs w:val="32"/>
          <w:lang w:eastAsia="zh-CN"/>
        </w:rPr>
        <w:t>国有土地使用权出让收入安排的支出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城市建设</w:t>
      </w:r>
      <w:r>
        <w:rPr>
          <w:rFonts w:hint="eastAsia" w:ascii="仿宋_GB2312" w:eastAsia="仿宋_GB2312" w:cs="仿宋_GB2312"/>
          <w:bCs/>
          <w:kern w:val="0"/>
          <w:sz w:val="32"/>
          <w:szCs w:val="32"/>
        </w:rPr>
        <w:t>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%。决算数大于预算数的主要原因是年中追加安排财政拨款支出预算。</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仿宋_GB2312" w:eastAsia="仿宋_GB2312" w:cs="仿宋_GB2312"/>
          <w:b/>
          <w:kern w:val="0"/>
          <w:sz w:val="32"/>
          <w:szCs w:val="32"/>
          <w:highlight w:val="yellow"/>
          <w:lang w:eastAsia="zh-CN"/>
        </w:rPr>
      </w:pPr>
      <w:r>
        <w:rPr>
          <w:rFonts w:hint="eastAsia" w:eastAsia="仿宋_GB2312"/>
          <w:b/>
          <w:kern w:val="0"/>
          <w:sz w:val="32"/>
          <w:szCs w:val="32"/>
          <w:lang w:eastAsia="zh-CN"/>
        </w:rPr>
        <w:t>九、</w:t>
      </w: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hAnsi="Times New Roman" w:eastAsia="仿宋_GB2312" w:cs="仿宋_GB2312"/>
          <w:bCs/>
          <w:kern w:val="0"/>
          <w:sz w:val="32"/>
          <w:szCs w:val="32"/>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hAnsi="Times New Roman" w:eastAsia="仿宋_GB2312" w:cs="仿宋_GB2312"/>
          <w:bCs/>
          <w:kern w:val="0"/>
          <w:sz w:val="32"/>
          <w:szCs w:val="32"/>
          <w:highlight w:val="none"/>
          <w:lang w:val="en-US" w:eastAsia="zh-CN"/>
        </w:rPr>
        <w:t>柳</w:t>
      </w:r>
      <w:r>
        <w:rPr>
          <w:rFonts w:hint="eastAsia" w:ascii="仿宋_GB2312" w:hAnsi="Times New Roman" w:eastAsia="仿宋_GB2312" w:cs="仿宋_GB2312"/>
          <w:bCs/>
          <w:kern w:val="0"/>
          <w:sz w:val="32"/>
          <w:szCs w:val="32"/>
          <w:lang w:val="en-US" w:eastAsia="zh-CN"/>
        </w:rPr>
        <w:t>州市行政审批局没有国有资本经营预算财政拨款收入，也没有国有资本经营预算财政拨款安排的支出。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根据财政预算管理要求，我部门组织对2020年度一般公共预算项目支出全面开展绩效自评。其中，一级项目</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个，二级项目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845.17</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审批服务成本性支出</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95.99</w:t>
      </w:r>
      <w:r>
        <w:rPr>
          <w:rFonts w:hint="eastAsia" w:ascii="仿宋_GB2312" w:eastAsia="仿宋_GB2312" w:cs="仿宋_GB2312"/>
          <w:kern w:val="0"/>
          <w:sz w:val="32"/>
          <w:szCs w:val="32"/>
        </w:rPr>
        <w:t>分。发现的主要问题及原因是</w:t>
      </w:r>
      <w:r>
        <w:rPr>
          <w:rFonts w:hint="eastAsia" w:ascii="仿宋_GB2312" w:eastAsia="仿宋_GB2312" w:cs="仿宋_GB2312"/>
          <w:kern w:val="0"/>
          <w:sz w:val="32"/>
          <w:szCs w:val="32"/>
          <w:lang w:eastAsia="zh-CN"/>
        </w:rPr>
        <w:t>设置绩效目标不够合理</w:t>
      </w:r>
      <w:r>
        <w:rPr>
          <w:rFonts w:hint="eastAsia" w:ascii="仿宋_GB2312" w:eastAsia="仿宋_GB2312" w:cs="仿宋_GB2312"/>
          <w:kern w:val="0"/>
          <w:sz w:val="32"/>
          <w:szCs w:val="32"/>
        </w:rPr>
        <w:t>。下一步改进措施</w:t>
      </w:r>
      <w:r>
        <w:rPr>
          <w:rFonts w:hint="eastAsia" w:ascii="仿宋_GB2312" w:hAnsi="Times New Roman" w:eastAsia="仿宋_GB2312" w:cs="仿宋_GB2312"/>
          <w:kern w:val="0"/>
          <w:sz w:val="32"/>
          <w:szCs w:val="32"/>
          <w:lang w:val="en-US" w:eastAsia="zh-CN"/>
        </w:rPr>
        <w:t>：我局根据绩效评价结果进一步完善绩效评价管理制度，按实际业务设置绩效目标，改进监督措施，提高管理水平。优化营商环境—免费印章刻制</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96.16</w:t>
      </w:r>
      <w:r>
        <w:rPr>
          <w:rFonts w:hint="eastAsia" w:ascii="仿宋_GB2312" w:eastAsia="仿宋_GB2312" w:cs="仿宋_GB2312"/>
          <w:kern w:val="0"/>
          <w:sz w:val="32"/>
          <w:szCs w:val="32"/>
        </w:rPr>
        <w:t>分。发现的主要问题及原因</w:t>
      </w:r>
      <w:r>
        <w:rPr>
          <w:rFonts w:hint="eastAsia" w:ascii="仿宋_GB2312" w:eastAsia="仿宋_GB2312" w:cs="仿宋_GB2312"/>
          <w:kern w:val="0"/>
          <w:sz w:val="32"/>
          <w:szCs w:val="32"/>
          <w:lang w:eastAsia="zh-CN"/>
        </w:rPr>
        <w:t>：</w:t>
      </w:r>
      <w:r>
        <w:rPr>
          <w:rFonts w:hint="eastAsia" w:ascii="仿宋_GB2312" w:hAnsi="Times New Roman" w:eastAsia="仿宋_GB2312" w:cs="仿宋_GB2312"/>
          <w:kern w:val="0"/>
          <w:sz w:val="32"/>
          <w:szCs w:val="32"/>
          <w:lang w:val="en-US" w:eastAsia="zh-CN"/>
        </w:rPr>
        <w:t>2020年由于受到疫情影响，新办企业户数比年初预计有所下降</w:t>
      </w:r>
      <w:r>
        <w:rPr>
          <w:rFonts w:hint="eastAsia" w:ascii="仿宋_GB2312" w:hAnsi="Times New Roman" w:eastAsia="仿宋_GB2312" w:cs="仿宋_GB2312"/>
          <w:kern w:val="0"/>
          <w:sz w:val="32"/>
          <w:szCs w:val="32"/>
        </w:rPr>
        <w:t>。</w:t>
      </w:r>
      <w:r>
        <w:rPr>
          <w:rFonts w:hint="eastAsia" w:ascii="仿宋_GB2312" w:eastAsia="仿宋_GB2312" w:cs="仿宋_GB2312"/>
          <w:kern w:val="0"/>
          <w:sz w:val="32"/>
          <w:szCs w:val="32"/>
        </w:rPr>
        <w:t>下一步改进措施：</w:t>
      </w:r>
      <w:r>
        <w:rPr>
          <w:rFonts w:hint="eastAsia" w:ascii="仿宋_GB2312" w:hAnsi="Times New Roman" w:eastAsia="仿宋_GB2312" w:cs="仿宋_GB2312"/>
          <w:kern w:val="0"/>
          <w:sz w:val="32"/>
          <w:szCs w:val="32"/>
          <w:lang w:val="en-US" w:eastAsia="zh-CN"/>
        </w:rPr>
        <w:t>我局</w:t>
      </w:r>
      <w:r>
        <w:rPr>
          <w:rFonts w:hint="default" w:ascii="仿宋_GB2312" w:hAnsi="Times New Roman" w:eastAsia="仿宋_GB2312" w:cs="仿宋_GB2312"/>
          <w:kern w:val="0"/>
          <w:sz w:val="32"/>
          <w:szCs w:val="32"/>
          <w:lang w:val="en-US" w:eastAsia="zh-CN"/>
        </w:rPr>
        <w:t>主动应对疫情，全区首推“五项举措”，</w:t>
      </w:r>
      <w:r>
        <w:rPr>
          <w:rFonts w:hint="eastAsia" w:ascii="仿宋_GB2312" w:hAnsi="Times New Roman" w:eastAsia="仿宋_GB2312" w:cs="仿宋_GB2312"/>
          <w:kern w:val="0"/>
          <w:sz w:val="32"/>
          <w:szCs w:val="32"/>
          <w:lang w:val="en-US" w:eastAsia="zh-CN"/>
        </w:rPr>
        <w:t>促使</w:t>
      </w:r>
      <w:r>
        <w:rPr>
          <w:rFonts w:hint="default" w:ascii="仿宋_GB2312" w:hAnsi="Times New Roman" w:eastAsia="仿宋_GB2312" w:cs="仿宋_GB2312"/>
          <w:kern w:val="0"/>
          <w:sz w:val="32"/>
          <w:szCs w:val="32"/>
          <w:lang w:val="en-US" w:eastAsia="zh-CN"/>
        </w:rPr>
        <w:t>企业复产更高效</w:t>
      </w:r>
      <w:r>
        <w:rPr>
          <w:rFonts w:hint="eastAsia" w:ascii="仿宋_GB2312" w:eastAsia="仿宋_GB2312" w:cs="仿宋_GB2312"/>
          <w:kern w:val="0"/>
          <w:sz w:val="32"/>
          <w:szCs w:val="32"/>
        </w:rPr>
        <w:t>。在公开项目绩效自评结果的同时，需公开《项目支出绩效自评表》。</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141.83</w:t>
      </w:r>
      <w:r>
        <w:rPr>
          <w:rFonts w:hint="eastAsia" w:ascii="仿宋_GB2312" w:eastAsia="仿宋_GB2312" w:cs="仿宋_GB2312"/>
          <w:kern w:val="0"/>
          <w:sz w:val="32"/>
          <w:szCs w:val="32"/>
        </w:rPr>
        <w:t>万元，比2019年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48.38</w:t>
      </w:r>
      <w:r>
        <w:rPr>
          <w:rFonts w:hint="eastAsia" w:ascii="仿宋_GB2312" w:eastAsia="仿宋_GB2312" w:cs="仿宋_GB2312"/>
          <w:kern w:val="0"/>
          <w:sz w:val="32"/>
          <w:szCs w:val="32"/>
        </w:rPr>
        <w:t>元，</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25.44</w:t>
      </w:r>
      <w:r>
        <w:rPr>
          <w:rFonts w:hint="eastAsia" w:ascii="仿宋_GB2312" w:eastAsia="仿宋_GB2312" w:cs="仿宋_GB2312"/>
          <w:kern w:val="0"/>
          <w:sz w:val="32"/>
          <w:szCs w:val="32"/>
        </w:rPr>
        <w:t>%，减</w:t>
      </w:r>
      <w:r>
        <w:rPr>
          <w:rFonts w:hint="eastAsia" w:ascii="仿宋_GB2312" w:eastAsia="仿宋_GB2312" w:cs="仿宋_GB2312"/>
          <w:kern w:val="0"/>
          <w:sz w:val="32"/>
          <w:szCs w:val="32"/>
          <w:lang w:eastAsia="zh-CN"/>
        </w:rPr>
        <w:t>少的</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一是本年预算中不再安排公务车辆运行经费；二是人员变动较大，导致人员经费减少；三是因疫情影响，外出工作、学习考察及外单位来访次数减少，相关费用减少</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900.77</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752.80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147.97</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F66C5B"/>
    <w:rsid w:val="08260A73"/>
    <w:rsid w:val="0E074DDF"/>
    <w:rsid w:val="124204B5"/>
    <w:rsid w:val="135D0AF5"/>
    <w:rsid w:val="16E403F2"/>
    <w:rsid w:val="182962AB"/>
    <w:rsid w:val="193B16F4"/>
    <w:rsid w:val="19960AD6"/>
    <w:rsid w:val="19D073EB"/>
    <w:rsid w:val="1CC31F67"/>
    <w:rsid w:val="1F7E1035"/>
    <w:rsid w:val="23760E66"/>
    <w:rsid w:val="23B26890"/>
    <w:rsid w:val="24D337DC"/>
    <w:rsid w:val="26460DBA"/>
    <w:rsid w:val="2B6F74EB"/>
    <w:rsid w:val="2C4219FE"/>
    <w:rsid w:val="34020F86"/>
    <w:rsid w:val="341714E6"/>
    <w:rsid w:val="39A63F06"/>
    <w:rsid w:val="3A0B26BD"/>
    <w:rsid w:val="3ED1439F"/>
    <w:rsid w:val="42213882"/>
    <w:rsid w:val="427B634F"/>
    <w:rsid w:val="46F73D22"/>
    <w:rsid w:val="48374EDC"/>
    <w:rsid w:val="4A9B5119"/>
    <w:rsid w:val="4C256E3D"/>
    <w:rsid w:val="4CB52F0F"/>
    <w:rsid w:val="532F1F9A"/>
    <w:rsid w:val="5E995A3E"/>
    <w:rsid w:val="6121740F"/>
    <w:rsid w:val="62163194"/>
    <w:rsid w:val="624D024D"/>
    <w:rsid w:val="650E086A"/>
    <w:rsid w:val="6BAA0708"/>
    <w:rsid w:val="75533083"/>
    <w:rsid w:val="7B7A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7</TotalTime>
  <ScaleCrop>false</ScaleCrop>
  <LinksUpToDate>false</LinksUpToDate>
  <CharactersWithSpaces>8540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2022-10-16T07:42:01Z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708A9AF4C3844439A4708BB08B109983</vt:lpwstr>
  </property>
</Properties>
</file>