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农业农村局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柳州市农业农村局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柳州市农业农村局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表八：政府性基金预算财政拨款收入支出决算表</w:t>
      </w:r>
    </w:p>
    <w:p>
      <w:pPr>
        <w:ind w:firstLine="640" w:firstLineChars="200"/>
        <w:rPr>
          <w:rFonts w:hint="eastAsia" w:eastAsia="仿宋_GB2312"/>
          <w:lang w:val="en-US" w:eastAsia="zh-CN"/>
        </w:rPr>
      </w:pPr>
      <w:r>
        <w:rPr>
          <w:rFonts w:hint="eastAsia" w:ascii="仿宋_GB2312" w:eastAsia="仿宋_GB2312"/>
          <w:sz w:val="32"/>
          <w:szCs w:val="32"/>
          <w:lang w:val="en-US"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柳州市农业农村局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一、2020年度收入支出决算总体情况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二、2020年度收入决算情况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三、2020年度支出决算情况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四、2020年度财政拨款收入支出决算情况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五、2020年度一般公共预算财政拨款支出决算情况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六、2020年度一般公共预算财政拨款基本支出决算情况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七、2020年度一般公共预算财政拨款“三公”经费支出决算情况</w:t>
      </w:r>
    </w:p>
    <w:p>
      <w:pPr>
        <w:autoSpaceDE w:val="0"/>
        <w:autoSpaceDN w:val="0"/>
        <w:adjustRightInd w:val="0"/>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八、2020</w:t>
      </w:r>
      <w:r>
        <w:rPr>
          <w:rFonts w:hint="eastAsia" w:ascii="仿宋_GB2312" w:hAnsi="仿宋_GB2312" w:eastAsia="仿宋_GB2312" w:cs="仿宋_GB2312"/>
          <w:bCs/>
          <w:kern w:val="0"/>
          <w:sz w:val="32"/>
          <w:szCs w:val="32"/>
        </w:rPr>
        <w:t>年度政府性基金预算财政拨款收入支出决算情况</w:t>
      </w:r>
    </w:p>
    <w:p>
      <w:pPr>
        <w:autoSpaceDE w:val="0"/>
        <w:autoSpaceDN w:val="0"/>
        <w:adjustRightInd w:val="0"/>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九、</w:t>
      </w:r>
      <w:r>
        <w:rPr>
          <w:rFonts w:hint="eastAsia" w:ascii="仿宋_GB2312" w:hAnsi="仿宋_GB2312" w:eastAsia="仿宋_GB2312" w:cs="仿宋_GB2312"/>
          <w:kern w:val="0"/>
          <w:sz w:val="32"/>
          <w:szCs w:val="32"/>
        </w:rPr>
        <w:t>2020年度</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eastAsia="zh-CN"/>
        </w:rPr>
        <w:t>十、</w:t>
      </w:r>
      <w:r>
        <w:rPr>
          <w:rFonts w:hint="eastAsia" w:ascii="仿宋_GB2312" w:hAnsi="仿宋_GB2312" w:eastAsia="仿宋_GB2312" w:cs="仿宋_GB2312"/>
          <w:kern w:val="0"/>
          <w:sz w:val="32"/>
          <w:szCs w:val="32"/>
        </w:rPr>
        <w:t>2020年度</w:t>
      </w:r>
      <w:r>
        <w:rPr>
          <w:rFonts w:hint="eastAsia" w:ascii="仿宋_GB2312" w:hAnsi="仿宋_GB2312" w:eastAsia="仿宋_GB2312" w:cs="仿宋_GB2312"/>
          <w:bCs/>
          <w:kern w:val="0"/>
          <w:sz w:val="32"/>
          <w:szCs w:val="32"/>
        </w:rPr>
        <w:t>预算绩效情况说明</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十</w:t>
      </w:r>
      <w:r>
        <w:rPr>
          <w:rFonts w:hint="eastAsia" w:ascii="仿宋_GB2312" w:hAnsi="仿宋_GB2312" w:eastAsia="仿宋_GB2312" w:cs="仿宋_GB2312"/>
          <w:bCs/>
          <w:kern w:val="0"/>
          <w:sz w:val="32"/>
          <w:szCs w:val="32"/>
          <w:lang w:eastAsia="zh-CN"/>
        </w:rPr>
        <w:t>一</w:t>
      </w:r>
      <w:r>
        <w:rPr>
          <w:rFonts w:hint="eastAsia" w:ascii="仿宋_GB2312" w:hAns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pageBreakBefore w:val="0"/>
        <w:kinsoku/>
        <w:wordWrap/>
        <w:overflowPunct/>
        <w:topLinePunct w:val="0"/>
        <w:bidi w:val="0"/>
        <w:snapToGrid/>
        <w:spacing w:line="560" w:lineRule="exact"/>
        <w:ind w:firstLine="646"/>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柳州市农业农村局</w:t>
      </w:r>
      <w:r>
        <w:rPr>
          <w:rFonts w:hint="eastAsia" w:ascii="仿宋_GB2312" w:eastAsia="仿宋_GB2312"/>
          <w:b/>
          <w:sz w:val="32"/>
          <w:szCs w:val="32"/>
        </w:rPr>
        <w:t>概况</w:t>
      </w:r>
    </w:p>
    <w:p>
      <w:pPr>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一、主要职能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（一）研究并组织实施全市“三农”工作的发展战略、中长期规划、重大政策、重大举措。组织开展全市农业农村改革发展重大问题的调查研究。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负责提出全市农业地方立法项目的建议，起草有关地方性法规、规章草案和规范性文件。参与农业行政执法体系建设，指导全市农业综合执法。参与涉农的财税、价格、收储、金融保险、进出口等政策制定。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（三）统筹推动发展全市农村社会事业、农村公共服务、农村文化、农村基础设施和乡村治理。协调推进改善农村人居环境。指导农村精神文明和优秀农耕文化建设。指导农业行业安全生产工作。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拟订全市深化农村经济体制改革和巩固完善农村基本经营制度的政策并组织实施。负责农民承包地、农村宅基地改革和管理有关工作。牵头负责农村集体产权制度改革，指导农村集体经济组织发展和集体资产管理工作。指导农民合作经济组织、农业社会化服务体系、新型农业经营主体建设与发展。指导农村有关改革试验区建设和美丽乡村建设。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指导全市乡村特色产业、农产品加工业、休闲农业发展工作。提出促进大宗农产品流通的建议，培育、保护农业品牌。发布农业农村经济信息，监测分析农业农村经济运行。承担农业大数据和农业农村信息化有关工作。归口管理农业农村相关对外宣传及信息发布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（六）负责全市种植业、畜牧业、渔业、农业机械化等农业各产业的监督管理。指导全市农产品生产。组织构建现代农业产业体系、生产体系、经营体系，指导农业标准化生产。负责全市渔政管理。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监督管理全市农产品质量安全。组织开展农产品质量安全监测、追溯、风险评估。会同有关部门组织实施农产品质量安全国家标准和自治区特色农产品安全标准。组织协调拟订农业产业地方标准草案。指导全市农业检验检测体系建设。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组织全市农业资源综合区划与开发利用。指导农用地、渔业水域以及农业生物物种资源的保护与管理，负责水生野生动植物保护、耕地及永久基本农田质量保护工作。指导柳州农产品产地环境管理和农业清洁生产。指导设施农业、生态循环农业、节水农业发展以及农村可再生能源综合开发利用、农业生物质产业发展。牵头管理外来物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（九）监督管理全市主要农业生产资料和农业投入品。指导农业生产资料市场体系建设。组织兽医医政、兽药药政药检工作，负责执业兽医、动物诊疗和畜禽屠宰行业管理。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（十）组织指导全市农业防灾减灾、农作物重大病虫害防治和重大动物疫病防控工作。指导动植物防疫检疫体系建设，组织、监督市内动植物防疫检疫，发布疫情并组织扑灭。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一）负责全市农业投资管理。提出农业投融资体制机制改革建议。组织编制全市农业投资建设规划，提出农业投资规模和方向、扶持农业农村发展财政项目的建议，承担中央及自治区农业投资建设项目，按规定权限审批农业投资项目，参与农业投资项目资金安排和监督管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二）推动全市农业科技体制改革和农业科技创新体系建设。指导农业产业技术体系和农技推广体系建设，组织开展农业领域的科学研究、成果转化和技术推广。负责农业转基因生物生产加工审批、安全监督管理和农业植物新品种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（十三）指导全市农业农村人才工作。拟订农业农村人才队伍建设规划并组织实施，指导农业教育和农业职业技能开发，指导新型职业农民培育、农业科技人才培养和农村实用人才培训工作。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（十四）拟订全市农业对外开放的发展规划。承办农业涉外事务，组织农业贸易促进和有关技术交流与合作。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五）统筹管理全市糖料生产、制糖加工。协调和指导全市糖料蔗基地建设工作。拟订糖业发展规划、年度计划并组织实施。提出优化糖业产业布局、结构调整的政策措施和糖业财政专项资金项目安排建议并组织实施。协调糖业发展和解决蔗区管理中的重大问题。负责监测、分析全市糖业运行态势，按权限统计并发布糖业相关信息，协助做好食糖流通和实施食糖储备工作。负责糖业技术进步及改造项目的组织实施。统筹协调糖料蔗种植和糖业科技攻关。承担优质高产高糖糖料蔗基地建设和糖料蔗“保护区”划定、建设、管理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（十六）完成市委、市政府交办的其他事项。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（十七）职能转变。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1．筹实施乡村振兴战略，深化农业供给侧结构性改革，提升农业发展质量，扎实推进美丽乡村建设，推动农业全面升级、农村全面进步、农民全面发展，加快实现农业农村现代化。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2．强农产品质量安全和主要农业生产资料、农业投入品的监督管理，坚持最严谨的标准、最严格的监管、最严厉的处罚、最严肃的问责，严防、严管、严控质量安全风险，让人民群众吃得放心、安心。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w:t>
      </w:r>
      <w:r>
        <w:rPr>
          <w:rFonts w:hint="eastAsia" w:ascii="仿宋_GB2312" w:eastAsia="仿宋_GB2312" w:cs="Times New Roman"/>
          <w:kern w:val="2"/>
          <w:sz w:val="32"/>
          <w:szCs w:val="32"/>
          <w:highlight w:val="none"/>
          <w:lang w:val="en-US" w:eastAsia="zh-CN" w:bidi="ar-SA"/>
        </w:rPr>
        <w:t>深</w:t>
      </w:r>
      <w:r>
        <w:rPr>
          <w:rFonts w:hint="eastAsia" w:ascii="仿宋_GB2312" w:hAnsi="Times New Roman" w:eastAsia="仿宋_GB2312" w:cs="Times New Roman"/>
          <w:kern w:val="2"/>
          <w:sz w:val="32"/>
          <w:szCs w:val="32"/>
          <w:highlight w:val="none"/>
          <w:lang w:val="en-US" w:eastAsia="zh-CN" w:bidi="ar-SA"/>
        </w:rPr>
        <w:t>入</w:t>
      </w:r>
      <w:r>
        <w:rPr>
          <w:rFonts w:hint="eastAsia" w:ascii="仿宋_GB2312" w:hAnsi="Times New Roman" w:eastAsia="仿宋_GB2312" w:cs="Times New Roman"/>
          <w:kern w:val="2"/>
          <w:sz w:val="32"/>
          <w:szCs w:val="32"/>
          <w:lang w:val="en-US" w:eastAsia="zh-CN" w:bidi="ar-SA"/>
        </w:rPr>
        <w:t>推进简政放权，加强对行业内交叉重复以及性质相同、用途相近的农业投资项目的统筹整合，最大限度缩小项目审批范围，进一步下放审批权限，加强事中事后监管，切实提升国家、自治区及市级支农政策效果和资金使用效益。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（十八）有关职责分工。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与市市场监督管理局有关职责分工。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1．农业农村局负责食用农产品从种植养殖环节到进入批发、零售市场或生产加工企业前的质量安全监督管理。食用农产品进入批发、零售市场或生产加工企业后，由市市场监督管理局监督管理。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2．农业农村局负责动植物疫病防控、畜禽屠宰环节、生鲜乳收购环节质量安全的监督管理。 </w:t>
      </w:r>
    </w:p>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3．部门要建立食品安全产地准出、市场准入和追溯机制,加强协调配合和工作衔接，形成监管合力。</w:t>
      </w:r>
    </w:p>
    <w:p>
      <w:pPr>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二、部门决算单位构成</w:t>
      </w:r>
    </w:p>
    <w:tbl>
      <w:tblPr>
        <w:tblStyle w:val="7"/>
        <w:tblW w:w="8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4"/>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单位名称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柳州市农业农村局</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柳州市农业综合行政执法支队</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柳州市农村合作经济经营管理站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柳州市水果生产技术指导站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柳州市农业机械化管理中心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柳州市农业技术推广中心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柳州市农村社会事务服务中心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柳州市农业科学研究中心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柳州市农田建设指导站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柳州市农业信息中心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柳州市动物疫病预防控制中心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柳州市畜牧站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柳州市渔业技术推广站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 w:hRule="atLeast"/>
        </w:trPr>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柳州市农业机械管理站</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全额</w:t>
            </w:r>
          </w:p>
        </w:tc>
      </w:tr>
    </w:tbl>
    <w:p>
      <w:pPr>
        <w:pageBreakBefore w:val="0"/>
        <w:kinsoku/>
        <w:wordWrap/>
        <w:overflowPunct/>
        <w:topLinePunct w:val="0"/>
        <w:bidi w:val="0"/>
        <w:snapToGrid/>
        <w:spacing w:line="560" w:lineRule="exact"/>
        <w:ind w:firstLine="646"/>
        <w:textAlignment w:val="auto"/>
        <w:rPr>
          <w:rFonts w:hint="eastAsia" w:ascii="仿宋_GB2312" w:hAnsi="Times New Roman" w:eastAsia="仿宋_GB2312" w:cs="Times New Roman"/>
          <w:kern w:val="2"/>
          <w:sz w:val="32"/>
          <w:szCs w:val="32"/>
          <w:lang w:val="en-US" w:eastAsia="zh-CN" w:bidi="ar-SA"/>
        </w:rPr>
      </w:pPr>
    </w:p>
    <w:p>
      <w:pPr>
        <w:pageBreakBefore w:val="0"/>
        <w:kinsoku/>
        <w:wordWrap/>
        <w:overflowPunct/>
        <w:topLinePunct w:val="0"/>
        <w:bidi w:val="0"/>
        <w:snapToGrid/>
        <w:spacing w:line="560" w:lineRule="exact"/>
        <w:jc w:val="center"/>
        <w:textAlignment w:val="auto"/>
        <w:rPr>
          <w:rFonts w:hint="eastAsia" w:ascii="仿宋_GB2312" w:eastAsia="仿宋_GB2312"/>
          <w:b/>
          <w:sz w:val="32"/>
          <w:szCs w:val="32"/>
          <w:lang w:eastAsia="zh-CN"/>
        </w:rPr>
      </w:pPr>
      <w:r>
        <w:rPr>
          <w:rFonts w:hint="eastAsia" w:ascii="仿宋_GB2312" w:eastAsia="仿宋_GB2312"/>
          <w:b/>
          <w:sz w:val="32"/>
          <w:szCs w:val="32"/>
        </w:rPr>
        <w:t>第二部分：</w:t>
      </w:r>
      <w:r>
        <w:rPr>
          <w:rFonts w:hint="eastAsia" w:ascii="仿宋_GB2312" w:eastAsia="仿宋_GB2312"/>
          <w:b/>
          <w:sz w:val="32"/>
          <w:szCs w:val="32"/>
          <w:lang w:eastAsia="zh-CN"/>
        </w:rPr>
        <w:t>柳州市农业农村局</w:t>
      </w:r>
      <w:r>
        <w:rPr>
          <w:rFonts w:hint="eastAsia" w:ascii="仿宋_GB2312" w:eastAsia="仿宋_GB2312"/>
          <w:b/>
          <w:sz w:val="32"/>
          <w:szCs w:val="32"/>
        </w:rPr>
        <w:t>2020年部门决算报表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表一：收入支出决算总表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表二：收入决算表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表三：支出决算表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表四：财政拨款收入支出决算总表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表五：一般公共预算财政拨款支出决算表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表六：一般公共预算财政拨款基本支出决算表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表七：一般公共预算财政拨款“三公”经费支出决算表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表八：政府性基金预算财政拨款收入支出决算表</w:t>
      </w:r>
    </w:p>
    <w:p>
      <w:pPr>
        <w:pageBreakBefore w:val="0"/>
        <w:kinsoku/>
        <w:wordWrap/>
        <w:overflowPunct/>
        <w:topLinePunct w:val="0"/>
        <w:bidi w:val="0"/>
        <w:snapToGrid/>
        <w:spacing w:line="560" w:lineRule="exact"/>
        <w:ind w:firstLine="0" w:firstLineChars="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表九：国有资本经营预算财政拨款支出决算表</w:t>
      </w:r>
    </w:p>
    <w:p>
      <w:pPr>
        <w:pageBreakBefore w:val="0"/>
        <w:kinsoku/>
        <w:wordWrap/>
        <w:overflowPunct/>
        <w:topLinePunct w:val="0"/>
        <w:bidi w:val="0"/>
        <w:snapToGrid/>
        <w:spacing w:line="560" w:lineRule="exact"/>
        <w:textAlignment w:val="auto"/>
        <w:rPr>
          <w:b w:val="0"/>
          <w:bCs/>
        </w:rPr>
      </w:pPr>
      <w:r>
        <w:rPr>
          <w:rFonts w:hint="eastAsia" w:ascii="仿宋_GB2312" w:eastAsia="仿宋_GB2312"/>
          <w:b w:val="0"/>
          <w:bCs/>
          <w:sz w:val="32"/>
          <w:szCs w:val="32"/>
          <w:lang w:eastAsia="zh-CN"/>
        </w:rPr>
        <w:t>上述表详见附件。</w:t>
      </w:r>
    </w:p>
    <w:p>
      <w:pPr>
        <w:pageBreakBefore w:val="0"/>
        <w:kinsoku/>
        <w:wordWrap/>
        <w:overflowPunct/>
        <w:topLinePunct w:val="0"/>
        <w:bidi w:val="0"/>
        <w:snapToGrid/>
        <w:spacing w:line="560" w:lineRule="exact"/>
        <w:jc w:val="center"/>
        <w:textAlignment w:val="auto"/>
        <w:rPr>
          <w:rFonts w:hint="eastAsia" w:ascii="仿宋_GB2312" w:eastAsia="仿宋_GB2312"/>
          <w:b/>
          <w:sz w:val="32"/>
          <w:szCs w:val="32"/>
        </w:rPr>
      </w:pPr>
    </w:p>
    <w:p>
      <w:pPr>
        <w:pageBreakBefore w:val="0"/>
        <w:kinsoku/>
        <w:wordWrap/>
        <w:overflowPunct/>
        <w:topLinePunct w:val="0"/>
        <w:bidi w:val="0"/>
        <w:snapToGrid/>
        <w:spacing w:line="560" w:lineRule="exact"/>
        <w:jc w:val="center"/>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柳州市农业农村局</w:t>
      </w:r>
      <w:r>
        <w:rPr>
          <w:rFonts w:hint="eastAsia" w:ascii="仿宋_GB2312" w:eastAsia="仿宋_GB2312"/>
          <w:b/>
          <w:sz w:val="32"/>
          <w:szCs w:val="32"/>
        </w:rPr>
        <w:t>2020年度部门决算情况说明</w:t>
      </w:r>
    </w:p>
    <w:p>
      <w:pPr>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highlight w:val="yellow"/>
          <w:lang w:val="en-US" w:eastAsia="zh-CN"/>
        </w:rPr>
      </w:pPr>
      <w:r>
        <w:rPr>
          <w:rFonts w:hint="eastAsia" w:ascii="仿宋_GB2312" w:eastAsia="仿宋_GB2312" w:cs="仿宋_GB2312"/>
          <w:bCs/>
          <w:kern w:val="0"/>
          <w:sz w:val="32"/>
          <w:szCs w:val="32"/>
        </w:rPr>
        <w:t>2020年度收入总计21419.4</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万元，支出总计21419.4</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万元，与2019年相比，收、支</w:t>
      </w:r>
      <w:r>
        <w:rPr>
          <w:rFonts w:hint="eastAsia" w:ascii="仿宋_GB2312" w:eastAsia="仿宋_GB2312" w:cs="仿宋_GB2312"/>
          <w:bCs/>
          <w:kern w:val="0"/>
          <w:sz w:val="32"/>
          <w:szCs w:val="32"/>
          <w:lang w:eastAsia="zh-CN"/>
        </w:rPr>
        <w:t>均</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highlight w:val="none"/>
        </w:rPr>
        <w:t>2942.09</w:t>
      </w:r>
      <w:r>
        <w:rPr>
          <w:rFonts w:hint="eastAsia" w:ascii="仿宋_GB2312" w:eastAsia="仿宋_GB2312" w:cs="仿宋_GB2312"/>
          <w:bCs/>
          <w:kern w:val="0"/>
          <w:sz w:val="32"/>
          <w:szCs w:val="32"/>
          <w:highlight w:val="none"/>
          <w:lang w:val="en-US" w:eastAsia="zh-CN"/>
        </w:rPr>
        <w:t>万元</w:t>
      </w:r>
      <w:r>
        <w:rPr>
          <w:rFonts w:hint="eastAsia" w:ascii="仿宋_GB2312" w:eastAsia="仿宋_GB2312" w:cs="仿宋_GB2312"/>
          <w:bCs/>
          <w:kern w:val="0"/>
          <w:sz w:val="32"/>
          <w:szCs w:val="32"/>
          <w:highlight w:val="none"/>
        </w:rPr>
        <w:t>；</w:t>
      </w:r>
      <w:r>
        <w:rPr>
          <w:rFonts w:hint="eastAsia" w:ascii="仿宋_GB2312" w:eastAsia="仿宋_GB2312" w:cs="仿宋_GB2312"/>
          <w:b w:val="0"/>
          <w:bCs/>
          <w:kern w:val="0"/>
          <w:sz w:val="32"/>
          <w:szCs w:val="32"/>
          <w:highlight w:val="none"/>
          <w:lang w:eastAsia="zh-CN"/>
        </w:rPr>
        <w:t>均</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15.92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本年收入总计17467.51万元 ，其中：一般公共预算财政拨款收入15499.11万元；占比88.73</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基金预算财政拨款收入209.02万元；占比</w:t>
      </w:r>
      <w:r>
        <w:rPr>
          <w:rFonts w:hint="eastAsia" w:ascii="仿宋_GB2312" w:eastAsia="仿宋_GB2312" w:cs="仿宋_GB2312"/>
          <w:bCs/>
          <w:kern w:val="0"/>
          <w:sz w:val="32"/>
          <w:szCs w:val="32"/>
          <w:lang w:val="en-US" w:eastAsia="zh-CN"/>
        </w:rPr>
        <w:t>1.20%</w:t>
      </w:r>
      <w:r>
        <w:rPr>
          <w:rFonts w:hint="eastAsia" w:ascii="仿宋_GB2312" w:eastAsia="仿宋_GB2312" w:cs="仿宋_GB2312"/>
          <w:bCs/>
          <w:kern w:val="0"/>
          <w:sz w:val="32"/>
          <w:szCs w:val="32"/>
        </w:rPr>
        <w:t>；上级补助收入856.</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4.90%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其他收入903.18万元，占比</w:t>
      </w:r>
      <w:r>
        <w:rPr>
          <w:rFonts w:hint="eastAsia" w:ascii="仿宋_GB2312" w:eastAsia="仿宋_GB2312" w:cs="仿宋_GB2312"/>
          <w:bCs/>
          <w:kern w:val="0"/>
          <w:sz w:val="32"/>
          <w:szCs w:val="32"/>
          <w:lang w:val="en-US" w:eastAsia="zh-CN"/>
        </w:rPr>
        <w:t>5.17%</w:t>
      </w:r>
      <w:r>
        <w:rPr>
          <w:rFonts w:hint="eastAsia" w:ascii="仿宋_GB2312" w:eastAsia="仿宋_GB2312" w:cs="仿宋_GB2312"/>
          <w:bCs/>
          <w:kern w:val="0"/>
          <w:sz w:val="32"/>
          <w:szCs w:val="32"/>
        </w:rPr>
        <w:t>。</w:t>
      </w:r>
    </w:p>
    <w:p>
      <w:pPr>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本年支出合计18692.29万元，其中：基本支出10453.93万元，占</w:t>
      </w:r>
      <w:r>
        <w:rPr>
          <w:rFonts w:hint="eastAsia" w:ascii="仿宋_GB2312" w:eastAsia="仿宋_GB2312" w:cs="仿宋_GB2312"/>
          <w:bCs/>
          <w:kern w:val="0"/>
          <w:sz w:val="32"/>
          <w:szCs w:val="32"/>
          <w:lang w:val="en-US" w:eastAsia="zh-CN"/>
        </w:rPr>
        <w:t>55.93</w:t>
      </w:r>
      <w:r>
        <w:rPr>
          <w:rFonts w:hint="eastAsia" w:ascii="仿宋_GB2312" w:eastAsia="仿宋_GB2312" w:cs="仿宋_GB2312"/>
          <w:bCs/>
          <w:kern w:val="0"/>
          <w:sz w:val="32"/>
          <w:szCs w:val="32"/>
        </w:rPr>
        <w:t>%；项目支出8238.36万元，占</w:t>
      </w:r>
      <w:r>
        <w:rPr>
          <w:rFonts w:hint="eastAsia" w:ascii="仿宋_GB2312" w:eastAsia="仿宋_GB2312" w:cs="仿宋_GB2312"/>
          <w:bCs/>
          <w:kern w:val="0"/>
          <w:sz w:val="32"/>
          <w:szCs w:val="32"/>
          <w:lang w:val="en-US" w:eastAsia="zh-CN"/>
        </w:rPr>
        <w:t>44.07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上缴上级支出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经营支出0</w:t>
      </w:r>
      <w:r>
        <w:rPr>
          <w:rFonts w:hint="eastAsia" w:ascii="仿宋_GB2312" w:eastAsia="仿宋_GB2312" w:cs="仿宋_GB2312"/>
          <w:bCs/>
          <w:kern w:val="0"/>
          <w:sz w:val="32"/>
          <w:szCs w:val="32"/>
          <w:lang w:eastAsia="zh-CN"/>
        </w:rPr>
        <w:t>万</w:t>
      </w:r>
      <w:r>
        <w:rPr>
          <w:rFonts w:hint="eastAsia" w:ascii="仿宋_GB2312" w:eastAsia="仿宋_GB2312" w:cs="仿宋_GB2312"/>
          <w:bCs/>
          <w:kern w:val="0"/>
          <w:sz w:val="32"/>
          <w:szCs w:val="32"/>
        </w:rPr>
        <w:t>元，对附属单位补助支出</w:t>
      </w:r>
      <w:r>
        <w:rPr>
          <w:rFonts w:hint="eastAsia" w:ascii="仿宋_GB2312" w:eastAsia="仿宋_GB2312" w:cs="仿宋_GB2312"/>
          <w:bCs/>
          <w:kern w:val="0"/>
          <w:sz w:val="32"/>
          <w:szCs w:val="32"/>
          <w:lang w:val="en-US" w:eastAsia="zh-CN"/>
        </w:rPr>
        <w:t>0万元。</w:t>
      </w:r>
    </w:p>
    <w:p>
      <w:pPr>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本部门2020年度财政拨款收、支总决算</w:t>
      </w:r>
      <w:r>
        <w:rPr>
          <w:rFonts w:hint="eastAsia" w:ascii="仿宋_GB2312" w:eastAsia="仿宋_GB2312" w:cs="仿宋_GB2312"/>
          <w:bCs/>
          <w:kern w:val="0"/>
          <w:sz w:val="32"/>
          <w:szCs w:val="32"/>
          <w:lang w:val="en-US" w:eastAsia="zh-CN"/>
        </w:rPr>
        <w:t>分别为</w:t>
      </w:r>
      <w:r>
        <w:rPr>
          <w:rFonts w:hint="eastAsia" w:ascii="仿宋_GB2312" w:eastAsia="仿宋_GB2312" w:cs="仿宋_GB2312"/>
          <w:bCs/>
          <w:kern w:val="0"/>
          <w:sz w:val="32"/>
          <w:szCs w:val="32"/>
        </w:rPr>
        <w:t>18448.84万元、18448.84万元。与2019年相比，财政拨款收、支总计</w:t>
      </w:r>
      <w:r>
        <w:rPr>
          <w:rFonts w:hint="eastAsia" w:ascii="仿宋_GB2312" w:eastAsia="仿宋_GB2312" w:cs="仿宋_GB2312"/>
          <w:bCs/>
          <w:kern w:val="0"/>
          <w:sz w:val="32"/>
          <w:szCs w:val="32"/>
          <w:lang w:eastAsia="zh-CN"/>
        </w:rPr>
        <w:t>均</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3355.24</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22.23</w:t>
      </w:r>
      <w:r>
        <w:rPr>
          <w:rFonts w:hint="eastAsia" w:ascii="仿宋_GB2312" w:eastAsia="仿宋_GB2312" w:cs="仿宋_GB2312"/>
          <w:bCs/>
          <w:kern w:val="0"/>
          <w:sz w:val="32"/>
          <w:szCs w:val="32"/>
        </w:rPr>
        <w:t>%。</w:t>
      </w:r>
    </w:p>
    <w:p>
      <w:pPr>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部门2020年度财政拨款支出16930.13万元，占本年支出合计的</w:t>
      </w:r>
      <w:r>
        <w:rPr>
          <w:rFonts w:hint="eastAsia" w:ascii="仿宋_GB2312" w:eastAsia="仿宋_GB2312" w:cs="仿宋_GB2312"/>
          <w:bCs/>
          <w:kern w:val="0"/>
          <w:sz w:val="32"/>
          <w:szCs w:val="32"/>
          <w:lang w:val="en-US" w:eastAsia="zh-CN"/>
        </w:rPr>
        <w:t>90.57</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val="en-US" w:eastAsia="zh-CN"/>
        </w:rPr>
        <w:t>5179.49</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44.08</w:t>
      </w:r>
      <w:r>
        <w:rPr>
          <w:rFonts w:hint="eastAsia" w:ascii="仿宋_GB2312" w:eastAsia="仿宋_GB2312" w:cs="仿宋_GB2312"/>
          <w:bCs/>
          <w:kern w:val="0"/>
          <w:sz w:val="32"/>
          <w:szCs w:val="32"/>
        </w:rPr>
        <w:t>%。</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2020年度财政拨款支出16930.13万元，主要用于以下方面：一般公共服务（类）支出78.83万元，占0.4</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；科</w:t>
      </w:r>
      <w:r>
        <w:rPr>
          <w:rFonts w:hint="eastAsia" w:ascii="仿宋_GB2312" w:eastAsia="仿宋_GB2312" w:cs="仿宋_GB2312"/>
          <w:bCs/>
          <w:kern w:val="0"/>
          <w:sz w:val="32"/>
          <w:szCs w:val="32"/>
        </w:rPr>
        <w:t>学技术（类）支出103.39万元，占</w:t>
      </w:r>
      <w:r>
        <w:rPr>
          <w:rFonts w:hint="eastAsia" w:ascii="仿宋_GB2312" w:eastAsia="仿宋_GB2312" w:cs="仿宋_GB2312"/>
          <w:bCs/>
          <w:kern w:val="0"/>
          <w:sz w:val="32"/>
          <w:szCs w:val="32"/>
          <w:lang w:val="en-US" w:eastAsia="zh-CN"/>
        </w:rPr>
        <w:t>0.61</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1723.13</w:t>
      </w:r>
      <w:r>
        <w:rPr>
          <w:rFonts w:hint="eastAsia" w:ascii="仿宋_GB2312" w:eastAsia="仿宋_GB2312" w:cs="仿宋_GB2312"/>
          <w:bCs/>
          <w:kern w:val="0"/>
          <w:sz w:val="32"/>
          <w:szCs w:val="32"/>
        </w:rPr>
        <w:t>万元，占10.18%；卫生健康（类）支出627.17万元，占3.70%；节能环保（类）支出1219.15万元,占7</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%，城乡社区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支出80.54万元,占0.48%，农林水</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支出12501.49万元,占73.84%，住房保障</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支出596.43万元,占3.52%。</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2020年度财政拨款支出年初预算为9</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82.24万元，支出决算为16930.13万元，完成年初预算的</w:t>
      </w:r>
      <w:r>
        <w:rPr>
          <w:rFonts w:hint="eastAsia" w:ascii="仿宋_GB2312" w:eastAsia="仿宋_GB2312" w:cs="仿宋_GB2312"/>
          <w:bCs/>
          <w:kern w:val="0"/>
          <w:sz w:val="32"/>
          <w:szCs w:val="32"/>
          <w:lang w:val="en-US" w:eastAsia="zh-CN"/>
        </w:rPr>
        <w:t>174.86</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乡村办专项工作经费、</w:t>
      </w:r>
      <w:r>
        <w:rPr>
          <w:rFonts w:hint="eastAsia" w:ascii="仿宋_GB2312" w:eastAsia="仿宋_GB2312" w:cs="仿宋_GB2312"/>
          <w:bCs/>
          <w:kern w:val="0"/>
          <w:sz w:val="32"/>
          <w:szCs w:val="32"/>
          <w:lang w:val="en-US" w:eastAsia="zh-CN"/>
        </w:rPr>
        <w:t>螺蛳养殖产业技术研发项目、土壤污染防治专项资金</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；二是部分支出按规定，通过使用以前年度财政拨款结转资金解决。其中：</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一般公共服务支出（类）商贸事务（款）行政运行（项）。年初预算为102.36万元，支出决算为49.68万元，完成年初预算的48</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53</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财政年中调减市农业综合行政执法支队预算</w:t>
      </w:r>
      <w:r>
        <w:rPr>
          <w:rFonts w:hint="eastAsia" w:ascii="仿宋_GB2312" w:eastAsia="仿宋_GB2312" w:cs="仿宋_GB2312"/>
          <w:bCs/>
          <w:kern w:val="0"/>
          <w:sz w:val="32"/>
          <w:szCs w:val="32"/>
          <w:lang w:val="en-US" w:eastAsia="zh-CN"/>
        </w:rPr>
        <w:t>52.68万元，实际完成调整后年度预算的100%。</w:t>
      </w:r>
      <w:r>
        <w:rPr>
          <w:rFonts w:hint="eastAsia" w:ascii="仿宋_GB2312" w:eastAsia="仿宋_GB2312" w:cs="仿宋_GB2312"/>
          <w:bCs/>
          <w:kern w:val="0"/>
          <w:sz w:val="32"/>
          <w:szCs w:val="32"/>
        </w:rPr>
        <w:t xml:space="preserve"> </w:t>
      </w:r>
    </w:p>
    <w:p>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2.一般公共服务支出（类）商贸事务（款）一般行政管理事务（项）。年初预算为0万元，支出决算为28.5万元，决算数大于预算数的主要原因是</w:t>
      </w:r>
      <w:r>
        <w:rPr>
          <w:rFonts w:hint="eastAsia" w:ascii="仿宋_GB2312" w:eastAsia="仿宋_GB2312" w:cs="仿宋_GB2312"/>
          <w:bCs/>
          <w:kern w:val="0"/>
          <w:sz w:val="32"/>
          <w:szCs w:val="32"/>
          <w:lang w:eastAsia="zh-CN"/>
        </w:rPr>
        <w:t>动用上年结余及财政年中追加预算。</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3.一般公共服务支出（类）商贸事务（款）其他商贸事务支出（项）。年初预算为0万元，支出决算为0.64万元，决算数大于预算数的主要原因是</w:t>
      </w:r>
      <w:r>
        <w:rPr>
          <w:rFonts w:hint="eastAsia" w:ascii="仿宋_GB2312" w:eastAsia="仿宋_GB2312" w:cs="仿宋_GB2312"/>
          <w:bCs/>
          <w:kern w:val="0"/>
          <w:sz w:val="32"/>
          <w:szCs w:val="32"/>
          <w:lang w:eastAsia="zh-CN"/>
        </w:rPr>
        <w:t>使用上年结转结余。</w:t>
      </w:r>
      <w:r>
        <w:rPr>
          <w:rFonts w:hint="eastAsia" w:ascii="仿宋_GB2312" w:eastAsia="仿宋_GB2312" w:cs="仿宋_GB2312"/>
          <w:bCs/>
          <w:kern w:val="0"/>
          <w:sz w:val="32"/>
          <w:szCs w:val="32"/>
        </w:rPr>
        <w:t xml:space="preserve"> </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4.科学技术支出（类）应用研究（款）社会公益研究（项）。年初预算为0万元，支出决算为73.71万元，决算数大于预算数的主要原因是</w:t>
      </w:r>
      <w:r>
        <w:rPr>
          <w:rFonts w:hint="eastAsia" w:ascii="仿宋_GB2312" w:eastAsia="仿宋_GB2312" w:cs="仿宋_GB2312"/>
          <w:bCs/>
          <w:kern w:val="0"/>
          <w:sz w:val="32"/>
          <w:szCs w:val="32"/>
          <w:lang w:eastAsia="zh-CN"/>
        </w:rPr>
        <w:t>年中上级补助、使用上年结转结余。</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5.科学技术支出（类）技术研究与开发（款）其他技术研究与开发支出（项）。年初预算为0万元，支出决算为29.68万元，决算数大于预算数的主要原因是</w:t>
      </w:r>
      <w:r>
        <w:rPr>
          <w:rFonts w:hint="eastAsia" w:ascii="仿宋_GB2312" w:eastAsia="仿宋_GB2312" w:cs="仿宋_GB2312"/>
          <w:bCs/>
          <w:kern w:val="0"/>
          <w:sz w:val="32"/>
          <w:szCs w:val="32"/>
          <w:lang w:eastAsia="zh-CN"/>
        </w:rPr>
        <w:t>使用上年结转结余。</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6.社会保障和就业支出（类）行政事业单位养老支出（款）行政单位离退休（项）。年初预算为216.19万元，支出决算为290.48万元，完成年初预算的</w:t>
      </w:r>
      <w:r>
        <w:rPr>
          <w:rFonts w:hint="eastAsia" w:ascii="仿宋_GB2312" w:eastAsia="仿宋_GB2312" w:cs="仿宋_GB2312"/>
          <w:bCs/>
          <w:kern w:val="0"/>
          <w:sz w:val="32"/>
          <w:szCs w:val="32"/>
          <w:lang w:val="en-US" w:eastAsia="zh-CN"/>
        </w:rPr>
        <w:t>134.36%，</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人员变动，年中财政追加预算，用于行政及参公事业单位离退休人员经费。</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7.社会保障和就业支出（类）行政事业单位养老支出（款）事业单位离退休（项）。年初预算为233.33万元，支出决算为234.09万元，完成年初预算的100</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人员变动，年中财政追加预算，用于事业单位离退休人员经费。</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rPr>
      </w:pPr>
      <w:r>
        <w:rPr>
          <w:rFonts w:hint="eastAsia" w:ascii="仿宋_GB2312" w:eastAsia="仿宋_GB2312" w:cs="仿宋_GB2312"/>
          <w:bCs/>
          <w:kern w:val="0"/>
          <w:sz w:val="32"/>
          <w:szCs w:val="32"/>
        </w:rPr>
        <w:t>8.社会保障和就业支出（类）行政事业单位养老支出（款）机关事业单位基本养老保险缴费支出（项）。年初预算为693.19万元，支出决算为809.84万元，完成年初预算的1</w:t>
      </w:r>
      <w:r>
        <w:rPr>
          <w:rFonts w:hint="eastAsia" w:ascii="仿宋_GB2312" w:eastAsia="仿宋_GB2312" w:cs="仿宋_GB2312"/>
          <w:bCs/>
          <w:kern w:val="0"/>
          <w:sz w:val="32"/>
          <w:szCs w:val="32"/>
          <w:lang w:val="en-US" w:eastAsia="zh-CN"/>
        </w:rPr>
        <w:t>16.83%，</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一是使用上年结转结余；二</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人员变动，年中财政追加预算，用于行政及参公事业单位人员基本养老保险缴费。</w:t>
      </w:r>
    </w:p>
    <w:p>
      <w:pPr>
        <w:pageBreakBefore w:val="0"/>
        <w:kinsoku/>
        <w:wordWrap/>
        <w:overflowPunct/>
        <w:topLinePunct w:val="0"/>
        <w:bidi w:val="0"/>
        <w:snapToGrid/>
        <w:spacing w:line="560" w:lineRule="exact"/>
        <w:ind w:firstLine="640" w:firstLineChars="200"/>
        <w:textAlignment w:val="auto"/>
        <w:rPr>
          <w:rFonts w:hint="eastAsia"/>
        </w:rPr>
      </w:pPr>
      <w:r>
        <w:rPr>
          <w:rFonts w:hint="eastAsia" w:ascii="仿宋_GB2312" w:eastAsia="仿宋_GB2312" w:cs="仿宋_GB2312"/>
          <w:bCs/>
          <w:kern w:val="0"/>
          <w:sz w:val="32"/>
          <w:szCs w:val="32"/>
        </w:rPr>
        <w:t>9.社会保障和就业支出（类）行政事业单位养老支出（款）机关事业单位职业年金缴费支出（项）。年初预算为346.59万元，支出决算为355.47万元，完成年初预算的102</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56</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人员变动，年中财政追加预算，用于职业年金缴费。</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lang w:eastAsia="zh-CN"/>
        </w:rPr>
      </w:pPr>
      <w:r>
        <w:rPr>
          <w:rFonts w:hint="eastAsia" w:ascii="仿宋_GB2312" w:eastAsia="仿宋_GB2312" w:cs="仿宋_GB2312"/>
          <w:bCs/>
          <w:kern w:val="0"/>
          <w:sz w:val="32"/>
          <w:szCs w:val="32"/>
        </w:rPr>
        <w:t>10.社会保障和就业支出（类）抚恤（款）死亡抚恤（项）。年初预算为0万元，支出决算为33.26万元，决算数大于预算数的主要原因是</w:t>
      </w:r>
      <w:r>
        <w:rPr>
          <w:rFonts w:hint="eastAsia" w:ascii="仿宋_GB2312" w:eastAsia="仿宋_GB2312" w:cs="仿宋_GB2312"/>
          <w:bCs/>
          <w:kern w:val="0"/>
          <w:sz w:val="32"/>
          <w:szCs w:val="32"/>
          <w:lang w:eastAsia="zh-CN"/>
        </w:rPr>
        <w:t>财政年中追加预算，用于离世人员抚恤金。</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lang w:eastAsia="zh-CN"/>
        </w:rPr>
      </w:pPr>
      <w:r>
        <w:rPr>
          <w:rFonts w:hint="eastAsia" w:ascii="仿宋_GB2312" w:eastAsia="仿宋_GB2312" w:cs="仿宋_GB2312"/>
          <w:bCs/>
          <w:kern w:val="0"/>
          <w:sz w:val="32"/>
          <w:szCs w:val="32"/>
        </w:rPr>
        <w:t>11.卫生健康支出（类）行政事业单位医疗（款）行政单位医疗（项）。年初预算为218万元，支出决算为244.4万元，完成年初预算的112</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11</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一是使用上年结转结余；二</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年中财政追加预算，用于行政及参公事业单位医疗保险缴费。</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lang w:eastAsia="zh-CN"/>
        </w:rPr>
      </w:pPr>
      <w:r>
        <w:rPr>
          <w:rFonts w:hint="eastAsia" w:ascii="仿宋_GB2312" w:eastAsia="仿宋_GB2312" w:cs="仿宋_GB2312"/>
          <w:bCs/>
          <w:kern w:val="0"/>
          <w:sz w:val="32"/>
          <w:szCs w:val="32"/>
        </w:rPr>
        <w:t>12.卫生健康支出（类）行政事业单位医疗（款）事业单位医疗（项）。年初预算为125.86万元，支出决算为149.15万元，完成年初预算的118</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50</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一是使用上年结转结余；二</w:t>
      </w:r>
      <w:r>
        <w:rPr>
          <w:rFonts w:hint="eastAsia" w:ascii="仿宋_GB2312" w:eastAsia="仿宋_GB2312" w:cs="仿宋_GB2312"/>
          <w:bCs/>
          <w:kern w:val="0"/>
          <w:sz w:val="32"/>
          <w:szCs w:val="32"/>
        </w:rPr>
        <w:t>是</w:t>
      </w:r>
      <w:r>
        <w:rPr>
          <w:rFonts w:hint="eastAsia" w:ascii="仿宋_GB2312" w:eastAsia="仿宋_GB2312" w:cs="仿宋_GB2312"/>
          <w:bCs/>
          <w:kern w:val="0"/>
          <w:sz w:val="32"/>
          <w:szCs w:val="32"/>
          <w:lang w:eastAsia="zh-CN"/>
        </w:rPr>
        <w:t>年中财政追加预算，用于事业单位医疗保险缴费。</w:t>
      </w:r>
    </w:p>
    <w:p>
      <w:pPr>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13.卫生健康支出（类）行政事业单位医疗（款）公务员医疗补助（项）。年初预算为231.02万元，支出决算为232.84万元，完成年初预算的100</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7</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年中财政追加预算，用于行政及参公事业单位医疗补助缴费。</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14.卫生健康支出（类）行政事业单位医疗（款）其他行政事业单位医疗支出（项）。年初预算为0万元，支出决算为0.29万元，决算数大于预算数的主要原因是</w:t>
      </w:r>
      <w:r>
        <w:rPr>
          <w:rFonts w:hint="eastAsia" w:ascii="仿宋_GB2312" w:eastAsia="仿宋_GB2312" w:cs="仿宋_GB2312"/>
          <w:bCs/>
          <w:kern w:val="0"/>
          <w:sz w:val="32"/>
          <w:szCs w:val="32"/>
          <w:lang w:eastAsia="zh-CN"/>
        </w:rPr>
        <w:t>动用上年结转结余。</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highlight w:val="yellow"/>
          <w:lang w:eastAsia="zh-CN"/>
        </w:rPr>
      </w:pPr>
      <w:r>
        <w:rPr>
          <w:rFonts w:hint="eastAsia" w:ascii="仿宋_GB2312" w:hAnsi="Times New Roman" w:eastAsia="仿宋_GB2312" w:cs="仿宋_GB2312"/>
          <w:bCs/>
          <w:kern w:val="0"/>
          <w:sz w:val="32"/>
          <w:szCs w:val="32"/>
        </w:rPr>
        <w:t>15.卫生健康支出（类）其他卫生健康支出（款）其他卫生健康支出（项）。年初预算为0万元，支出决算为0.5</w:t>
      </w:r>
      <w:r>
        <w:rPr>
          <w:rFonts w:hint="eastAsia" w:ascii="仿宋_GB2312" w:hAnsi="Times New Roman" w:eastAsia="仿宋_GB2312" w:cs="仿宋_GB2312"/>
          <w:bCs/>
          <w:kern w:val="0"/>
          <w:sz w:val="32"/>
          <w:szCs w:val="32"/>
          <w:highlight w:val="none"/>
        </w:rPr>
        <w:t>万元，决算数大于预算数的主要原因</w:t>
      </w:r>
      <w:r>
        <w:rPr>
          <w:rFonts w:hint="eastAsia" w:ascii="仿宋_GB2312" w:eastAsia="仿宋_GB2312" w:cs="仿宋_GB2312"/>
          <w:bCs/>
          <w:kern w:val="0"/>
          <w:sz w:val="32"/>
          <w:szCs w:val="32"/>
          <w:highlight w:val="none"/>
          <w:lang w:eastAsia="zh-CN"/>
        </w:rPr>
        <w:t>是年中财政追加，主要用于农业有毒有害卫生津贴。</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16.节能环保支出（类）污染防治（款）其他污染防治支出（项）。年初预算为0万元，支出决算为1219.15万元，决算数大于预算数的主要原因是</w:t>
      </w:r>
      <w:r>
        <w:rPr>
          <w:rFonts w:hint="eastAsia" w:ascii="仿宋_GB2312" w:eastAsia="仿宋_GB2312" w:cs="仿宋_GB2312"/>
          <w:bCs/>
          <w:kern w:val="0"/>
          <w:sz w:val="32"/>
          <w:szCs w:val="32"/>
          <w:lang w:eastAsia="zh-CN"/>
        </w:rPr>
        <w:t>年中收到上级补助，主要涉及中央土壤污染防治项目资金、农用地安全利用项目资金。</w:t>
      </w:r>
    </w:p>
    <w:p>
      <w:pPr>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bCs/>
          <w:kern w:val="0"/>
          <w:sz w:val="32"/>
          <w:szCs w:val="32"/>
          <w:lang w:eastAsia="zh-CN"/>
        </w:rPr>
      </w:pPr>
      <w:r>
        <w:rPr>
          <w:rFonts w:hint="eastAsia" w:ascii="仿宋_GB2312" w:hAnsi="Times New Roman" w:eastAsia="仿宋_GB2312" w:cs="仿宋_GB2312"/>
          <w:bCs/>
          <w:kern w:val="0"/>
          <w:sz w:val="32"/>
          <w:szCs w:val="32"/>
        </w:rPr>
        <w:t>17.城乡社区支出（类）城乡社区规划与管理（款）城乡社区规划与管理（项）。年初预算为0万元，支出决算为32.63万元，决算数大于预算数的主要原因</w:t>
      </w:r>
      <w:r>
        <w:rPr>
          <w:rFonts w:hint="eastAsia" w:ascii="仿宋_GB2312" w:eastAsia="仿宋_GB2312" w:cs="仿宋_GB2312"/>
          <w:bCs/>
          <w:kern w:val="0"/>
          <w:sz w:val="32"/>
          <w:szCs w:val="32"/>
          <w:lang w:eastAsia="zh-CN"/>
        </w:rPr>
        <w:t>一是动用上年结转结余；二是年中财政追加预算，主要是“十四五”规划编制费。</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18.城乡社区支出（类）城乡社区环境卫生（款）城乡社区环境卫生（项）。年初预算为0万元，支出决算为47.91万元，决算数大于预算数的主要原因是</w:t>
      </w:r>
      <w:r>
        <w:rPr>
          <w:rFonts w:hint="eastAsia" w:ascii="仿宋_GB2312" w:eastAsia="仿宋_GB2312" w:cs="仿宋_GB2312"/>
          <w:bCs/>
          <w:kern w:val="0"/>
          <w:sz w:val="32"/>
          <w:szCs w:val="32"/>
          <w:lang w:eastAsia="zh-CN"/>
        </w:rPr>
        <w:t>动用上年结转结余。</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19.农林水支出（类）农业农村（款）行政运行（项）。年初预算为3400.04万元，支出决算为3772.77万元，完成年初预算的110</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96</w:t>
      </w:r>
      <w:r>
        <w:rPr>
          <w:rFonts w:hint="eastAsia" w:ascii="仿宋_GB2312" w:hAnsi="Times New Roman" w:eastAsia="仿宋_GB2312" w:cs="仿宋_GB2312"/>
          <w:bCs/>
          <w:kern w:val="0"/>
          <w:sz w:val="32"/>
          <w:szCs w:val="32"/>
          <w:lang w:val="en-US" w:eastAsia="zh-CN"/>
        </w:rPr>
        <w:t>%</w:t>
      </w:r>
      <w:r>
        <w:rPr>
          <w:rFonts w:hint="eastAsia" w:ascii="仿宋_GB2312"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年中财政追加预算，主要涉及人员工资、绩效奖。</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20.农林水支出（类）农业农村（款）一般行政管理事务（项）。年初预算为33.4万元，支出决算为30.39万元，完 成年初预算的90</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9</w:t>
      </w:r>
      <w:r>
        <w:rPr>
          <w:rFonts w:hint="eastAsia" w:ascii="仿宋_GB2312" w:hAnsi="Times New Roman" w:eastAsia="仿宋_GB2312" w:cs="仿宋_GB2312"/>
          <w:bCs/>
          <w:kern w:val="0"/>
          <w:sz w:val="32"/>
          <w:szCs w:val="32"/>
          <w:lang w:val="en-US" w:eastAsia="zh-CN"/>
        </w:rPr>
        <w:t>9%，</w:t>
      </w:r>
      <w:r>
        <w:rPr>
          <w:rFonts w:hint="eastAsia" w:ascii="仿宋_GB2312" w:hAnsi="Times New Roman"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hAnsi="Times New Roman"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年设备购置费采购结余。</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21.农林水支出（类）农业农村（款）事业运行（项）。年初预算为1870.93万元，支出决算为2063.58万元，完成年初预算的110</w:t>
      </w:r>
      <w:r>
        <w:rPr>
          <w:rFonts w:hint="eastAsia" w:ascii="仿宋_GB2312" w:hAnsi="Times New Roman" w:eastAsia="仿宋_GB2312" w:cs="仿宋_GB2312"/>
          <w:bCs/>
          <w:kern w:val="0"/>
          <w:sz w:val="32"/>
          <w:szCs w:val="32"/>
          <w:lang w:val="en-US" w:eastAsia="zh-CN"/>
        </w:rPr>
        <w:t>.30%，</w:t>
      </w:r>
      <w:r>
        <w:rPr>
          <w:rFonts w:hint="eastAsia" w:ascii="仿宋_GB2312" w:hAnsi="Times New Roman"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一是使用上年结转结余；二</w:t>
      </w:r>
      <w:r>
        <w:rPr>
          <w:rFonts w:hint="eastAsia" w:ascii="仿宋_GB2312" w:hAnsi="Times New Roman" w:eastAsia="仿宋_GB2312" w:cs="仿宋_GB2312"/>
          <w:bCs/>
          <w:kern w:val="0"/>
          <w:sz w:val="32"/>
          <w:szCs w:val="32"/>
        </w:rPr>
        <w:t>是</w:t>
      </w:r>
      <w:r>
        <w:rPr>
          <w:rFonts w:hint="eastAsia" w:ascii="仿宋_GB2312" w:eastAsia="仿宋_GB2312" w:cs="仿宋_GB2312"/>
          <w:bCs/>
          <w:kern w:val="0"/>
          <w:sz w:val="32"/>
          <w:szCs w:val="32"/>
          <w:lang w:eastAsia="zh-CN"/>
        </w:rPr>
        <w:t>财政年中追加预算，用于人员工资、绩效奖。</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22.农林水支出（类）农业农村（款）科技转化与推广服务（项）。年初预算为19万元，支出决算为68.21万元，完 成年初预算的359</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一是年中收到上级补助资金，主要是农作物生态区域动态监测工作经费、农技推广服务能力提升工作经费、县域特色作物试验站建设经费；二是使用上年结转结余。</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23.农林水支出（类）农业农村（款）病虫害控制（项）。年初预算为9万元，支出决算为127万元，完成年初预算的1411</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年中收到上级补助资金，主要是中央农业生产救灾资金、水生动物防疫及疫情测报工作经费。</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24.农林水支出（类）农业农村（款）农产品质量安全（项）。年初预算为0万元，支出决算为275.31万元，决算数大于预算数的主要原因</w:t>
      </w:r>
      <w:r>
        <w:rPr>
          <w:rFonts w:hint="eastAsia" w:ascii="仿宋_GB2312" w:eastAsia="仿宋_GB2312" w:cs="仿宋_GB2312"/>
          <w:bCs/>
          <w:kern w:val="0"/>
          <w:sz w:val="32"/>
          <w:szCs w:val="32"/>
          <w:lang w:eastAsia="zh-CN"/>
        </w:rPr>
        <w:t>一是年中上级补助收入，主要是农产品质量安全监管与体系建设经费，二</w:t>
      </w:r>
      <w:r>
        <w:rPr>
          <w:rFonts w:hint="eastAsia" w:ascii="仿宋_GB2312" w:hAnsi="Times New Roman" w:eastAsia="仿宋_GB2312" w:cs="仿宋_GB2312"/>
          <w:bCs/>
          <w:kern w:val="0"/>
          <w:sz w:val="32"/>
          <w:szCs w:val="32"/>
        </w:rPr>
        <w:t>是</w:t>
      </w:r>
      <w:r>
        <w:rPr>
          <w:rFonts w:hint="eastAsia" w:ascii="仿宋_GB2312" w:eastAsia="仿宋_GB2312" w:cs="仿宋_GB2312"/>
          <w:bCs/>
          <w:kern w:val="0"/>
          <w:sz w:val="32"/>
          <w:szCs w:val="32"/>
          <w:lang w:eastAsia="zh-CN"/>
        </w:rPr>
        <w:t>动用上年结转结余。</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25.农林水支出（类）农业农村（款）执法监管（项）。年初预算为14.09万元，支出决算为10.92万元，完成年初预算的77</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50</w:t>
      </w:r>
      <w:r>
        <w:rPr>
          <w:rFonts w:hint="eastAsia" w:ascii="仿宋_GB2312" w:hAnsi="Times New Roman" w:eastAsia="仿宋_GB2312" w:cs="仿宋_GB2312"/>
          <w:bCs/>
          <w:kern w:val="0"/>
          <w:sz w:val="32"/>
          <w:szCs w:val="32"/>
          <w:lang w:val="en-US" w:eastAsia="zh-CN"/>
        </w:rPr>
        <w:t>%</w:t>
      </w:r>
      <w:r>
        <w:rPr>
          <w:rFonts w:hint="eastAsia" w:ascii="仿宋_GB2312"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hAnsi="Times New Roman"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年中财政调整预算，调整后实际完成年初预算的</w:t>
      </w:r>
      <w:r>
        <w:rPr>
          <w:rFonts w:hint="eastAsia" w:ascii="仿宋_GB2312" w:eastAsia="仿宋_GB2312" w:cs="仿宋_GB2312"/>
          <w:bCs/>
          <w:kern w:val="0"/>
          <w:sz w:val="32"/>
          <w:szCs w:val="32"/>
          <w:lang w:val="en-US" w:eastAsia="zh-CN"/>
        </w:rPr>
        <w:t>100%。</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26.农林水支出（类）农业农村（款）统计监测与信息服务（项）。年初预算为0万元，支出决算为24.5万元，决算数大于预算数的主要原因是</w:t>
      </w:r>
      <w:r>
        <w:rPr>
          <w:rFonts w:hint="eastAsia" w:ascii="仿宋_GB2312" w:eastAsia="仿宋_GB2312" w:cs="仿宋_GB2312"/>
          <w:bCs/>
          <w:kern w:val="0"/>
          <w:sz w:val="32"/>
          <w:szCs w:val="32"/>
          <w:lang w:eastAsia="zh-CN"/>
        </w:rPr>
        <w:t>一是年中收到上级补助收入，主要是统计监测经费；二是使用上年结转结余。</w:t>
      </w:r>
    </w:p>
    <w:p>
      <w:pPr>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bCs/>
          <w:kern w:val="0"/>
          <w:sz w:val="32"/>
          <w:szCs w:val="32"/>
          <w:highlight w:val="none"/>
          <w:lang w:eastAsia="zh-CN"/>
        </w:rPr>
      </w:pPr>
      <w:r>
        <w:rPr>
          <w:rFonts w:hint="eastAsia" w:ascii="仿宋_GB2312" w:hAnsi="Times New Roman" w:eastAsia="仿宋_GB2312" w:cs="仿宋_GB2312"/>
          <w:bCs/>
          <w:kern w:val="0"/>
          <w:sz w:val="32"/>
          <w:szCs w:val="32"/>
        </w:rPr>
        <w:t>27.农林水支出（类）农业农村（款）行业业务管理（项）。年初预算为0万元，支出决算为38.</w:t>
      </w:r>
      <w:r>
        <w:rPr>
          <w:rFonts w:hint="eastAsia" w:ascii="仿宋_GB2312" w:hAnsi="Times New Roman" w:eastAsia="仿宋_GB2312" w:cs="仿宋_GB2312"/>
          <w:bCs/>
          <w:kern w:val="0"/>
          <w:sz w:val="32"/>
          <w:szCs w:val="32"/>
          <w:highlight w:val="none"/>
        </w:rPr>
        <w:t>26万元，决算数大于预算数的主要原因是</w:t>
      </w:r>
      <w:r>
        <w:rPr>
          <w:rFonts w:hint="eastAsia" w:ascii="仿宋_GB2312" w:eastAsia="仿宋_GB2312" w:cs="仿宋_GB2312"/>
          <w:bCs/>
          <w:kern w:val="0"/>
          <w:sz w:val="32"/>
          <w:szCs w:val="32"/>
          <w:highlight w:val="none"/>
          <w:lang w:eastAsia="zh-CN"/>
        </w:rPr>
        <w:t>机构改革，年中财政划转预算指标，用于人员基本经费开支。</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28.农林水支出（类）农业农村（款）防灾救灾（项）。年初预算为0万元，支出决算为30万元，决算数大于预算数的主要原因是</w:t>
      </w:r>
      <w:r>
        <w:rPr>
          <w:rFonts w:hint="eastAsia" w:ascii="仿宋_GB2312" w:eastAsia="仿宋_GB2312" w:cs="仿宋_GB2312"/>
          <w:bCs/>
          <w:kern w:val="0"/>
          <w:sz w:val="32"/>
          <w:szCs w:val="32"/>
          <w:lang w:eastAsia="zh-CN"/>
        </w:rPr>
        <w:t>年中收到上级补助，主要是中央农业生产救灾补助资金。</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rPr>
        <w:t>29.农林水支出（类）农业农村（款）农业生产发展（项）。年初预算为0万元，支出决算为17.6万元，决算数大于预算数的主要原因是</w:t>
      </w:r>
      <w:r>
        <w:rPr>
          <w:rFonts w:hint="eastAsia" w:ascii="仿宋_GB2312" w:eastAsia="仿宋_GB2312" w:cs="仿宋_GB2312"/>
          <w:bCs/>
          <w:kern w:val="0"/>
          <w:sz w:val="32"/>
          <w:szCs w:val="32"/>
          <w:lang w:eastAsia="zh-CN"/>
        </w:rPr>
        <w:t>年中收到上级补助，主要是中央农业资源及生态保护补助资金。</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rPr>
        <w:t>30.农林水支出（类）农业农村（款）农村社会事业（项）。年初预算为0万元，支出决算为35万元，决算数大于预算数的主要原因是</w:t>
      </w:r>
      <w:r>
        <w:rPr>
          <w:rFonts w:hint="eastAsia" w:ascii="仿宋_GB2312" w:eastAsia="仿宋_GB2312" w:cs="仿宋_GB2312"/>
          <w:bCs/>
          <w:kern w:val="0"/>
          <w:sz w:val="32"/>
          <w:szCs w:val="32"/>
          <w:lang w:eastAsia="zh-CN"/>
        </w:rPr>
        <w:t>年中收到上级补助，主要是信息入户工程项目经费。</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rPr>
        <w:t>31.农林水支出（类）农业农村（款）农业资源保护修复与利用（项）。年初预算为0万元，支出决算为14.48万元，决算数大于预算数的主要原因是</w:t>
      </w:r>
      <w:r>
        <w:rPr>
          <w:rFonts w:hint="eastAsia" w:ascii="仿宋_GB2312" w:eastAsia="仿宋_GB2312" w:cs="仿宋_GB2312"/>
          <w:bCs/>
          <w:kern w:val="0"/>
          <w:sz w:val="32"/>
          <w:szCs w:val="32"/>
          <w:lang w:eastAsia="zh-CN"/>
        </w:rPr>
        <w:t>年中收到上级补助，主要是中央农业资源及生态保护补助资金、优质种业提升工程工作经费。</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32.农林水支出（类）农业农村（款）成品油价格改革对渔业的补贴（项）。年初预算为0万元，支出决算为735.77万元，决算数大于预算数的主要原因</w:t>
      </w:r>
      <w:r>
        <w:rPr>
          <w:rFonts w:hint="eastAsia" w:ascii="仿宋_GB2312" w:eastAsia="仿宋_GB2312" w:cs="仿宋_GB2312"/>
          <w:bCs/>
          <w:kern w:val="0"/>
          <w:sz w:val="32"/>
          <w:szCs w:val="32"/>
          <w:lang w:eastAsia="zh-CN"/>
        </w:rPr>
        <w:t>一是使用上年结转结余；二是年中收到上级补助资金，主要是成品油价格改革对渔业的补贴资金。</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33.农林水支出（类）农业农村（款）其他农业农村支出（项）。年初预算为1649.35万元，支出决算为5205.97万元，完成年初预算的315</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6</w:t>
      </w:r>
      <w:r>
        <w:rPr>
          <w:rFonts w:hint="eastAsia" w:ascii="仿宋_GB2312" w:hAnsi="Times New Roman" w:eastAsia="仿宋_GB2312" w:cs="仿宋_GB2312"/>
          <w:bCs/>
          <w:kern w:val="0"/>
          <w:sz w:val="32"/>
          <w:szCs w:val="32"/>
          <w:lang w:val="en-US" w:eastAsia="zh-CN"/>
        </w:rPr>
        <w:t>4%</w:t>
      </w:r>
      <w:r>
        <w:rPr>
          <w:rFonts w:hint="eastAsia" w:ascii="仿宋_GB2312"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资金，二是年中收到上级补助，主要是农业生产发展资金、高标准农田建设补助配套项目资金；三是年中财政追加预算，主要是人大政协提案专项资金、执法办案业务费、行政单位离世抚恤金等。</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34.农林水支出（类）扶贫（款）其他扶贫支出（项）。年初预算为0万元，支出决算为6.64万元，决算数大于预算数的主要原因</w:t>
      </w:r>
      <w:r>
        <w:rPr>
          <w:rFonts w:hint="eastAsia" w:ascii="仿宋_GB2312" w:eastAsia="仿宋_GB2312" w:cs="仿宋_GB2312"/>
          <w:bCs/>
          <w:kern w:val="0"/>
          <w:sz w:val="32"/>
          <w:szCs w:val="32"/>
          <w:lang w:eastAsia="zh-CN"/>
        </w:rPr>
        <w:t>一</w:t>
      </w:r>
      <w:r>
        <w:rPr>
          <w:rFonts w:hint="eastAsia" w:ascii="仿宋_GB2312" w:hAnsi="Times New Roman" w:eastAsia="仿宋_GB2312" w:cs="仿宋_GB2312"/>
          <w:bCs/>
          <w:kern w:val="0"/>
          <w:sz w:val="32"/>
          <w:szCs w:val="32"/>
        </w:rPr>
        <w:t>是</w:t>
      </w:r>
      <w:r>
        <w:rPr>
          <w:rFonts w:hint="eastAsia" w:ascii="仿宋_GB2312" w:eastAsia="仿宋_GB2312" w:cs="仿宋_GB2312"/>
          <w:bCs/>
          <w:kern w:val="0"/>
          <w:sz w:val="32"/>
          <w:szCs w:val="32"/>
          <w:lang w:eastAsia="zh-CN"/>
        </w:rPr>
        <w:t>使用上年结转结余，二是年中财政追加扶贫工作专项资金。</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35.农林水支出（类）其他农林水支出（款）其他农林水支出（项）。年初预算为0万元，支出决算为45.08万元，决算数大于预算数的主要原因是</w:t>
      </w:r>
      <w:r>
        <w:rPr>
          <w:rFonts w:hint="eastAsia" w:ascii="仿宋_GB2312" w:eastAsia="仿宋_GB2312" w:cs="仿宋_GB2312"/>
          <w:bCs/>
          <w:kern w:val="0"/>
          <w:sz w:val="32"/>
          <w:szCs w:val="32"/>
          <w:lang w:eastAsia="zh-CN"/>
        </w:rPr>
        <w:t>年中财政追加预算，主要是“花为媒”柳州银行赞助经费等。</w:t>
      </w:r>
    </w:p>
    <w:p>
      <w:pPr>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rPr>
        <w:t>36.住房保障支出（类）住房改革支出（款） 住房公积金（项）。年初预算为519.89万元，支出决算为590.97万元，完成年初预算的113</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67</w:t>
      </w:r>
      <w:r>
        <w:rPr>
          <w:rFonts w:hint="eastAsia"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一是使用上年结转结余，二是年中财政追加，用于职工住房公积金缴纳。</w:t>
      </w:r>
    </w:p>
    <w:p>
      <w:pPr>
        <w:pageBreakBefore w:val="0"/>
        <w:kinsoku/>
        <w:wordWrap/>
        <w:overflowPunct/>
        <w:topLinePunct w:val="0"/>
        <w:bidi w:val="0"/>
        <w:snapToGrid/>
        <w:spacing w:line="560" w:lineRule="exact"/>
        <w:ind w:firstLine="640" w:firstLineChars="200"/>
        <w:textAlignment w:val="auto"/>
        <w:rPr>
          <w:rFonts w:hint="eastAsia" w:eastAsia="仿宋_GB2312"/>
          <w:lang w:eastAsia="zh-CN"/>
        </w:rPr>
      </w:pPr>
      <w:r>
        <w:rPr>
          <w:rFonts w:hint="eastAsia" w:ascii="仿宋_GB2312" w:hAnsi="Times New Roman" w:eastAsia="仿宋_GB2312" w:cs="仿宋_GB2312"/>
          <w:bCs/>
          <w:kern w:val="0"/>
          <w:sz w:val="32"/>
          <w:szCs w:val="32"/>
        </w:rPr>
        <w:t>37.住房保障支出（类）住房改革支出（款） 购房补贴（项）。年初预算为0万元，支出决算为5.46万元，决算数大于预算数的主要原因是</w:t>
      </w:r>
      <w:r>
        <w:rPr>
          <w:rFonts w:hint="eastAsia" w:ascii="仿宋_GB2312" w:eastAsia="仿宋_GB2312" w:cs="仿宋_GB2312"/>
          <w:bCs/>
          <w:kern w:val="0"/>
          <w:sz w:val="32"/>
          <w:szCs w:val="32"/>
          <w:lang w:eastAsia="zh-CN"/>
        </w:rPr>
        <w:t>年中财政追加预算，主要用于职工购房补贴。</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2020年度财政拨款基本支出10389.44万元，其中：</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人员经费9236.76万元，主要包括：基本工资、津贴补贴、 奖金、伙食补助费、绩效工资、机关事业单位基本养老保险缴费、职业年金缴费、其他社会保障缴费、其他工资福利支出、 离休费、退休费、抚恤金、生活补助、医疗费、奖励金、住房公积金；</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公用经费1152.68万元，主要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 经费支出决算情况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年度“三公”经费财政拨款支出预算为117.58万元，支出决算为102.12万元，完成预算的</w:t>
      </w:r>
      <w:r>
        <w:rPr>
          <w:rFonts w:hint="eastAsia" w:ascii="仿宋_GB2312" w:eastAsia="仿宋_GB2312" w:cs="仿宋_GB2312"/>
          <w:bCs/>
          <w:kern w:val="0"/>
          <w:sz w:val="32"/>
          <w:szCs w:val="32"/>
          <w:lang w:val="en-US" w:eastAsia="zh-CN"/>
        </w:rPr>
        <w:t>86.85</w:t>
      </w:r>
      <w:r>
        <w:rPr>
          <w:rFonts w:hint="eastAsia" w:ascii="仿宋_GB2312" w:eastAsia="仿宋_GB2312" w:cs="仿宋_GB2312"/>
          <w:bCs/>
          <w:kern w:val="0"/>
          <w:sz w:val="32"/>
          <w:szCs w:val="32"/>
        </w:rPr>
        <w:t>%，其中：因公出国（境）费支出决算为0万元，</w:t>
      </w:r>
      <w:r>
        <w:rPr>
          <w:rFonts w:hint="eastAsia" w:ascii="仿宋_GB2312" w:eastAsia="仿宋_GB2312" w:cs="仿宋_GB2312"/>
          <w:bCs/>
          <w:kern w:val="0"/>
          <w:sz w:val="32"/>
          <w:szCs w:val="32"/>
          <w:lang w:eastAsia="zh-CN"/>
        </w:rPr>
        <w:t>与上年一致</w:t>
      </w:r>
      <w:r>
        <w:rPr>
          <w:rFonts w:hint="eastAsia" w:ascii="仿宋_GB2312" w:eastAsia="仿宋_GB2312" w:cs="仿宋_GB2312"/>
          <w:bCs/>
          <w:kern w:val="0"/>
          <w:sz w:val="32"/>
          <w:szCs w:val="32"/>
        </w:rPr>
        <w:t>；公务用车购置及运行费支出决算为89.97万元，完成预算的</w:t>
      </w:r>
      <w:r>
        <w:rPr>
          <w:rFonts w:hint="eastAsia" w:ascii="仿宋_GB2312" w:eastAsia="仿宋_GB2312" w:cs="仿宋_GB2312"/>
          <w:bCs/>
          <w:kern w:val="0"/>
          <w:sz w:val="32"/>
          <w:szCs w:val="32"/>
          <w:lang w:val="en-US" w:eastAsia="zh-CN"/>
        </w:rPr>
        <w:t>88.77</w:t>
      </w:r>
      <w:r>
        <w:rPr>
          <w:rFonts w:hint="eastAsia" w:ascii="仿宋_GB2312" w:eastAsia="仿宋_GB2312" w:cs="仿宋_GB2312"/>
          <w:bCs/>
          <w:kern w:val="0"/>
          <w:sz w:val="32"/>
          <w:szCs w:val="32"/>
        </w:rPr>
        <w:t>%；公务接待费支出决算为12.15万元，完成预算的</w:t>
      </w:r>
      <w:r>
        <w:rPr>
          <w:rFonts w:hint="eastAsia" w:ascii="仿宋_GB2312" w:eastAsia="仿宋_GB2312" w:cs="仿宋_GB2312"/>
          <w:bCs/>
          <w:kern w:val="0"/>
          <w:sz w:val="32"/>
          <w:szCs w:val="32"/>
          <w:lang w:val="en-US" w:eastAsia="zh-CN"/>
        </w:rPr>
        <w:t>74.86</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33.88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49.65</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val="en-US" w:eastAsia="zh-CN"/>
        </w:rPr>
        <w:t>增减0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35.53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65.25</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11.93</w:t>
      </w:r>
      <w:r>
        <w:rPr>
          <w:rFonts w:hint="eastAsia" w:ascii="仿宋_GB2312" w:eastAsia="仿宋_GB2312" w:cs="仿宋_GB2312"/>
          <w:bCs/>
          <w:kern w:val="0"/>
          <w:sz w:val="32"/>
          <w:szCs w:val="32"/>
        </w:rPr>
        <w:t>%。</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w:t>
      </w:r>
      <w:r>
        <w:rPr>
          <w:rFonts w:hint="eastAsia" w:ascii="仿宋_GB2312" w:eastAsia="仿宋_GB2312" w:cs="仿宋_GB2312"/>
          <w:bCs/>
          <w:kern w:val="0"/>
          <w:sz w:val="32"/>
          <w:szCs w:val="32"/>
          <w:lang w:eastAsia="zh-CN"/>
        </w:rPr>
        <w:t>同比持平</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无人员因公</w:t>
      </w:r>
      <w:r>
        <w:rPr>
          <w:rFonts w:hint="eastAsia" w:ascii="仿宋_GB2312" w:eastAsia="仿宋_GB2312" w:cs="仿宋_GB2312"/>
          <w:bCs/>
          <w:kern w:val="0"/>
          <w:sz w:val="32"/>
          <w:szCs w:val="32"/>
        </w:rPr>
        <w:t>出国（境）；公务用车购置及运行费支出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 因是</w:t>
      </w:r>
      <w:r>
        <w:rPr>
          <w:rFonts w:hint="eastAsia" w:ascii="仿宋_GB2312" w:eastAsia="仿宋_GB2312" w:cs="仿宋_GB2312"/>
          <w:bCs/>
          <w:kern w:val="0"/>
          <w:sz w:val="32"/>
          <w:szCs w:val="32"/>
          <w:lang w:eastAsia="zh-CN"/>
        </w:rPr>
        <w:t>市畜牧站、市渔业技术推广中心、市农业科学研究中心三个单位购置公务用车</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厉行节约，减少不必要的陪同及接待</w:t>
      </w:r>
      <w:r>
        <w:rPr>
          <w:rFonts w:hint="eastAsia" w:ascii="仿宋_GB2312" w:eastAsia="仿宋_GB2312" w:cs="仿宋_GB2312"/>
          <w:bCs/>
          <w:kern w:val="0"/>
          <w:sz w:val="32"/>
          <w:szCs w:val="32"/>
        </w:rPr>
        <w:t>。</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万元；公务用车购置及运行费支出决算89.97万元，占</w:t>
      </w:r>
      <w:r>
        <w:rPr>
          <w:rFonts w:hint="eastAsia" w:ascii="仿宋_GB2312" w:eastAsia="仿宋_GB2312" w:cs="仿宋_GB2312"/>
          <w:bCs/>
          <w:kern w:val="0"/>
          <w:sz w:val="32"/>
          <w:szCs w:val="32"/>
          <w:lang w:val="en-US" w:eastAsia="zh-CN"/>
        </w:rPr>
        <w:t>88.10</w:t>
      </w:r>
      <w:r>
        <w:rPr>
          <w:rFonts w:hint="eastAsia" w:ascii="仿宋_GB2312" w:eastAsia="仿宋_GB2312" w:cs="仿宋_GB2312"/>
          <w:bCs/>
          <w:kern w:val="0"/>
          <w:sz w:val="32"/>
          <w:szCs w:val="32"/>
        </w:rPr>
        <w:t xml:space="preserve"> %；公务接待费支出决算12.15万元，占</w:t>
      </w:r>
      <w:r>
        <w:rPr>
          <w:rFonts w:hint="eastAsia" w:ascii="仿宋_GB2312" w:eastAsia="仿宋_GB2312" w:cs="仿宋_GB2312"/>
          <w:bCs/>
          <w:kern w:val="0"/>
          <w:sz w:val="32"/>
          <w:szCs w:val="32"/>
          <w:lang w:val="en-US" w:eastAsia="zh-CN"/>
        </w:rPr>
        <w:t>11.90</w:t>
      </w:r>
      <w:r>
        <w:rPr>
          <w:rFonts w:hint="eastAsia" w:ascii="仿宋_GB2312" w:eastAsia="仿宋_GB2312" w:cs="仿宋_GB2312"/>
          <w:bCs/>
          <w:kern w:val="0"/>
          <w:sz w:val="32"/>
          <w:szCs w:val="32"/>
        </w:rPr>
        <w:t xml:space="preserve">%。具体情况如下：  </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 </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2.公务用车购置及运行费支出89.97万元。其中：公务用车购置支出为58.87万元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公务用车运行支出31.1万元。主要用于</w:t>
      </w:r>
      <w:r>
        <w:rPr>
          <w:rFonts w:hint="eastAsia" w:ascii="仿宋_GB2312" w:eastAsia="仿宋_GB2312" w:cs="仿宋_GB2312"/>
          <w:bCs/>
          <w:kern w:val="0"/>
          <w:sz w:val="32"/>
          <w:szCs w:val="32"/>
          <w:lang w:eastAsia="zh-CN"/>
        </w:rPr>
        <w:t>局属单位购置公务用车</w:t>
      </w:r>
      <w:r>
        <w:rPr>
          <w:rFonts w:hint="eastAsia" w:ascii="仿宋_GB2312" w:eastAsia="仿宋_GB2312" w:cs="仿宋_GB2312"/>
          <w:bCs/>
          <w:kern w:val="0"/>
          <w:sz w:val="32"/>
          <w:szCs w:val="32"/>
          <w:lang w:val="en-US" w:eastAsia="zh-CN"/>
        </w:rPr>
        <w:t>及</w:t>
      </w:r>
      <w:r>
        <w:rPr>
          <w:rFonts w:hint="eastAsia" w:ascii="仿宋_GB2312" w:eastAsia="仿宋_GB2312" w:cs="仿宋_GB2312"/>
          <w:bCs/>
          <w:kern w:val="0"/>
          <w:sz w:val="32"/>
          <w:szCs w:val="32"/>
          <w:lang w:eastAsia="zh-CN"/>
        </w:rPr>
        <w:t>公务用车日常运行费</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19</w:t>
      </w:r>
      <w:r>
        <w:rPr>
          <w:rFonts w:hint="eastAsia" w:ascii="仿宋_GB2312" w:eastAsia="仿宋_GB2312" w:cs="仿宋_GB2312"/>
          <w:bCs/>
          <w:kern w:val="0"/>
          <w:sz w:val="32"/>
          <w:szCs w:val="32"/>
        </w:rPr>
        <w:t>辆。</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3.公务接待费支出12.15万元。其中：</w:t>
      </w:r>
    </w:p>
    <w:p>
      <w:pPr>
        <w:pageBreakBefore w:val="0"/>
        <w:kinsoku/>
        <w:wordWrap/>
        <w:overflowPunct/>
        <w:topLinePunct w:val="0"/>
        <w:autoSpaceDE w:val="0"/>
        <w:autoSpaceDN w:val="0"/>
        <w:bidi w:val="0"/>
        <w:adjustRightInd w:val="0"/>
        <w:snapToGrid/>
        <w:spacing w:line="560" w:lineRule="exact"/>
        <w:ind w:firstLine="64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pageBreakBefore w:val="0"/>
        <w:kinsoku/>
        <w:wordWrap/>
        <w:overflowPunct/>
        <w:topLinePunct w:val="0"/>
        <w:autoSpaceDE w:val="0"/>
        <w:autoSpaceDN w:val="0"/>
        <w:bidi w:val="0"/>
        <w:adjustRightInd w:val="0"/>
        <w:snapToGrid/>
        <w:spacing w:line="560" w:lineRule="exact"/>
        <w:ind w:firstLine="64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12.15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上级工作督</w:t>
      </w:r>
      <w:r>
        <w:rPr>
          <w:rFonts w:hint="eastAsia" w:ascii="仿宋_GB2312" w:eastAsia="仿宋_GB2312" w:cs="仿宋_GB2312"/>
          <w:bCs/>
          <w:kern w:val="0"/>
          <w:sz w:val="32"/>
          <w:szCs w:val="32"/>
          <w:lang w:val="en-US" w:eastAsia="zh-CN"/>
        </w:rPr>
        <w:t>查</w:t>
      </w:r>
      <w:r>
        <w:rPr>
          <w:rFonts w:hint="eastAsia" w:ascii="仿宋_GB2312" w:eastAsia="仿宋_GB2312" w:cs="仿宋_GB2312"/>
          <w:bCs/>
          <w:kern w:val="0"/>
          <w:sz w:val="32"/>
          <w:szCs w:val="32"/>
          <w:lang w:eastAsia="zh-CN"/>
        </w:rPr>
        <w:t>、检查、调研接待，下级汇报、交流工作接待，国内行业考察交流学习接待</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55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1330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w:t>
      </w:r>
      <w:bookmarkStart w:id="0" w:name="_GoBack"/>
      <w:bookmarkEnd w:id="0"/>
      <w:r>
        <w:rPr>
          <w:rFonts w:hint="eastAsia" w:ascii="仿宋_GB2312" w:eastAsia="仿宋_GB2312" w:cs="仿宋_GB2312"/>
          <w:b/>
          <w:kern w:val="0"/>
          <w:sz w:val="32"/>
          <w:szCs w:val="32"/>
        </w:rPr>
        <w:t xml:space="preserve">政府性基金预算财政拨款收入支出决算情况说明 </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w:t>
      </w:r>
      <w:r>
        <w:rPr>
          <w:rFonts w:hint="eastAsia" w:ascii="仿宋_GB2312" w:eastAsia="仿宋_GB2312" w:cs="仿宋_GB2312"/>
          <w:bCs/>
          <w:kern w:val="0"/>
          <w:sz w:val="32"/>
          <w:szCs w:val="32"/>
          <w:lang w:val="en-US" w:eastAsia="zh-CN"/>
        </w:rPr>
        <w:t>分别为209.02</w:t>
      </w:r>
      <w:r>
        <w:rPr>
          <w:rFonts w:hint="eastAsia" w:ascii="仿宋_GB2312" w:eastAsia="仿宋_GB2312" w:cs="仿宋_GB2312"/>
          <w:bCs/>
          <w:kern w:val="0"/>
          <w:sz w:val="32"/>
          <w:szCs w:val="32"/>
        </w:rPr>
        <w:t>万元、178.77万元。与2019年相比，收、支总计</w:t>
      </w:r>
      <w:r>
        <w:rPr>
          <w:rFonts w:hint="eastAsia" w:ascii="仿宋_GB2312" w:eastAsia="仿宋_GB2312" w:cs="仿宋_GB2312"/>
          <w:bCs/>
          <w:kern w:val="0"/>
          <w:sz w:val="32"/>
          <w:szCs w:val="32"/>
          <w:lang w:val="en-US" w:eastAsia="zh-CN"/>
        </w:rPr>
        <w:t>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42.14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195.84万元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16.78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52.28%</w:t>
      </w:r>
      <w:r>
        <w:rPr>
          <w:rFonts w:hint="eastAsia" w:ascii="仿宋_GB2312" w:eastAsia="仿宋_GB2312" w:cs="仿宋_GB2312"/>
          <w:bCs/>
          <w:kern w:val="0"/>
          <w:sz w:val="32"/>
          <w:szCs w:val="32"/>
        </w:rPr>
        <w:t>。其中，支出情况为：</w:t>
      </w:r>
    </w:p>
    <w:p>
      <w:pPr>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178.77</w:t>
      </w:r>
      <w:r>
        <w:rPr>
          <w:rFonts w:hint="eastAsia" w:ascii="仿宋_GB2312" w:eastAsia="仿宋_GB2312" w:cs="仿宋_GB2312"/>
          <w:bCs/>
          <w:kern w:val="0"/>
          <w:sz w:val="32"/>
          <w:szCs w:val="32"/>
        </w:rPr>
        <w:t>万元，决算大于预算数主要原因：一是年中追加安排财政拨款支出预算，涉及项目有</w:t>
      </w:r>
      <w:r>
        <w:rPr>
          <w:rFonts w:hint="eastAsia" w:ascii="仿宋_GB2312" w:eastAsia="仿宋_GB2312" w:cs="仿宋_GB2312"/>
          <w:bCs/>
          <w:kern w:val="0"/>
          <w:sz w:val="32"/>
          <w:szCs w:val="32"/>
          <w:lang w:eastAsia="zh-CN"/>
        </w:rPr>
        <w:t>乡村振兴办工作经费</w:t>
      </w:r>
      <w:r>
        <w:rPr>
          <w:rFonts w:hint="eastAsia" w:ascii="仿宋_GB2312" w:eastAsia="仿宋_GB2312" w:cs="仿宋_GB2312"/>
          <w:bCs/>
          <w:kern w:val="0"/>
          <w:sz w:val="32"/>
          <w:szCs w:val="32"/>
        </w:rPr>
        <w:t>；二是部分支出按规定，通过使用以前年度财政拨款结转资金解决。其中：</w:t>
      </w:r>
    </w:p>
    <w:p>
      <w:pPr>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1.城乡社区支出（类）国有土地使用权出让收入安排的支出（款）农村基础设施建设支出（项）。年初预算为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万元，支出决算为9.76万元。决算数大于预算数的主要原因是</w:t>
      </w:r>
      <w:r>
        <w:rPr>
          <w:rFonts w:hint="eastAsia" w:ascii="仿宋_GB2312" w:eastAsia="仿宋_GB2312" w:cs="仿宋_GB2312"/>
          <w:bCs/>
          <w:kern w:val="0"/>
          <w:sz w:val="32"/>
          <w:szCs w:val="32"/>
          <w:lang w:eastAsia="zh-CN"/>
        </w:rPr>
        <w:t>年中财政追加预算，主要是拨入上年结转乡村振兴工作经费。</w:t>
      </w:r>
    </w:p>
    <w:p>
      <w:pPr>
        <w:pageBreakBefore w:val="0"/>
        <w:kinsoku/>
        <w:wordWrap/>
        <w:overflowPunct/>
        <w:topLinePunct w:val="0"/>
        <w:autoSpaceDE w:val="0"/>
        <w:autoSpaceDN w:val="0"/>
        <w:bidi w:val="0"/>
        <w:adjustRightInd w:val="0"/>
        <w:snapToGrid/>
        <w:spacing w:line="560" w:lineRule="exact"/>
        <w:ind w:firstLine="64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.城乡社区支出（类）农业土地开发资金安排的支出（款）农业土地开发资金安排的支出（项）。年初预算为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万元，支出决算为169.01万元。决算数大于预算数的主要原</w:t>
      </w:r>
      <w:r>
        <w:rPr>
          <w:rFonts w:hint="eastAsia" w:ascii="仿宋_GB2312" w:eastAsia="仿宋_GB2312" w:cs="仿宋_GB2312"/>
          <w:bCs/>
          <w:kern w:val="0"/>
          <w:sz w:val="32"/>
          <w:szCs w:val="32"/>
          <w:highlight w:val="none"/>
        </w:rPr>
        <w:t>因</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是</w:t>
      </w:r>
      <w:r>
        <w:rPr>
          <w:rFonts w:hint="eastAsia" w:ascii="仿宋_GB2312" w:eastAsia="仿宋_GB2312" w:cs="仿宋_GB2312"/>
          <w:bCs/>
          <w:kern w:val="0"/>
          <w:sz w:val="32"/>
          <w:szCs w:val="32"/>
          <w:highlight w:val="none"/>
          <w:lang w:eastAsia="zh-CN"/>
        </w:rPr>
        <w:t>使用上年结转结余，二是年中财政追加预算，用于“三江茶”央视宣传项目资金、农田建设管理经费</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hint="eastAsia" w:eastAsia="仿宋_GB2312"/>
          <w:b w:val="0"/>
          <w:bCs/>
          <w:kern w:val="0"/>
          <w:sz w:val="32"/>
          <w:szCs w:val="32"/>
          <w:lang w:eastAsia="zh-CN"/>
        </w:rPr>
      </w:pPr>
      <w:r>
        <w:rPr>
          <w:rFonts w:hint="eastAsia" w:eastAsia="仿宋_GB2312"/>
          <w:b w:val="0"/>
          <w:bCs/>
          <w:kern w:val="0"/>
          <w:sz w:val="32"/>
          <w:szCs w:val="32"/>
          <w:lang w:eastAsia="zh-CN"/>
        </w:rPr>
        <w:t>九、</w:t>
      </w:r>
      <w:r>
        <w:rPr>
          <w:rFonts w:hint="eastAsia" w:ascii="仿宋_GB2312" w:eastAsia="仿宋_GB2312" w:cs="仿宋_GB2312"/>
          <w:b/>
          <w:kern w:val="0"/>
          <w:sz w:val="32"/>
          <w:szCs w:val="32"/>
        </w:rPr>
        <w:t>2020年度国有资本经营预算财政</w:t>
      </w:r>
      <w:r>
        <w:rPr>
          <w:rFonts w:hint="eastAsia" w:ascii="仿宋_GB2312" w:eastAsia="仿宋_GB2312" w:cs="仿宋_GB2312"/>
          <w:b/>
          <w:bCs w:val="0"/>
          <w:kern w:val="0"/>
          <w:sz w:val="32"/>
          <w:szCs w:val="32"/>
        </w:rPr>
        <w:t>拨</w:t>
      </w:r>
      <w:r>
        <w:rPr>
          <w:rFonts w:hint="eastAsia" w:ascii="仿宋_GB2312" w:eastAsia="仿宋_GB2312" w:cs="仿宋_GB2312"/>
          <w:b/>
          <w:kern w:val="0"/>
          <w:sz w:val="32"/>
          <w:szCs w:val="32"/>
        </w:rPr>
        <w:t>款支出决算情况</w:t>
      </w:r>
    </w:p>
    <w:p>
      <w:pPr>
        <w:autoSpaceDE w:val="0"/>
        <w:autoSpaceDN w:val="0"/>
        <w:adjustRightInd w:val="0"/>
        <w:spacing w:line="580" w:lineRule="exact"/>
        <w:jc w:val="left"/>
        <w:rPr>
          <w:rFonts w:hint="eastAsia"/>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部门</w:t>
      </w:r>
      <w:r>
        <w:rPr>
          <w:rFonts w:hint="eastAsia" w:ascii="仿宋_GB2312" w:eastAsia="仿宋_GB2312" w:cs="仿宋_GB2312"/>
          <w:bCs/>
          <w:kern w:val="0"/>
          <w:sz w:val="32"/>
          <w:szCs w:val="32"/>
        </w:rPr>
        <w:t>2020年度无国有资本经营预算财政拨款收、支情况。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
          <w:kern w:val="0"/>
          <w:sz w:val="32"/>
          <w:szCs w:val="32"/>
        </w:rPr>
      </w:pPr>
      <w:r>
        <w:rPr>
          <w:rFonts w:hint="eastAsia" w:eastAsia="仿宋_GB2312"/>
          <w:b w:val="0"/>
          <w:bCs/>
          <w:kern w:val="0"/>
          <w:sz w:val="32"/>
          <w:szCs w:val="32"/>
          <w:lang w:eastAsia="zh-CN"/>
        </w:rPr>
        <w:t>十、</w:t>
      </w:r>
      <w:r>
        <w:rPr>
          <w:rFonts w:hint="eastAsia" w:ascii="仿宋_GB2312" w:eastAsia="仿宋_GB2312" w:cs="仿宋_GB2312"/>
          <w:b/>
          <w:kern w:val="0"/>
          <w:sz w:val="32"/>
          <w:szCs w:val="32"/>
        </w:rPr>
        <w:t>2020年度预算绩效情况说明</w:t>
      </w:r>
    </w:p>
    <w:p>
      <w:pPr>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ascii="仿宋_GB2312" w:hAnsi="宋体" w:eastAsia="仿宋_GB2312" w:cs="仿宋_GB2312"/>
          <w:i w:val="0"/>
          <w:iCs w:val="0"/>
          <w:caps w:val="0"/>
          <w:color w:val="333333"/>
          <w:spacing w:val="0"/>
          <w:sz w:val="32"/>
          <w:szCs w:val="32"/>
          <w:shd w:val="clear" w:fill="FFFFFF"/>
        </w:rPr>
        <w:t>根据财政预算管理要求，我部门组织对</w:t>
      </w:r>
      <w:r>
        <w:rPr>
          <w:rFonts w:hint="eastAsia" w:ascii="仿宋_GB2312" w:hAnsi="宋体" w:eastAsia="仿宋_GB2312" w:cs="仿宋_GB2312"/>
          <w:i w:val="0"/>
          <w:iCs w:val="0"/>
          <w:caps w:val="0"/>
          <w:color w:val="333333"/>
          <w:spacing w:val="0"/>
          <w:sz w:val="32"/>
          <w:szCs w:val="32"/>
          <w:shd w:val="clear" w:fill="FFFFFF"/>
        </w:rPr>
        <w:t>20</w:t>
      </w:r>
      <w:r>
        <w:rPr>
          <w:rFonts w:hint="eastAsia" w:ascii="仿宋_GB2312" w:hAnsi="宋体" w:eastAsia="仿宋_GB2312" w:cs="仿宋_GB2312"/>
          <w:i w:val="0"/>
          <w:iCs w:val="0"/>
          <w:caps w:val="0"/>
          <w:color w:val="333333"/>
          <w:spacing w:val="0"/>
          <w:sz w:val="32"/>
          <w:szCs w:val="32"/>
          <w:shd w:val="clear" w:fill="FFFFFF"/>
          <w:lang w:val="en-US" w:eastAsia="zh-CN"/>
        </w:rPr>
        <w:t>20</w:t>
      </w:r>
      <w:r>
        <w:rPr>
          <w:rFonts w:hint="eastAsia" w:ascii="仿宋_GB2312" w:hAnsi="宋体" w:eastAsia="仿宋_GB2312" w:cs="仿宋_GB2312"/>
          <w:i w:val="0"/>
          <w:iCs w:val="0"/>
          <w:caps w:val="0"/>
          <w:color w:val="333333"/>
          <w:spacing w:val="0"/>
          <w:sz w:val="32"/>
          <w:szCs w:val="32"/>
          <w:shd w:val="clear" w:fill="FFFFFF"/>
        </w:rPr>
        <w:t>年度一般公共预算整体支出和项目支出全面开展绩效自评。涉及项目</w:t>
      </w:r>
      <w:r>
        <w:rPr>
          <w:rFonts w:hint="eastAsia" w:ascii="仿宋_GB2312" w:hAnsi="宋体" w:eastAsia="仿宋_GB2312" w:cs="仿宋_GB2312"/>
          <w:i w:val="0"/>
          <w:iCs w:val="0"/>
          <w:caps w:val="0"/>
          <w:color w:val="333333"/>
          <w:spacing w:val="0"/>
          <w:sz w:val="32"/>
          <w:szCs w:val="32"/>
          <w:shd w:val="clear" w:fill="FFFFFF"/>
          <w:lang w:val="en-US" w:eastAsia="zh-CN"/>
        </w:rPr>
        <w:t>5</w:t>
      </w:r>
      <w:r>
        <w:rPr>
          <w:rFonts w:hint="eastAsia" w:ascii="仿宋_GB2312" w:hAnsi="宋体" w:eastAsia="仿宋_GB2312" w:cs="仿宋_GB2312"/>
          <w:i w:val="0"/>
          <w:iCs w:val="0"/>
          <w:caps w:val="0"/>
          <w:color w:val="333333"/>
          <w:spacing w:val="0"/>
          <w:sz w:val="32"/>
          <w:szCs w:val="32"/>
          <w:shd w:val="clear" w:fill="FFFFFF"/>
        </w:rPr>
        <w:t>个，共涉及预算资金</w:t>
      </w:r>
      <w:r>
        <w:rPr>
          <w:rFonts w:hint="eastAsia" w:ascii="仿宋_GB2312" w:hAnsi="宋体" w:eastAsia="仿宋_GB2312" w:cs="仿宋_GB2312"/>
          <w:i w:val="0"/>
          <w:iCs w:val="0"/>
          <w:caps w:val="0"/>
          <w:color w:val="333333"/>
          <w:spacing w:val="0"/>
          <w:sz w:val="32"/>
          <w:szCs w:val="32"/>
          <w:shd w:val="clear" w:fill="FFFFFF"/>
          <w:lang w:val="en-US" w:eastAsia="zh-CN"/>
        </w:rPr>
        <w:t>5633.87</w:t>
      </w:r>
      <w:r>
        <w:rPr>
          <w:rFonts w:hint="eastAsia" w:ascii="仿宋_GB2312" w:hAnsi="宋体" w:eastAsia="仿宋_GB2312" w:cs="仿宋_GB2312"/>
          <w:i w:val="0"/>
          <w:iCs w:val="0"/>
          <w:caps w:val="0"/>
          <w:color w:val="333333"/>
          <w:spacing w:val="0"/>
          <w:sz w:val="32"/>
          <w:szCs w:val="32"/>
          <w:shd w:val="clear" w:fill="FFFFFF"/>
        </w:rPr>
        <w:t>万元，自评覆盖率达到100%。</w:t>
      </w:r>
    </w:p>
    <w:p>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二</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部门决算中项目绩效自评结果。</w:t>
      </w:r>
    </w:p>
    <w:p>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我局2020年整体支出绩效目标基本完成，各项目实施情况良好，数量、质量等指标达到预期要求，项目经济效益、社会效益、生态效益基本实现，服务对象对项目实施的满意度较高，通过绩效目标自评，我局整体支出绩效自评总分为96.72分。</w:t>
      </w:r>
    </w:p>
    <w:p>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val="en-US"/>
        </w:rPr>
      </w:pPr>
      <w:r>
        <w:rPr>
          <w:rFonts w:hint="eastAsia" w:ascii="仿宋_GB2312" w:eastAsia="仿宋_GB2312" w:cs="仿宋_GB2312"/>
          <w:bCs/>
          <w:kern w:val="0"/>
          <w:sz w:val="32"/>
          <w:szCs w:val="32"/>
          <w:lang w:eastAsia="zh-CN"/>
        </w:rPr>
        <w:t>绩效开展发现的一些问题及对策：</w:t>
      </w:r>
      <w:r>
        <w:rPr>
          <w:rFonts w:hint="eastAsia" w:ascii="仿宋_GB2312" w:eastAsia="仿宋_GB2312" w:cs="仿宋_GB2312"/>
          <w:bCs/>
          <w:kern w:val="0"/>
          <w:sz w:val="32"/>
          <w:szCs w:val="32"/>
          <w:lang w:val="en-US" w:eastAsia="zh-CN"/>
        </w:rPr>
        <w:t>1.很多农业项目都是采取先建后补的补助方式，项目承担单位完成项目建设内容、相关部门组织验收、财务部门审验原始凭证等，都需要一定的周期，某一个环节未能按时完成，都影响到资金的及时支出。2.农业项目本身有其延续性和特殊性，有些需要跨年实施，有些受天气、土地流转、农民生产意愿等因素影响较大，会造成一些项目无法实施或需要调整，那么原先设置的绩效目标也需要随之调整甚至无法实施。3.针对项目进度慢和资金支出不及时问题，我单位今后将进一步加强项目的前期调研，确保下达项目能够顺利启动、实施，同时密切项目管理业务科室与项目承担单位、项目管理科室与财务管理科室的联系，保障项目的推进和资金及时支出。</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 w:val="0"/>
          <w:bCs/>
          <w:kern w:val="0"/>
          <w:sz w:val="32"/>
          <w:szCs w:val="32"/>
        </w:rPr>
        <w:t>十</w:t>
      </w:r>
      <w:r>
        <w:rPr>
          <w:rFonts w:hint="eastAsia" w:ascii="仿宋_GB2312" w:eastAsia="仿宋_GB2312" w:cs="仿宋_GB2312"/>
          <w:b w:val="0"/>
          <w:bCs/>
          <w:kern w:val="0"/>
          <w:sz w:val="32"/>
          <w:szCs w:val="32"/>
          <w:lang w:eastAsia="zh-CN"/>
        </w:rPr>
        <w:t>一</w:t>
      </w:r>
      <w:r>
        <w:rPr>
          <w:rFonts w:hint="eastAsia" w:ascii="仿宋_GB2312" w:eastAsia="仿宋_GB2312" w:cs="仿宋_GB2312"/>
          <w:b w:val="0"/>
          <w:bCs/>
          <w:kern w:val="0"/>
          <w:sz w:val="32"/>
          <w:szCs w:val="32"/>
        </w:rPr>
        <w:t>、</w:t>
      </w:r>
      <w:r>
        <w:rPr>
          <w:rFonts w:hint="eastAsia" w:ascii="仿宋_GB2312" w:eastAsia="仿宋_GB2312" w:cs="仿宋_GB2312"/>
          <w:b/>
          <w:kern w:val="0"/>
          <w:sz w:val="32"/>
          <w:szCs w:val="32"/>
        </w:rPr>
        <w:t>其他重要事项的情况</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（一）机关运行经费支出情况。2020年度部门机关运行经费支出872.55万元，比2019年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2.65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0.3</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较少原因是人员变动导致机关运行经费支出减少，另外秉着经济节约原则，减少经费开支。</w:t>
      </w:r>
    </w:p>
    <w:p>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522.92</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133.82</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134.57</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254.53</w:t>
      </w:r>
      <w:r>
        <w:rPr>
          <w:rFonts w:hint="eastAsia" w:ascii="仿宋_GB2312" w:eastAsia="仿宋_GB2312" w:cs="仿宋_GB2312"/>
          <w:kern w:val="0"/>
          <w:sz w:val="32"/>
          <w:szCs w:val="32"/>
        </w:rPr>
        <w:t>万元。</w:t>
      </w:r>
    </w:p>
    <w:p>
      <w:pPr>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 </w:t>
      </w:r>
    </w:p>
    <w:p>
      <w:pPr>
        <w:pageBreakBefore w:val="0"/>
        <w:kinsoku/>
        <w:wordWrap/>
        <w:overflowPunct/>
        <w:topLinePunct w:val="0"/>
        <w:bidi w:val="0"/>
        <w:snapToGrid/>
        <w:spacing w:line="560" w:lineRule="exact"/>
        <w:ind w:firstLine="645"/>
        <w:textAlignment w:val="auto"/>
        <w:rPr>
          <w:rFonts w:ascii="仿宋_GB2312" w:eastAsia="仿宋_GB2312"/>
          <w:b/>
          <w:sz w:val="32"/>
          <w:szCs w:val="32"/>
        </w:rPr>
      </w:pPr>
      <w:r>
        <w:rPr>
          <w:rFonts w:hint="eastAsia" w:ascii="仿宋_GB2312" w:eastAsia="仿宋_GB2312"/>
          <w:b/>
          <w:sz w:val="32"/>
          <w:szCs w:val="32"/>
        </w:rPr>
        <w:t>第四部分：名词解释</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ageBreakBefore w:val="0"/>
        <w:numPr>
          <w:ilvl w:val="0"/>
          <w:numId w:val="2"/>
        </w:numPr>
        <w:kinsoku/>
        <w:wordWrap/>
        <w:overflowPunct/>
        <w:topLinePunct w:val="0"/>
        <w:bidi w:val="0"/>
        <w:snapToGrid/>
        <w:spacing w:line="560" w:lineRule="exact"/>
        <w:ind w:firstLine="645"/>
        <w:textAlignment w:val="auto"/>
        <w:rPr>
          <w:rFonts w:ascii="仿宋_GB2312" w:eastAsia="仿宋_GB2312" w:cs="仿宋_GB2312"/>
          <w:kern w:val="0"/>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535C65"/>
    <w:rsid w:val="005E1A28"/>
    <w:rsid w:val="005E3BBE"/>
    <w:rsid w:val="006C1367"/>
    <w:rsid w:val="00715385"/>
    <w:rsid w:val="00F66C5B"/>
    <w:rsid w:val="010849A1"/>
    <w:rsid w:val="021578E3"/>
    <w:rsid w:val="028462BE"/>
    <w:rsid w:val="02E40CFA"/>
    <w:rsid w:val="03FF6A8E"/>
    <w:rsid w:val="05100BAD"/>
    <w:rsid w:val="05404751"/>
    <w:rsid w:val="054913D0"/>
    <w:rsid w:val="062F05CA"/>
    <w:rsid w:val="063B6F3E"/>
    <w:rsid w:val="065B5323"/>
    <w:rsid w:val="072741BE"/>
    <w:rsid w:val="076F2E96"/>
    <w:rsid w:val="07E86582"/>
    <w:rsid w:val="095C720A"/>
    <w:rsid w:val="09C701A8"/>
    <w:rsid w:val="09E92A43"/>
    <w:rsid w:val="0B6D12F7"/>
    <w:rsid w:val="0B916B7E"/>
    <w:rsid w:val="0C626975"/>
    <w:rsid w:val="0D3861F6"/>
    <w:rsid w:val="0D7D139C"/>
    <w:rsid w:val="0E623C3E"/>
    <w:rsid w:val="0E740C2E"/>
    <w:rsid w:val="0EFF02E0"/>
    <w:rsid w:val="0F03757E"/>
    <w:rsid w:val="0F5C1601"/>
    <w:rsid w:val="1057147D"/>
    <w:rsid w:val="10584508"/>
    <w:rsid w:val="10933BB7"/>
    <w:rsid w:val="11E3390E"/>
    <w:rsid w:val="124204B5"/>
    <w:rsid w:val="13DA328E"/>
    <w:rsid w:val="13FB59E1"/>
    <w:rsid w:val="14894FFE"/>
    <w:rsid w:val="14F12281"/>
    <w:rsid w:val="16806232"/>
    <w:rsid w:val="16906115"/>
    <w:rsid w:val="16A4415F"/>
    <w:rsid w:val="18D914E4"/>
    <w:rsid w:val="198E7530"/>
    <w:rsid w:val="19ED1160"/>
    <w:rsid w:val="1A442B00"/>
    <w:rsid w:val="1A98258F"/>
    <w:rsid w:val="1C8B0139"/>
    <w:rsid w:val="1D9F2635"/>
    <w:rsid w:val="1DDD1628"/>
    <w:rsid w:val="1E5D01F7"/>
    <w:rsid w:val="1E633796"/>
    <w:rsid w:val="1E8A3894"/>
    <w:rsid w:val="1EE56E50"/>
    <w:rsid w:val="1F4F5419"/>
    <w:rsid w:val="1F7823B8"/>
    <w:rsid w:val="1F9C0A69"/>
    <w:rsid w:val="202B0A62"/>
    <w:rsid w:val="229B2EB4"/>
    <w:rsid w:val="24520338"/>
    <w:rsid w:val="246E0D86"/>
    <w:rsid w:val="24AB5818"/>
    <w:rsid w:val="253906CF"/>
    <w:rsid w:val="255D69AC"/>
    <w:rsid w:val="26460DBA"/>
    <w:rsid w:val="268F4050"/>
    <w:rsid w:val="283429AB"/>
    <w:rsid w:val="28354D7B"/>
    <w:rsid w:val="2894140E"/>
    <w:rsid w:val="29F46D0F"/>
    <w:rsid w:val="2A003DA8"/>
    <w:rsid w:val="2A483B0D"/>
    <w:rsid w:val="2A7A0ED0"/>
    <w:rsid w:val="2B1D097A"/>
    <w:rsid w:val="2B6F74EB"/>
    <w:rsid w:val="2C4219FE"/>
    <w:rsid w:val="2D222C0B"/>
    <w:rsid w:val="2D772FA9"/>
    <w:rsid w:val="2DCF08BC"/>
    <w:rsid w:val="2DFB349D"/>
    <w:rsid w:val="2EEC5F38"/>
    <w:rsid w:val="2FC47E04"/>
    <w:rsid w:val="303E578A"/>
    <w:rsid w:val="30E007AC"/>
    <w:rsid w:val="31027DCA"/>
    <w:rsid w:val="32274D68"/>
    <w:rsid w:val="32632CDF"/>
    <w:rsid w:val="32A57845"/>
    <w:rsid w:val="32BA5C25"/>
    <w:rsid w:val="32D14497"/>
    <w:rsid w:val="332D6DD0"/>
    <w:rsid w:val="33A00C53"/>
    <w:rsid w:val="34020F86"/>
    <w:rsid w:val="341B3A4C"/>
    <w:rsid w:val="343A3A53"/>
    <w:rsid w:val="34C4369D"/>
    <w:rsid w:val="35017E60"/>
    <w:rsid w:val="355D1FA4"/>
    <w:rsid w:val="36D8302E"/>
    <w:rsid w:val="37663D65"/>
    <w:rsid w:val="37A42F00"/>
    <w:rsid w:val="380A4CED"/>
    <w:rsid w:val="384362E0"/>
    <w:rsid w:val="39A63F06"/>
    <w:rsid w:val="39D2651B"/>
    <w:rsid w:val="3A7F5F88"/>
    <w:rsid w:val="3B554C28"/>
    <w:rsid w:val="3B8F4707"/>
    <w:rsid w:val="3C694646"/>
    <w:rsid w:val="3C7936E4"/>
    <w:rsid w:val="3C926813"/>
    <w:rsid w:val="3D7175E7"/>
    <w:rsid w:val="3D93016F"/>
    <w:rsid w:val="3E5C390C"/>
    <w:rsid w:val="3E7C3587"/>
    <w:rsid w:val="3E85783B"/>
    <w:rsid w:val="3ED1439F"/>
    <w:rsid w:val="3F145F06"/>
    <w:rsid w:val="3FB32D9C"/>
    <w:rsid w:val="3FDD1522"/>
    <w:rsid w:val="40253247"/>
    <w:rsid w:val="403631D5"/>
    <w:rsid w:val="405A763D"/>
    <w:rsid w:val="40A218DB"/>
    <w:rsid w:val="412F0593"/>
    <w:rsid w:val="415E41D9"/>
    <w:rsid w:val="41C95F2B"/>
    <w:rsid w:val="421A7697"/>
    <w:rsid w:val="42873F56"/>
    <w:rsid w:val="42932B59"/>
    <w:rsid w:val="42DD4301"/>
    <w:rsid w:val="42E448E2"/>
    <w:rsid w:val="43E3462D"/>
    <w:rsid w:val="449D7CD3"/>
    <w:rsid w:val="44E709E1"/>
    <w:rsid w:val="45A65B3F"/>
    <w:rsid w:val="45B4567D"/>
    <w:rsid w:val="461C01E8"/>
    <w:rsid w:val="479D706C"/>
    <w:rsid w:val="47DF0A10"/>
    <w:rsid w:val="482F151D"/>
    <w:rsid w:val="495D5120"/>
    <w:rsid w:val="49D77C51"/>
    <w:rsid w:val="4A756B7C"/>
    <w:rsid w:val="4A94117B"/>
    <w:rsid w:val="4A9B5B88"/>
    <w:rsid w:val="4AA86A0F"/>
    <w:rsid w:val="4ADE5C2F"/>
    <w:rsid w:val="4AE8366C"/>
    <w:rsid w:val="4B7A7DDA"/>
    <w:rsid w:val="4BA42943"/>
    <w:rsid w:val="4C256E3D"/>
    <w:rsid w:val="4C4E5AE2"/>
    <w:rsid w:val="4CB52F0F"/>
    <w:rsid w:val="4D410BB1"/>
    <w:rsid w:val="4EC8794F"/>
    <w:rsid w:val="4FB408B4"/>
    <w:rsid w:val="4FB42957"/>
    <w:rsid w:val="502D1578"/>
    <w:rsid w:val="50A72E57"/>
    <w:rsid w:val="5176116B"/>
    <w:rsid w:val="51870C49"/>
    <w:rsid w:val="51FF4FAA"/>
    <w:rsid w:val="52072F30"/>
    <w:rsid w:val="52083A20"/>
    <w:rsid w:val="53041B90"/>
    <w:rsid w:val="532F1F9A"/>
    <w:rsid w:val="53D834A0"/>
    <w:rsid w:val="54DC2D4F"/>
    <w:rsid w:val="54F12769"/>
    <w:rsid w:val="55DF344B"/>
    <w:rsid w:val="56335CB8"/>
    <w:rsid w:val="56570982"/>
    <w:rsid w:val="56916899"/>
    <w:rsid w:val="56C079C8"/>
    <w:rsid w:val="577A13E8"/>
    <w:rsid w:val="577C5F5A"/>
    <w:rsid w:val="57F03256"/>
    <w:rsid w:val="58552230"/>
    <w:rsid w:val="58A719DF"/>
    <w:rsid w:val="58E853A6"/>
    <w:rsid w:val="59D11973"/>
    <w:rsid w:val="5A227786"/>
    <w:rsid w:val="5A695722"/>
    <w:rsid w:val="5AC50E2D"/>
    <w:rsid w:val="5AE25016"/>
    <w:rsid w:val="5B0975E6"/>
    <w:rsid w:val="5B666799"/>
    <w:rsid w:val="5C541A21"/>
    <w:rsid w:val="5D6E383F"/>
    <w:rsid w:val="5E995A3E"/>
    <w:rsid w:val="5EF47910"/>
    <w:rsid w:val="5FB9450B"/>
    <w:rsid w:val="5FCE60BD"/>
    <w:rsid w:val="60665541"/>
    <w:rsid w:val="610908DA"/>
    <w:rsid w:val="62163194"/>
    <w:rsid w:val="622D0D13"/>
    <w:rsid w:val="624D024D"/>
    <w:rsid w:val="631E582C"/>
    <w:rsid w:val="63522EBB"/>
    <w:rsid w:val="650E086A"/>
    <w:rsid w:val="65402AF2"/>
    <w:rsid w:val="658049B5"/>
    <w:rsid w:val="658F24B2"/>
    <w:rsid w:val="659B62DD"/>
    <w:rsid w:val="65CE0A7C"/>
    <w:rsid w:val="66D63E42"/>
    <w:rsid w:val="67A43C5C"/>
    <w:rsid w:val="68B3174B"/>
    <w:rsid w:val="68F741DA"/>
    <w:rsid w:val="69A111AC"/>
    <w:rsid w:val="6A356076"/>
    <w:rsid w:val="6A735CF4"/>
    <w:rsid w:val="6ACD1B6A"/>
    <w:rsid w:val="6B2F7F0D"/>
    <w:rsid w:val="6B341751"/>
    <w:rsid w:val="6BAA0708"/>
    <w:rsid w:val="6CAD7FF0"/>
    <w:rsid w:val="6D7808BD"/>
    <w:rsid w:val="6DAB2E6B"/>
    <w:rsid w:val="6DD13B34"/>
    <w:rsid w:val="6DDA6034"/>
    <w:rsid w:val="6DF00F24"/>
    <w:rsid w:val="6E1B7675"/>
    <w:rsid w:val="6E2B4B6F"/>
    <w:rsid w:val="6E7307BC"/>
    <w:rsid w:val="7039087A"/>
    <w:rsid w:val="71056F32"/>
    <w:rsid w:val="71522965"/>
    <w:rsid w:val="71832BF5"/>
    <w:rsid w:val="73E17DE6"/>
    <w:rsid w:val="74543424"/>
    <w:rsid w:val="75352119"/>
    <w:rsid w:val="75BC08F9"/>
    <w:rsid w:val="75EE2598"/>
    <w:rsid w:val="77083AF2"/>
    <w:rsid w:val="773004D7"/>
    <w:rsid w:val="77630EF7"/>
    <w:rsid w:val="77E86479"/>
    <w:rsid w:val="79934230"/>
    <w:rsid w:val="7995776C"/>
    <w:rsid w:val="7A9D47FB"/>
    <w:rsid w:val="7B505B1D"/>
    <w:rsid w:val="7CEE7BBD"/>
    <w:rsid w:val="7D656077"/>
    <w:rsid w:val="7D946C5F"/>
    <w:rsid w:val="7F835768"/>
    <w:rsid w:val="7FDB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10401</Words>
  <Characters>11394</Characters>
  <Lines>60</Lines>
  <Paragraphs>17</Paragraphs>
  <TotalTime>2</TotalTime>
  <ScaleCrop>false</ScaleCrop>
  <LinksUpToDate>false</LinksUpToDate>
  <CharactersWithSpaces>11506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2022-10-13T07:08:45Z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93DA77A4EF454AF7B9BD7D1BFD9C9FA9</vt:lpwstr>
  </property>
</Properties>
</file>