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rPr>
        <w:t>柳州市社会科学研究所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概况</w:t>
      </w:r>
    </w:p>
    <w:p>
      <w:pPr>
        <w:widowControl/>
        <w:shd w:val="clear" w:color="auto" w:fill="FFFFFF"/>
        <w:ind w:firstLine="645"/>
        <w:jc w:val="left"/>
        <w:rPr>
          <w:rFonts w:ascii="寰蒋闆呴粦" w:hAnsi="宋体" w:eastAsia="寰蒋闆呴粦" w:cs="宋体"/>
          <w:color w:val="000000"/>
          <w:kern w:val="0"/>
          <w:sz w:val="18"/>
          <w:szCs w:val="18"/>
        </w:rPr>
      </w:pPr>
      <w:r>
        <w:rPr>
          <w:rFonts w:hint="eastAsia" w:ascii="仿宋_GB2312" w:hAnsi="宋体" w:eastAsia="仿宋_GB2312" w:cs="宋体"/>
          <w:color w:val="000000"/>
          <w:kern w:val="0"/>
          <w:sz w:val="32"/>
          <w:szCs w:val="32"/>
        </w:rPr>
        <w:t>一、主要职能</w:t>
      </w:r>
    </w:p>
    <w:p>
      <w:pPr>
        <w:widowControl/>
        <w:shd w:val="clear" w:color="auto" w:fill="FFFFFF"/>
        <w:spacing w:line="600" w:lineRule="atLeast"/>
        <w:ind w:firstLine="645"/>
        <w:jc w:val="left"/>
        <w:rPr>
          <w:rFonts w:ascii="寰蒋闆呴粦" w:hAnsi="宋体" w:eastAsia="寰蒋闆呴粦" w:cs="宋体"/>
          <w:color w:val="000000"/>
          <w:kern w:val="0"/>
          <w:sz w:val="18"/>
          <w:szCs w:val="18"/>
        </w:rPr>
      </w:pPr>
      <w:r>
        <w:rPr>
          <w:rFonts w:hint="eastAsia" w:ascii="仿宋_GB2312" w:hAnsi="宋体" w:eastAsia="仿宋_GB2312" w:cs="宋体"/>
          <w:color w:val="000000"/>
          <w:kern w:val="0"/>
          <w:sz w:val="32"/>
          <w:szCs w:val="32"/>
        </w:rPr>
        <w:t>紧贴</w:t>
      </w:r>
      <w:r>
        <w:rPr>
          <w:rFonts w:hint="eastAsia" w:ascii="仿宋_GB2312" w:hAnsi="宋体" w:eastAsia="仿宋_GB2312" w:cs="宋体"/>
          <w:color w:val="000000"/>
          <w:kern w:val="0"/>
          <w:sz w:val="32"/>
          <w:szCs w:val="32"/>
          <w:lang w:val="en-US" w:eastAsia="zh-CN"/>
        </w:rPr>
        <w:t>党的</w:t>
      </w:r>
      <w:bookmarkStart w:id="0" w:name="_GoBack"/>
      <w:bookmarkEnd w:id="0"/>
      <w:r>
        <w:rPr>
          <w:rFonts w:hint="eastAsia" w:ascii="仿宋_GB2312" w:hAnsi="宋体" w:eastAsia="仿宋_GB2312" w:cs="宋体"/>
          <w:color w:val="000000"/>
          <w:kern w:val="0"/>
          <w:sz w:val="32"/>
          <w:szCs w:val="32"/>
        </w:rPr>
        <w:t>十九大精神和自治区党委政府及柳州市党委政府的中心工作开展前瞻性应用对策研究，科学筛选做好社科课题选题立项方案和工作实施方案，认真组织做好20</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年度社科资助研究课题的组织规划、评审、结题工作。</w:t>
      </w:r>
    </w:p>
    <w:p>
      <w:pPr>
        <w:widowControl/>
        <w:shd w:val="clear" w:color="auto" w:fill="FFFFFF"/>
        <w:ind w:firstLine="645"/>
        <w:jc w:val="left"/>
        <w:rPr>
          <w:rFonts w:ascii="寰蒋闆呴粦" w:hAnsi="宋体" w:eastAsia="寰蒋闆呴粦" w:cs="宋体"/>
          <w:color w:val="000000"/>
          <w:kern w:val="0"/>
          <w:sz w:val="18"/>
          <w:szCs w:val="18"/>
        </w:rPr>
      </w:pPr>
      <w:r>
        <w:rPr>
          <w:rFonts w:hint="eastAsia" w:ascii="仿宋_GB2312" w:hAnsi="宋体" w:eastAsia="仿宋_GB2312" w:cs="宋体"/>
          <w:color w:val="000000"/>
          <w:kern w:val="0"/>
          <w:sz w:val="32"/>
          <w:szCs w:val="32"/>
        </w:rPr>
        <w:t>二、部门决算单位构成</w:t>
      </w:r>
    </w:p>
    <w:tbl>
      <w:tblPr>
        <w:tblStyle w:val="6"/>
        <w:tblW w:w="9060" w:type="dxa"/>
        <w:tblCellSpacing w:w="0" w:type="dxa"/>
        <w:tblInd w:w="0" w:type="dxa"/>
        <w:tblLayout w:type="autofit"/>
        <w:tblCellMar>
          <w:top w:w="0" w:type="dxa"/>
          <w:left w:w="0" w:type="dxa"/>
          <w:bottom w:w="0" w:type="dxa"/>
          <w:right w:w="0" w:type="dxa"/>
        </w:tblCellMar>
      </w:tblPr>
      <w:tblGrid>
        <w:gridCol w:w="2053"/>
        <w:gridCol w:w="893"/>
        <w:gridCol w:w="1035"/>
        <w:gridCol w:w="784"/>
        <w:gridCol w:w="1035"/>
        <w:gridCol w:w="893"/>
        <w:gridCol w:w="893"/>
        <w:gridCol w:w="737"/>
        <w:gridCol w:w="737"/>
      </w:tblGrid>
      <w:tr>
        <w:tblPrEx>
          <w:tblCellMar>
            <w:top w:w="0" w:type="dxa"/>
            <w:left w:w="0" w:type="dxa"/>
            <w:bottom w:w="0" w:type="dxa"/>
            <w:right w:w="0" w:type="dxa"/>
          </w:tblCellMar>
        </w:tblPrEx>
        <w:trPr>
          <w:trHeight w:val="1815" w:hRule="atLeast"/>
          <w:tblCellSpacing w:w="0" w:type="dxa"/>
        </w:trPr>
        <w:tc>
          <w:tcPr>
            <w:tcW w:w="196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单位</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名称</w:t>
            </w:r>
          </w:p>
        </w:tc>
        <w:tc>
          <w:tcPr>
            <w:tcW w:w="855" w:type="dxa"/>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单位</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 性质</w:t>
            </w:r>
          </w:p>
        </w:tc>
        <w:tc>
          <w:tcPr>
            <w:tcW w:w="990" w:type="dxa"/>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编制</w:t>
            </w:r>
          </w:p>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人数</w:t>
            </w:r>
          </w:p>
        </w:tc>
        <w:tc>
          <w:tcPr>
            <w:tcW w:w="750" w:type="dxa"/>
            <w:tcBorders>
              <w:top w:val="single" w:color="auto" w:sz="6" w:space="0"/>
              <w:left w:val="single" w:color="000000"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实有在职人数</w:t>
            </w:r>
          </w:p>
        </w:tc>
        <w:tc>
          <w:tcPr>
            <w:tcW w:w="990" w:type="dxa"/>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离休</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人数</w:t>
            </w:r>
          </w:p>
        </w:tc>
        <w:tc>
          <w:tcPr>
            <w:tcW w:w="855" w:type="dxa"/>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退休</w:t>
            </w:r>
          </w:p>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人数</w:t>
            </w:r>
          </w:p>
        </w:tc>
        <w:tc>
          <w:tcPr>
            <w:tcW w:w="855" w:type="dxa"/>
            <w:tcBorders>
              <w:top w:val="single" w:color="auto" w:sz="6" w:space="0"/>
              <w:left w:val="single" w:color="000000" w:sz="6" w:space="0"/>
              <w:bottom w:val="single" w:color="auto" w:sz="6" w:space="0"/>
              <w:right w:val="single" w:color="auto" w:sz="6" w:space="0"/>
            </w:tcBorders>
            <w:shd w:val="clear" w:color="auto" w:fill="auto"/>
            <w:tcMar>
              <w:top w:w="0"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聘用</w:t>
            </w:r>
          </w:p>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人数</w:t>
            </w:r>
          </w:p>
        </w:tc>
        <w:tc>
          <w:tcPr>
            <w:tcW w:w="705" w:type="dxa"/>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学生人数</w:t>
            </w:r>
          </w:p>
        </w:tc>
        <w:tc>
          <w:tcPr>
            <w:tcW w:w="705" w:type="dxa"/>
            <w:tcBorders>
              <w:top w:val="single" w:color="auto" w:sz="6" w:space="0"/>
              <w:left w:val="single" w:color="000000"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spacing w:line="600" w:lineRule="atLeast"/>
              <w:jc w:val="left"/>
              <w:rPr>
                <w:rFonts w:ascii="宋体" w:hAnsi="宋体" w:cs="宋体"/>
                <w:kern w:val="0"/>
                <w:sz w:val="24"/>
              </w:rPr>
            </w:pPr>
            <w:r>
              <w:rPr>
                <w:rFonts w:hint="eastAsia" w:ascii="仿宋_GB2312" w:hAnsi="宋体" w:eastAsia="仿宋_GB2312" w:cs="宋体"/>
                <w:kern w:val="0"/>
                <w:sz w:val="32"/>
                <w:szCs w:val="32"/>
              </w:rPr>
              <w:t>保留车辆数</w:t>
            </w:r>
          </w:p>
        </w:tc>
      </w:tr>
      <w:tr>
        <w:tblPrEx>
          <w:tblCellMar>
            <w:top w:w="0" w:type="dxa"/>
            <w:left w:w="0" w:type="dxa"/>
            <w:bottom w:w="0" w:type="dxa"/>
            <w:right w:w="0" w:type="dxa"/>
          </w:tblCellMar>
        </w:tblPrEx>
        <w:trPr>
          <w:trHeight w:val="225" w:hRule="atLeast"/>
          <w:tblCellSpacing w:w="0" w:type="dxa"/>
        </w:trPr>
        <w:tc>
          <w:tcPr>
            <w:tcW w:w="1965" w:type="dxa"/>
            <w:tcBorders>
              <w:top w:val="single" w:color="000000" w:sz="6" w:space="0"/>
              <w:left w:val="single" w:color="auto"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spacing w:line="600" w:lineRule="atLeast"/>
              <w:ind w:firstLine="105"/>
              <w:jc w:val="center"/>
              <w:rPr>
                <w:rFonts w:ascii="宋体" w:hAnsi="宋体" w:cs="宋体"/>
                <w:kern w:val="0"/>
                <w:sz w:val="24"/>
              </w:rPr>
            </w:pPr>
            <w:r>
              <w:rPr>
                <w:rFonts w:hint="eastAsia" w:ascii="仿宋_GB2312" w:hAnsi="宋体" w:eastAsia="仿宋_GB2312" w:cs="宋体"/>
                <w:kern w:val="0"/>
                <w:sz w:val="32"/>
                <w:szCs w:val="32"/>
              </w:rPr>
              <w:t>合计</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990"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750" w:type="dxa"/>
            <w:tcBorders>
              <w:top w:val="single" w:color="000000" w:sz="6" w:space="0"/>
              <w:left w:val="single" w:color="000000" w:sz="6" w:space="0"/>
              <w:bottom w:val="single" w:color="auto" w:sz="6" w:space="0"/>
              <w:right w:val="single" w:color="auto" w:sz="6" w:space="0"/>
            </w:tcBorders>
            <w:shd w:val="clear" w:color="auto" w:fill="auto"/>
            <w:tcMar>
              <w:top w:w="15" w:type="dxa"/>
              <w:left w:w="30" w:type="dxa"/>
              <w:bottom w:w="0" w:type="dxa"/>
              <w:right w:w="15" w:type="dxa"/>
            </w:tcMar>
          </w:tcPr>
          <w:p>
            <w:pPr>
              <w:widowControl/>
              <w:jc w:val="left"/>
              <w:rPr>
                <w:rFonts w:ascii="宋体" w:hAnsi="宋体" w:cs="宋体"/>
                <w:kern w:val="0"/>
                <w:sz w:val="24"/>
              </w:rPr>
            </w:pPr>
          </w:p>
        </w:tc>
        <w:tc>
          <w:tcPr>
            <w:tcW w:w="990"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rPr>
            </w:pP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4</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5" w:type="dxa"/>
              <w:bottom w:w="0" w:type="dxa"/>
              <w:right w:w="15" w:type="dxa"/>
            </w:tcMar>
            <w:vAlign w:val="center"/>
          </w:tcPr>
          <w:p>
            <w:pPr>
              <w:widowControl/>
              <w:jc w:val="left"/>
              <w:rPr>
                <w:rFonts w:ascii="宋体" w:hAnsi="宋体" w:cs="宋体"/>
                <w:kern w:val="0"/>
                <w:sz w:val="24"/>
              </w:rPr>
            </w:pPr>
          </w:p>
        </w:tc>
        <w:tc>
          <w:tcPr>
            <w:tcW w:w="705"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705" w:type="dxa"/>
            <w:tcBorders>
              <w:top w:val="single" w:color="000000" w:sz="6" w:space="0"/>
              <w:left w:val="single" w:color="000000" w:sz="6" w:space="0"/>
              <w:bottom w:val="single" w:color="auto" w:sz="6" w:space="0"/>
              <w:right w:val="single" w:color="auto" w:sz="6" w:space="0"/>
            </w:tcBorders>
            <w:shd w:val="clear" w:color="auto" w:fill="auto"/>
            <w:tcMar>
              <w:top w:w="15" w:type="dxa"/>
              <w:left w:w="30" w:type="dxa"/>
              <w:bottom w:w="0" w:type="dxa"/>
              <w:right w:w="15" w:type="dxa"/>
            </w:tcMa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5" w:hRule="atLeast"/>
          <w:tblCellSpacing w:w="0" w:type="dxa"/>
        </w:trPr>
        <w:tc>
          <w:tcPr>
            <w:tcW w:w="1965" w:type="dxa"/>
            <w:tcBorders>
              <w:top w:val="single" w:color="000000" w:sz="6" w:space="0"/>
              <w:left w:val="single" w:color="auto"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spacing w:line="600" w:lineRule="atLeast"/>
              <w:ind w:firstLine="105"/>
              <w:jc w:val="center"/>
              <w:rPr>
                <w:rFonts w:ascii="宋体" w:hAnsi="宋体" w:cs="宋体"/>
                <w:kern w:val="0"/>
                <w:sz w:val="24"/>
              </w:rPr>
            </w:pPr>
            <w:r>
              <w:rPr>
                <w:rFonts w:hint="eastAsia" w:ascii="仿宋_GB2312" w:hAnsi="宋体" w:eastAsia="仿宋_GB2312" w:cs="宋体"/>
                <w:kern w:val="0"/>
                <w:sz w:val="32"/>
                <w:szCs w:val="32"/>
              </w:rPr>
              <w:t>柳州市社会科学研究所</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spacing w:line="600" w:lineRule="atLeast"/>
              <w:jc w:val="left"/>
              <w:rPr>
                <w:rFonts w:ascii="宋体" w:hAnsi="宋体" w:cs="宋体"/>
                <w:kern w:val="0"/>
                <w:sz w:val="24"/>
              </w:rPr>
            </w:pPr>
            <w:r>
              <w:rPr>
                <w:rFonts w:hint="eastAsia" w:ascii="仿宋_GB2312" w:hAnsi="宋体" w:eastAsia="仿宋_GB2312" w:cs="宋体"/>
                <w:kern w:val="0"/>
                <w:sz w:val="32"/>
                <w:szCs w:val="32"/>
              </w:rPr>
              <w:t>参公事业</w:t>
            </w:r>
          </w:p>
        </w:tc>
        <w:tc>
          <w:tcPr>
            <w:tcW w:w="990"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750" w:type="dxa"/>
            <w:tcBorders>
              <w:top w:val="single" w:color="000000" w:sz="6" w:space="0"/>
              <w:left w:val="single" w:color="000000" w:sz="6" w:space="0"/>
              <w:bottom w:val="single" w:color="auto" w:sz="6" w:space="0"/>
              <w:right w:val="single" w:color="auto" w:sz="6" w:space="0"/>
            </w:tcBorders>
            <w:shd w:val="clear" w:color="auto" w:fill="auto"/>
            <w:tcMar>
              <w:top w:w="15" w:type="dxa"/>
              <w:left w:w="30" w:type="dxa"/>
              <w:bottom w:w="0" w:type="dxa"/>
              <w:right w:w="15" w:type="dxa"/>
            </w:tcMar>
          </w:tcPr>
          <w:p>
            <w:pPr>
              <w:widowControl/>
              <w:jc w:val="left"/>
              <w:rPr>
                <w:rFonts w:ascii="宋体" w:hAnsi="宋体" w:cs="宋体"/>
                <w:kern w:val="0"/>
                <w:sz w:val="24"/>
              </w:rPr>
            </w:pPr>
          </w:p>
        </w:tc>
        <w:tc>
          <w:tcPr>
            <w:tcW w:w="990"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宋体" w:hAnsi="宋体" w:cs="宋体"/>
                <w:kern w:val="0"/>
                <w:sz w:val="24"/>
              </w:rPr>
            </w:pP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spacing w:line="600" w:lineRule="atLeast"/>
              <w:jc w:val="center"/>
              <w:rPr>
                <w:rFonts w:ascii="宋体" w:hAnsi="宋体" w:cs="宋体"/>
                <w:kern w:val="0"/>
                <w:sz w:val="24"/>
              </w:rPr>
            </w:pPr>
            <w:r>
              <w:rPr>
                <w:rFonts w:hint="eastAsia" w:ascii="仿宋_GB2312" w:hAnsi="宋体" w:eastAsia="仿宋_GB2312" w:cs="宋体"/>
                <w:kern w:val="0"/>
                <w:sz w:val="32"/>
                <w:szCs w:val="32"/>
              </w:rPr>
              <w:t>4</w:t>
            </w:r>
          </w:p>
        </w:tc>
        <w:tc>
          <w:tcPr>
            <w:tcW w:w="855" w:type="dxa"/>
            <w:tcBorders>
              <w:top w:val="single" w:color="000000" w:sz="6" w:space="0"/>
              <w:left w:val="single" w:color="000000" w:sz="6" w:space="0"/>
              <w:bottom w:val="single" w:color="auto" w:sz="6" w:space="0"/>
              <w:right w:val="single" w:color="auto" w:sz="6" w:space="0"/>
            </w:tcBorders>
            <w:shd w:val="clear" w:color="auto" w:fill="auto"/>
            <w:tcMar>
              <w:top w:w="0" w:type="dxa"/>
              <w:left w:w="15" w:type="dxa"/>
              <w:bottom w:w="0" w:type="dxa"/>
              <w:right w:w="15" w:type="dxa"/>
            </w:tcMar>
            <w:vAlign w:val="center"/>
          </w:tcPr>
          <w:p>
            <w:pPr>
              <w:widowControl/>
              <w:jc w:val="left"/>
              <w:rPr>
                <w:rFonts w:ascii="宋体" w:hAnsi="宋体" w:cs="宋体"/>
                <w:kern w:val="0"/>
                <w:sz w:val="24"/>
              </w:rPr>
            </w:pPr>
          </w:p>
        </w:tc>
        <w:tc>
          <w:tcPr>
            <w:tcW w:w="705" w:type="dxa"/>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705" w:type="dxa"/>
            <w:tcBorders>
              <w:top w:val="single" w:color="000000" w:sz="6" w:space="0"/>
              <w:left w:val="single" w:color="000000" w:sz="6" w:space="0"/>
              <w:bottom w:val="single" w:color="auto" w:sz="6" w:space="0"/>
              <w:right w:val="single" w:color="auto" w:sz="6" w:space="0"/>
            </w:tcBorders>
            <w:shd w:val="clear" w:color="auto" w:fill="auto"/>
            <w:tcMar>
              <w:top w:w="15" w:type="dxa"/>
              <w:left w:w="30" w:type="dxa"/>
              <w:bottom w:w="0" w:type="dxa"/>
              <w:right w:w="15" w:type="dxa"/>
            </w:tcMar>
          </w:tcPr>
          <w:p>
            <w:pPr>
              <w:widowControl/>
              <w:jc w:val="left"/>
              <w:rPr>
                <w:rFonts w:ascii="宋体" w:hAnsi="宋体" w:cs="宋体"/>
                <w:kern w:val="0"/>
                <w:sz w:val="24"/>
              </w:rPr>
            </w:pPr>
          </w:p>
        </w:tc>
      </w:tr>
    </w:tbl>
    <w:p>
      <w:pPr>
        <w:jc w:val="center"/>
      </w:pPr>
    </w:p>
    <w:p>
      <w:pPr>
        <w:jc w:val="center"/>
      </w:pPr>
    </w:p>
    <w:p>
      <w:pPr>
        <w:jc w:val="center"/>
      </w:pPr>
    </w:p>
    <w:p>
      <w:pPr>
        <w:jc w:val="center"/>
      </w:pPr>
    </w:p>
    <w:p>
      <w:pPr>
        <w:jc w:val="center"/>
      </w:pPr>
    </w:p>
    <w:p>
      <w:pPr>
        <w:jc w:val="center"/>
      </w:pPr>
    </w:p>
    <w:p>
      <w:pPr>
        <w:jc w:val="center"/>
      </w:pPr>
    </w:p>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 xml:space="preserve"> 2020年部门决算报表</w:t>
      </w:r>
    </w:p>
    <w:p>
      <w:pPr>
        <w:ind w:firstLine="643" w:firstLineChars="200"/>
        <w:rPr>
          <w:rFonts w:ascii="仿宋_GB2312" w:eastAsia="仿宋_GB2312"/>
          <w:b/>
          <w:sz w:val="32"/>
          <w:szCs w:val="32"/>
        </w:rPr>
      </w:pPr>
      <w:r>
        <w:rPr>
          <w:rFonts w:hint="eastAsia" w:ascii="仿宋_GB2312" w:eastAsia="仿宋_GB2312"/>
          <w:b/>
          <w:sz w:val="32"/>
          <w:szCs w:val="32"/>
        </w:rPr>
        <w:t>详见附表。</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柳州市社会科学研究所</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ascii="仿宋_GB2312" w:eastAsia="仿宋_GB2312" w:cs="仿宋_GB2312"/>
          <w:bCs/>
          <w:kern w:val="0"/>
          <w:sz w:val="32"/>
          <w:szCs w:val="32"/>
        </w:rPr>
        <w:t>12.6</w:t>
      </w:r>
      <w:r>
        <w:rPr>
          <w:rFonts w:hint="eastAsia" w:ascii="仿宋_GB2312" w:eastAsia="仿宋_GB2312" w:cs="仿宋_GB2312"/>
          <w:bCs/>
          <w:kern w:val="0"/>
          <w:sz w:val="32"/>
          <w:szCs w:val="32"/>
        </w:rPr>
        <w:t>9万元，支出总计</w:t>
      </w:r>
      <w:r>
        <w:rPr>
          <w:rFonts w:ascii="仿宋_GB2312" w:eastAsia="仿宋_GB2312" w:cs="仿宋_GB2312"/>
          <w:bCs/>
          <w:kern w:val="0"/>
          <w:sz w:val="32"/>
          <w:szCs w:val="32"/>
        </w:rPr>
        <w:t>12.6</w:t>
      </w:r>
      <w:r>
        <w:rPr>
          <w:rFonts w:hint="eastAsia" w:ascii="仿宋_GB2312" w:eastAsia="仿宋_GB2312" w:cs="仿宋_GB2312"/>
          <w:bCs/>
          <w:kern w:val="0"/>
          <w:sz w:val="32"/>
          <w:szCs w:val="32"/>
        </w:rPr>
        <w:t>9万元，与2019年相比，收、支分别减少</w:t>
      </w:r>
      <w:r>
        <w:rPr>
          <w:rFonts w:ascii="仿宋_GB2312" w:eastAsia="仿宋_GB2312" w:cs="仿宋_GB2312"/>
          <w:bCs/>
          <w:kern w:val="0"/>
          <w:sz w:val="32"/>
          <w:szCs w:val="32"/>
        </w:rPr>
        <w:t>12.32</w:t>
      </w:r>
      <w:r>
        <w:rPr>
          <w:rFonts w:hint="eastAsia" w:ascii="仿宋_GB2312" w:eastAsia="仿宋_GB2312" w:cs="仿宋_GB2312"/>
          <w:bCs/>
          <w:kern w:val="0"/>
          <w:sz w:val="32"/>
          <w:szCs w:val="32"/>
        </w:rPr>
        <w:t>万元；分别降低</w:t>
      </w:r>
      <w:r>
        <w:rPr>
          <w:rFonts w:ascii="仿宋_GB2312" w:eastAsia="仿宋_GB2312" w:cs="仿宋_GB2312"/>
          <w:bCs/>
          <w:kern w:val="0"/>
          <w:sz w:val="32"/>
          <w:szCs w:val="32"/>
        </w:rPr>
        <w:t>49.28</w:t>
      </w:r>
      <w:r>
        <w:rPr>
          <w:rFonts w:hint="eastAsia" w:ascii="仿宋_GB2312" w:eastAsia="仿宋_GB2312" w:cs="仿宋_GB2312"/>
          <w:bCs/>
          <w:kern w:val="0"/>
          <w:sz w:val="32"/>
          <w:szCs w:val="32"/>
        </w:rPr>
        <w:t>%。下降的原因是项目经费减少，年末结转结余减少。</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本年收入总计9.09万元 ，其中：一般公共预算财政拨款收入9.09万元；占比</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12.54</w:t>
      </w:r>
      <w:r>
        <w:rPr>
          <w:rFonts w:hint="eastAsia" w:ascii="仿宋_GB2312" w:eastAsia="仿宋_GB2312" w:cs="仿宋_GB2312"/>
          <w:bCs/>
          <w:kern w:val="0"/>
          <w:sz w:val="32"/>
          <w:szCs w:val="32"/>
        </w:rPr>
        <w:t>万元，与2019年相比，减少8.86万元；分别降低41.40%。下降的原因是项目经费支出减少。其中：基本支出</w:t>
      </w:r>
      <w:r>
        <w:rPr>
          <w:rFonts w:ascii="仿宋_GB2312" w:eastAsia="仿宋_GB2312" w:cs="仿宋_GB2312"/>
          <w:bCs/>
          <w:kern w:val="0"/>
          <w:sz w:val="32"/>
          <w:szCs w:val="32"/>
        </w:rPr>
        <w:t>3.54</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28.23</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9</w:t>
      </w:r>
      <w:r>
        <w:rPr>
          <w:rFonts w:hint="eastAsia" w:ascii="仿宋_GB2312" w:eastAsia="仿宋_GB2312" w:cs="仿宋_GB2312"/>
          <w:bCs/>
          <w:kern w:val="0"/>
          <w:sz w:val="32"/>
          <w:szCs w:val="32"/>
        </w:rPr>
        <w:t>万元， 占</w:t>
      </w:r>
      <w:r>
        <w:rPr>
          <w:rFonts w:ascii="仿宋_GB2312" w:eastAsia="仿宋_GB2312" w:cs="仿宋_GB2312"/>
          <w:bCs/>
          <w:kern w:val="0"/>
          <w:sz w:val="32"/>
          <w:szCs w:val="32"/>
        </w:rPr>
        <w:t>71.77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ascii="仿宋_GB2312" w:eastAsia="仿宋_GB2312" w:cs="仿宋_GB2312"/>
          <w:bCs/>
          <w:kern w:val="0"/>
          <w:sz w:val="32"/>
          <w:szCs w:val="32"/>
        </w:rPr>
        <w:t>12.6</w:t>
      </w:r>
      <w:r>
        <w:rPr>
          <w:rFonts w:hint="eastAsia" w:ascii="仿宋_GB2312" w:eastAsia="仿宋_GB2312" w:cs="仿宋_GB2312"/>
          <w:bCs/>
          <w:kern w:val="0"/>
          <w:sz w:val="32"/>
          <w:szCs w:val="32"/>
        </w:rPr>
        <w:t>9万元、</w:t>
      </w:r>
      <w:r>
        <w:rPr>
          <w:rFonts w:ascii="仿宋_GB2312" w:eastAsia="仿宋_GB2312" w:cs="仿宋_GB2312"/>
          <w:bCs/>
          <w:kern w:val="0"/>
          <w:sz w:val="32"/>
          <w:szCs w:val="32"/>
        </w:rPr>
        <w:t>12.6</w:t>
      </w:r>
      <w:r>
        <w:rPr>
          <w:rFonts w:hint="eastAsia" w:ascii="仿宋_GB2312" w:eastAsia="仿宋_GB2312" w:cs="仿宋_GB2312"/>
          <w:bCs/>
          <w:kern w:val="0"/>
          <w:sz w:val="32"/>
          <w:szCs w:val="32"/>
        </w:rPr>
        <w:t>9万元。与 2019 年相比，财政拨款收、支总计各减少</w:t>
      </w:r>
      <w:r>
        <w:rPr>
          <w:rFonts w:ascii="仿宋_GB2312" w:eastAsia="仿宋_GB2312" w:cs="仿宋_GB2312"/>
          <w:bCs/>
          <w:kern w:val="0"/>
          <w:sz w:val="32"/>
          <w:szCs w:val="32"/>
        </w:rPr>
        <w:t>12.32</w:t>
      </w:r>
      <w:r>
        <w:rPr>
          <w:rFonts w:hint="eastAsia" w:ascii="仿宋_GB2312" w:eastAsia="仿宋_GB2312" w:cs="仿宋_GB2312"/>
          <w:bCs/>
          <w:kern w:val="0"/>
          <w:sz w:val="32"/>
          <w:szCs w:val="32"/>
        </w:rPr>
        <w:t>万元；分别降低</w:t>
      </w:r>
      <w:r>
        <w:rPr>
          <w:rFonts w:ascii="仿宋_GB2312" w:eastAsia="仿宋_GB2312" w:cs="仿宋_GB2312"/>
          <w:bCs/>
          <w:kern w:val="0"/>
          <w:sz w:val="32"/>
          <w:szCs w:val="32"/>
        </w:rPr>
        <w:t>49.28</w:t>
      </w:r>
      <w:r>
        <w:rPr>
          <w:rFonts w:hint="eastAsia" w:ascii="仿宋_GB2312" w:eastAsia="仿宋_GB2312" w:cs="仿宋_GB2312"/>
          <w:bCs/>
          <w:kern w:val="0"/>
          <w:sz w:val="32"/>
          <w:szCs w:val="32"/>
        </w:rPr>
        <w:t>%。下降的原因是项目经费减少，年末结转结余减少。</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ascii="仿宋_GB2312" w:eastAsia="仿宋_GB2312" w:cs="仿宋_GB2312"/>
          <w:bCs/>
          <w:kern w:val="0"/>
          <w:sz w:val="32"/>
          <w:szCs w:val="32"/>
        </w:rPr>
        <w:t>12.54</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%。与 2019 年相比，财政拨款支出减少</w:t>
      </w:r>
      <w:r>
        <w:rPr>
          <w:rFonts w:ascii="仿宋_GB2312" w:eastAsia="仿宋_GB2312" w:cs="仿宋_GB2312"/>
          <w:bCs/>
          <w:kern w:val="0"/>
          <w:sz w:val="32"/>
          <w:szCs w:val="32"/>
        </w:rPr>
        <w:t>12.32</w:t>
      </w:r>
      <w:r>
        <w:rPr>
          <w:rFonts w:hint="eastAsia" w:ascii="仿宋_GB2312" w:eastAsia="仿宋_GB2312" w:cs="仿宋_GB2312"/>
          <w:bCs/>
          <w:kern w:val="0"/>
          <w:sz w:val="32"/>
          <w:szCs w:val="32"/>
        </w:rPr>
        <w:t>万元；降低</w:t>
      </w:r>
      <w:r>
        <w:rPr>
          <w:rFonts w:ascii="仿宋_GB2312" w:eastAsia="仿宋_GB2312" w:cs="仿宋_GB2312"/>
          <w:bCs/>
          <w:kern w:val="0"/>
          <w:sz w:val="32"/>
          <w:szCs w:val="32"/>
        </w:rPr>
        <w:t>49.28</w:t>
      </w:r>
      <w:r>
        <w:rPr>
          <w:rFonts w:hint="eastAsia" w:ascii="仿宋_GB2312" w:eastAsia="仿宋_GB2312" w:cs="仿宋_GB2312"/>
          <w:bCs/>
          <w:kern w:val="0"/>
          <w:sz w:val="32"/>
          <w:szCs w:val="32"/>
        </w:rPr>
        <w:t>%。下降的原因是项目经费减少，年末结转结余减少。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ascii="仿宋_GB2312" w:eastAsia="仿宋_GB2312" w:cs="仿宋_GB2312"/>
          <w:bCs/>
          <w:kern w:val="0"/>
          <w:sz w:val="32"/>
          <w:szCs w:val="32"/>
        </w:rPr>
        <w:t>12.54</w:t>
      </w:r>
      <w:r>
        <w:rPr>
          <w:rFonts w:hint="eastAsia" w:ascii="仿宋_GB2312" w:eastAsia="仿宋_GB2312" w:cs="仿宋_GB2312"/>
          <w:bCs/>
          <w:kern w:val="0"/>
          <w:sz w:val="32"/>
          <w:szCs w:val="32"/>
        </w:rPr>
        <w:t>万元，主要用于以下方面：</w:t>
      </w:r>
      <w:r>
        <w:rPr>
          <w:rFonts w:hint="eastAsia" w:ascii="仿宋_GB2312" w:eastAsia="仿宋_GB2312"/>
          <w:color w:val="000000"/>
          <w:sz w:val="32"/>
          <w:szCs w:val="32"/>
          <w:shd w:val="clear" w:color="auto" w:fill="FFFFFF"/>
        </w:rPr>
        <w:t>科学技术（类） 支出</w:t>
      </w:r>
      <w:r>
        <w:rPr>
          <w:rFonts w:ascii="仿宋_GB2312" w:eastAsia="仿宋_GB2312"/>
          <w:color w:val="000000"/>
          <w:sz w:val="32"/>
          <w:szCs w:val="32"/>
          <w:shd w:val="clear" w:color="auto" w:fill="FFFFFF"/>
        </w:rPr>
        <w:t>9.00</w:t>
      </w:r>
      <w:r>
        <w:rPr>
          <w:rFonts w:hint="eastAsia" w:ascii="仿宋_GB2312" w:eastAsia="仿宋_GB2312"/>
          <w:color w:val="000000"/>
          <w:sz w:val="32"/>
          <w:szCs w:val="32"/>
          <w:shd w:val="clear" w:color="auto" w:fill="FFFFFF"/>
        </w:rPr>
        <w:t>万元，占</w:t>
      </w:r>
      <w:r>
        <w:rPr>
          <w:rFonts w:ascii="仿宋_GB2312" w:eastAsia="仿宋_GB2312" w:cs="仿宋_GB2312"/>
          <w:bCs/>
          <w:kern w:val="0"/>
          <w:sz w:val="32"/>
          <w:szCs w:val="32"/>
        </w:rPr>
        <w:t>71.77</w:t>
      </w:r>
      <w:r>
        <w:rPr>
          <w:rFonts w:hint="eastAsia" w:ascii="仿宋_GB2312" w:eastAsia="仿宋_GB2312"/>
          <w:color w:val="000000"/>
          <w:sz w:val="32"/>
          <w:szCs w:val="32"/>
          <w:shd w:val="clear" w:color="auto" w:fill="FFFFFF"/>
        </w:rPr>
        <w:t>%；社会保障和就业（类）支出3.5</w:t>
      </w:r>
      <w:r>
        <w:rPr>
          <w:rFonts w:ascii="仿宋_GB2312" w:eastAsia="仿宋_GB2312"/>
          <w:color w:val="000000"/>
          <w:sz w:val="32"/>
          <w:szCs w:val="32"/>
          <w:shd w:val="clear" w:color="auto" w:fill="FFFFFF"/>
        </w:rPr>
        <w:t>4</w:t>
      </w:r>
      <w:r>
        <w:rPr>
          <w:rFonts w:hint="eastAsia" w:ascii="仿宋_GB2312" w:eastAsia="仿宋_GB2312"/>
          <w:color w:val="000000"/>
          <w:sz w:val="32"/>
          <w:szCs w:val="32"/>
          <w:shd w:val="clear" w:color="auto" w:fill="FFFFFF"/>
        </w:rPr>
        <w:t>万元，</w:t>
      </w:r>
      <w:r>
        <w:rPr>
          <w:rFonts w:hint="eastAsia" w:ascii="仿宋_GB2312" w:eastAsia="仿宋_GB2312" w:cs="仿宋_GB2312"/>
          <w:bCs/>
          <w:kern w:val="0"/>
          <w:sz w:val="32"/>
          <w:szCs w:val="32"/>
        </w:rPr>
        <w:t>占</w:t>
      </w:r>
      <w:r>
        <w:rPr>
          <w:rFonts w:ascii="仿宋_GB2312" w:eastAsia="仿宋_GB2312" w:cs="仿宋_GB2312"/>
          <w:bCs/>
          <w:kern w:val="0"/>
          <w:sz w:val="32"/>
          <w:szCs w:val="32"/>
        </w:rPr>
        <w:t>28.23</w:t>
      </w:r>
      <w:r>
        <w:rPr>
          <w:rFonts w:hint="eastAsia" w:ascii="仿宋_GB2312" w:eastAsia="仿宋_GB2312"/>
          <w:color w:val="000000"/>
          <w:sz w:val="32"/>
          <w:szCs w:val="32"/>
          <w:shd w:val="clear" w:color="auto" w:fill="FFFFFF"/>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ascii="仿宋_GB2312" w:eastAsia="仿宋_GB2312" w:cs="仿宋_GB2312"/>
          <w:bCs/>
          <w:kern w:val="0"/>
          <w:sz w:val="32"/>
          <w:szCs w:val="32"/>
        </w:rPr>
        <w:t>12.69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12.54</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98.82</w:t>
      </w:r>
      <w:r>
        <w:rPr>
          <w:rFonts w:hint="eastAsia" w:ascii="仿宋_GB2312" w:eastAsia="仿宋_GB2312" w:cs="仿宋_GB2312"/>
          <w:bCs/>
          <w:kern w:val="0"/>
          <w:sz w:val="32"/>
          <w:szCs w:val="32"/>
        </w:rPr>
        <w:t>%。决算数小于预算数的主要原因：基本支出减少</w:t>
      </w:r>
      <w:r>
        <w:rPr>
          <w:rFonts w:ascii="仿宋_GB2312" w:eastAsia="仿宋_GB2312" w:cs="仿宋_GB2312"/>
          <w:bCs/>
          <w:kern w:val="0"/>
          <w:sz w:val="32"/>
          <w:szCs w:val="32"/>
        </w:rPr>
        <w:t>。</w:t>
      </w:r>
    </w:p>
    <w:p>
      <w:pPr>
        <w:pStyle w:val="5"/>
        <w:shd w:val="clear" w:color="auto" w:fill="FFFFFF"/>
        <w:spacing w:before="0" w:beforeAutospacing="0" w:after="0" w:afterAutospacing="0" w:line="555" w:lineRule="atLeast"/>
        <w:ind w:firstLine="645"/>
        <w:rPr>
          <w:rFonts w:ascii="寰蒋闆呴粦" w:eastAsia="寰蒋闆呴粦"/>
          <w:color w:val="000000"/>
          <w:sz w:val="18"/>
          <w:szCs w:val="18"/>
        </w:rPr>
      </w:pPr>
      <w:r>
        <w:rPr>
          <w:rFonts w:hint="eastAsia" w:ascii="仿宋_GB2312" w:eastAsia="仿宋_GB2312"/>
          <w:color w:val="000000"/>
          <w:sz w:val="32"/>
          <w:szCs w:val="32"/>
        </w:rPr>
        <w:t>1. 科学技术支出（类）科学技术管理事务（款）其他科学技术管理事务（项）。 年初预算为9万元，支出决算为</w:t>
      </w:r>
      <w:r>
        <w:rPr>
          <w:rFonts w:ascii="仿宋_GB2312" w:eastAsia="仿宋_GB2312"/>
          <w:color w:val="000000"/>
          <w:sz w:val="32"/>
          <w:szCs w:val="32"/>
        </w:rPr>
        <w:t>9</w:t>
      </w:r>
      <w:r>
        <w:rPr>
          <w:rFonts w:hint="eastAsia" w:ascii="仿宋_GB2312" w:eastAsia="仿宋_GB2312"/>
          <w:color w:val="000000"/>
          <w:sz w:val="32"/>
          <w:szCs w:val="32"/>
        </w:rPr>
        <w:t>万元，完成年初预算的</w:t>
      </w:r>
      <w:r>
        <w:rPr>
          <w:rFonts w:ascii="仿宋_GB2312" w:eastAsia="仿宋_GB2312"/>
          <w:color w:val="000000"/>
          <w:sz w:val="32"/>
          <w:szCs w:val="32"/>
        </w:rPr>
        <w:t>100</w:t>
      </w:r>
      <w:r>
        <w:rPr>
          <w:rFonts w:hint="eastAsia" w:ascii="仿宋_GB2312" w:eastAsia="仿宋_GB2312"/>
          <w:color w:val="000000"/>
          <w:sz w:val="32"/>
          <w:szCs w:val="32"/>
        </w:rPr>
        <w:t>%。</w:t>
      </w:r>
    </w:p>
    <w:p>
      <w:pPr>
        <w:pStyle w:val="5"/>
        <w:shd w:val="clear" w:color="auto" w:fill="FFFFFF"/>
        <w:spacing w:before="0" w:beforeAutospacing="0" w:after="0" w:afterAutospacing="0" w:line="555" w:lineRule="atLeast"/>
        <w:ind w:firstLine="645"/>
        <w:rPr>
          <w:rFonts w:ascii="寰蒋闆呴粦" w:eastAsia="寰蒋闆呴粦"/>
          <w:color w:val="000000"/>
          <w:sz w:val="18"/>
          <w:szCs w:val="18"/>
        </w:rPr>
      </w:pPr>
      <w:r>
        <w:rPr>
          <w:rFonts w:hint="eastAsia" w:ascii="仿宋_GB2312" w:eastAsia="仿宋_GB2312"/>
          <w:color w:val="000000"/>
          <w:sz w:val="32"/>
          <w:szCs w:val="32"/>
        </w:rPr>
        <w:t>2. 社会保障和就业支出（类）行政事业单位养老支出（款）事业单位离退休（项）。年初预算为3.69万元，支出决算为3.5</w:t>
      </w:r>
      <w:r>
        <w:rPr>
          <w:rFonts w:ascii="仿宋_GB2312" w:eastAsia="仿宋_GB2312"/>
          <w:color w:val="000000"/>
          <w:sz w:val="32"/>
          <w:szCs w:val="32"/>
        </w:rPr>
        <w:t>4</w:t>
      </w:r>
      <w:r>
        <w:rPr>
          <w:rFonts w:hint="eastAsia" w:ascii="仿宋_GB2312" w:eastAsia="仿宋_GB2312"/>
          <w:color w:val="000000"/>
          <w:sz w:val="32"/>
          <w:szCs w:val="32"/>
        </w:rPr>
        <w:t>万元，完成年初预算的</w:t>
      </w:r>
      <w:r>
        <w:rPr>
          <w:rFonts w:ascii="仿宋_GB2312" w:eastAsia="仿宋_GB2312"/>
          <w:color w:val="000000"/>
          <w:sz w:val="32"/>
          <w:szCs w:val="32"/>
        </w:rPr>
        <w:t>95.93</w:t>
      </w:r>
      <w:r>
        <w:rPr>
          <w:rFonts w:hint="eastAsia" w:ascii="仿宋_GB2312" w:eastAsia="仿宋_GB2312"/>
          <w:color w:val="000000"/>
          <w:sz w:val="32"/>
          <w:szCs w:val="32"/>
        </w:rPr>
        <w:t>%。决算数小于预算数的主要原因是退休人员经费支出减少。</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ascii="仿宋_GB2312" w:eastAsia="仿宋_GB2312" w:cs="仿宋_GB2312"/>
          <w:bCs/>
          <w:kern w:val="0"/>
          <w:sz w:val="32"/>
          <w:szCs w:val="32"/>
        </w:rPr>
        <w:t>3.54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ascii="仿宋_GB2312" w:eastAsia="仿宋_GB2312" w:cs="仿宋_GB2312"/>
          <w:bCs/>
          <w:kern w:val="0"/>
          <w:sz w:val="32"/>
          <w:szCs w:val="32"/>
        </w:rPr>
        <w:t>3.54</w:t>
      </w:r>
      <w:r>
        <w:rPr>
          <w:rFonts w:hint="eastAsia" w:ascii="仿宋_GB2312" w:eastAsia="仿宋_GB2312" w:cs="仿宋_GB2312"/>
          <w:bCs/>
          <w:kern w:val="0"/>
          <w:sz w:val="32"/>
          <w:szCs w:val="32"/>
        </w:rPr>
        <w:t>万元，主要包括：</w:t>
      </w:r>
      <w:r>
        <w:rPr>
          <w:rFonts w:hint="eastAsia" w:ascii="仿宋_GB2312" w:eastAsia="仿宋_GB2312"/>
          <w:color w:val="000000"/>
          <w:sz w:val="32"/>
          <w:szCs w:val="32"/>
          <w:shd w:val="clear" w:color="auto" w:fill="FFFFFF"/>
        </w:rPr>
        <w:t>退休费、生活补助、医疗费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%；公务用车购置及运行费支出决算为0万元，完成预算的0%；公务接待费支出决算为0万元，完成预算的0%。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万元，下降0%，其中：因公出国（境）费支出决算减少0万元，下降0%；公务用车购置及运行费支出决算减少0万元，下降0%；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%；公务用车购置及运行费支出决算0万元，占0 %；公务接待费支出决算0万元，占0 %。具体情况如下：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 公务用车购置支出为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万元。公务用车运行支出0万元。2020年，机关所属单位开支财政拨款的公务用车保有量为0辆。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r>
        <w:rPr>
          <w:rFonts w:hint="eastAsia" w:ascii="仿宋_GB2312" w:eastAsia="仿宋_GB2312" w:cs="仿宋_GB2312"/>
          <w:b/>
          <w:kern w:val="0"/>
          <w:sz w:val="32"/>
          <w:szCs w:val="32"/>
        </w:rPr>
        <w:t>必须说明</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年共接待国内来访团组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pStyle w:val="5"/>
        <w:shd w:val="clear" w:color="auto" w:fill="FFFFFF"/>
        <w:spacing w:before="0" w:beforeAutospacing="0" w:after="0" w:afterAutospacing="0" w:line="555" w:lineRule="atLeast"/>
        <w:ind w:firstLine="630"/>
        <w:rPr>
          <w:rFonts w:ascii="寰蒋闆呴粦" w:eastAsia="寰蒋闆呴粦"/>
          <w:color w:val="000000"/>
          <w:sz w:val="18"/>
          <w:szCs w:val="18"/>
        </w:rPr>
      </w:pPr>
      <w:r>
        <w:rPr>
          <w:rFonts w:hint="eastAsia" w:ascii="仿宋_GB2312" w:eastAsia="仿宋_GB2312"/>
          <w:color w:val="000000"/>
          <w:sz w:val="32"/>
          <w:szCs w:val="32"/>
        </w:rPr>
        <w:t>本部门 20</w:t>
      </w:r>
      <w:r>
        <w:rPr>
          <w:rFonts w:ascii="仿宋_GB2312" w:eastAsia="仿宋_GB2312"/>
          <w:color w:val="000000"/>
          <w:sz w:val="32"/>
          <w:szCs w:val="32"/>
        </w:rPr>
        <w:t>20</w:t>
      </w:r>
      <w:r>
        <w:rPr>
          <w:rFonts w:hint="eastAsia" w:ascii="仿宋_GB2312" w:eastAsia="仿宋_GB2312"/>
          <w:color w:val="000000"/>
          <w:sz w:val="32"/>
          <w:szCs w:val="32"/>
        </w:rPr>
        <w:t>年度没有政府性基金预算财政拨款收入，也没有政府性基金预算财政拨款安排的支出。</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国有资本经营预算财政拨款支出情况说明（根据实际情况作表述）</w:t>
      </w:r>
    </w:p>
    <w:p>
      <w:pPr>
        <w:pStyle w:val="5"/>
        <w:shd w:val="clear" w:color="auto" w:fill="FFFFFF"/>
        <w:spacing w:before="0" w:beforeAutospacing="0" w:after="0" w:afterAutospacing="0" w:line="555" w:lineRule="atLeast"/>
        <w:ind w:firstLine="640" w:firstLineChars="200"/>
        <w:rPr>
          <w:rFonts w:ascii="寰蒋闆呴粦" w:eastAsia="寰蒋闆呴粦"/>
          <w:color w:val="000000"/>
          <w:sz w:val="18"/>
          <w:szCs w:val="18"/>
        </w:rPr>
      </w:pPr>
      <w:r>
        <w:rPr>
          <w:rFonts w:hint="eastAsia" w:ascii="仿宋_GB2312" w:eastAsia="仿宋_GB2312"/>
          <w:color w:val="000000"/>
          <w:sz w:val="32"/>
          <w:szCs w:val="32"/>
        </w:rPr>
        <w:t>本部门 20</w:t>
      </w:r>
      <w:r>
        <w:rPr>
          <w:rFonts w:ascii="仿宋_GB2312" w:eastAsia="仿宋_GB2312"/>
          <w:color w:val="000000"/>
          <w:sz w:val="32"/>
          <w:szCs w:val="32"/>
        </w:rPr>
        <w:t>20</w:t>
      </w:r>
      <w:r>
        <w:rPr>
          <w:rFonts w:hint="eastAsia" w:ascii="仿宋_GB2312" w:eastAsia="仿宋_GB2312"/>
          <w:color w:val="000000"/>
          <w:sz w:val="32"/>
          <w:szCs w:val="32"/>
        </w:rPr>
        <w:t>年度没有国有资本经营预算财政拨款支出。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pStyle w:val="5"/>
        <w:shd w:val="clear" w:color="auto" w:fill="FFFFFF"/>
        <w:spacing w:before="0" w:beforeAutospacing="0" w:after="0" w:afterAutospacing="0"/>
        <w:rPr>
          <w:rFonts w:ascii="寰蒋闆呴粦" w:eastAsia="寰蒋闆呴粦"/>
          <w:color w:val="000000"/>
          <w:sz w:val="21"/>
          <w:szCs w:val="21"/>
        </w:rPr>
      </w:pPr>
      <w:r>
        <w:rPr>
          <w:rFonts w:hint="eastAsia" w:ascii="仿宋_GB2312" w:eastAsia="仿宋_GB2312" w:cs="仿宋_GB2312"/>
          <w:bCs/>
          <w:sz w:val="32"/>
          <w:szCs w:val="32"/>
        </w:rPr>
        <w:t xml:space="preserve">    </w:t>
      </w:r>
      <w:r>
        <w:rPr>
          <w:rFonts w:hint="eastAsia" w:ascii="仿宋_GB2312" w:eastAsia="仿宋_GB2312"/>
          <w:color w:val="000000"/>
          <w:sz w:val="32"/>
          <w:szCs w:val="32"/>
        </w:rPr>
        <w:t>（一）绩效管理工作开展情况</w:t>
      </w:r>
    </w:p>
    <w:p>
      <w:pPr>
        <w:pStyle w:val="5"/>
        <w:shd w:val="clear" w:color="auto" w:fill="FFFFFF"/>
        <w:spacing w:before="0" w:beforeAutospacing="0" w:after="0" w:afterAutospacing="0" w:line="525" w:lineRule="atLeast"/>
        <w:rPr>
          <w:rFonts w:ascii="寰蒋闆呴粦" w:eastAsia="寰蒋闆呴粦"/>
          <w:color w:val="000000"/>
          <w:sz w:val="18"/>
          <w:szCs w:val="18"/>
        </w:rPr>
      </w:pPr>
      <w:r>
        <w:rPr>
          <w:rFonts w:hint="eastAsia" w:ascii="仿宋_GB2312" w:eastAsia="仿宋_GB2312"/>
          <w:color w:val="000000"/>
          <w:sz w:val="32"/>
          <w:szCs w:val="32"/>
        </w:rPr>
        <w:t>  根据财政预算管理要求，我部门组织对20</w:t>
      </w:r>
      <w:r>
        <w:rPr>
          <w:rFonts w:ascii="仿宋_GB2312" w:eastAsia="仿宋_GB2312"/>
          <w:color w:val="000000"/>
          <w:sz w:val="32"/>
          <w:szCs w:val="32"/>
        </w:rPr>
        <w:t>20</w:t>
      </w:r>
      <w:r>
        <w:rPr>
          <w:rFonts w:hint="eastAsia" w:ascii="仿宋_GB2312" w:eastAsia="仿宋_GB2312"/>
          <w:color w:val="000000"/>
          <w:sz w:val="32"/>
          <w:szCs w:val="32"/>
        </w:rPr>
        <w:t>年度部门整体支出全面开展绩效自评。在编制预算时充分考虑市社科所的各项工作，我单位没有非税收入，所有预算来源均为一般公共预算拨款，项目预算按支出功能分类科目和经济科目细化，同时按经费使用内容进行细化，“三公经费”预算保持与上年持平；启动年度评价工作，分类制定自评项目共性指标及自评表；按照预算绩效评价有关规定和要求，制定绩效目标，对年度预算的项目资金使用情况开展自评工作；配合单位评价工作组开展评价工作；按要求报送绩效评价材料和报告；力求将绩效评价结果作为财务资金分配的重要依据，对绩效优良的项目给予鼓励和支持，在预算安排中优先考虑，保证好钢用在刀刃上，保证最大限度发挥财政资金的效能。</w:t>
      </w:r>
    </w:p>
    <w:p>
      <w:pPr>
        <w:pStyle w:val="5"/>
        <w:shd w:val="clear" w:color="auto" w:fill="FFFFFF"/>
        <w:spacing w:before="0" w:beforeAutospacing="0" w:after="0" w:afterAutospacing="0"/>
        <w:rPr>
          <w:rFonts w:ascii="寰蒋闆呴粦" w:eastAsia="寰蒋闆呴粦"/>
          <w:color w:val="000000"/>
          <w:sz w:val="18"/>
          <w:szCs w:val="18"/>
        </w:rPr>
      </w:pPr>
      <w:r>
        <w:rPr>
          <w:rFonts w:hint="eastAsia" w:ascii="仿宋_GB2312" w:eastAsia="仿宋_GB2312"/>
          <w:color w:val="000000"/>
          <w:sz w:val="32"/>
          <w:szCs w:val="32"/>
        </w:rPr>
        <w:t>  （二）部门决算中项目绩效自评结果。</w:t>
      </w:r>
    </w:p>
    <w:p>
      <w:pPr>
        <w:pStyle w:val="5"/>
        <w:shd w:val="clear" w:color="auto" w:fill="FFFFFF"/>
        <w:spacing w:before="0" w:beforeAutospacing="0" w:after="0" w:afterAutospacing="0"/>
        <w:rPr>
          <w:rFonts w:ascii="寰蒋闆呴粦" w:eastAsia="寰蒋闆呴粦"/>
          <w:color w:val="000000"/>
          <w:sz w:val="18"/>
          <w:szCs w:val="18"/>
        </w:rPr>
      </w:pPr>
      <w:r>
        <w:rPr>
          <w:rFonts w:hint="eastAsia" w:ascii="仿宋_GB2312" w:eastAsia="仿宋_GB2312"/>
          <w:color w:val="000000"/>
          <w:sz w:val="32"/>
          <w:szCs w:val="32"/>
        </w:rPr>
        <w:t>  经按“部门整体支出绩效目标及评价指标表”进行综合评价，本项目综合得分91.79分，评价等次为“良”。</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pStyle w:val="5"/>
        <w:shd w:val="clear" w:color="auto" w:fill="FFFFFF"/>
        <w:spacing w:before="0" w:beforeAutospacing="0" w:after="0" w:afterAutospacing="0"/>
        <w:rPr>
          <w:rFonts w:ascii="寰蒋闆呴粦" w:eastAsia="寰蒋闆呴粦"/>
          <w:color w:val="000000"/>
          <w:sz w:val="18"/>
          <w:szCs w:val="18"/>
        </w:rPr>
      </w:pPr>
      <w:r>
        <w:rPr>
          <w:rFonts w:hint="eastAsia" w:ascii="仿宋_GB2312" w:eastAsia="仿宋_GB2312"/>
          <w:color w:val="000000"/>
          <w:sz w:val="32"/>
          <w:szCs w:val="32"/>
        </w:rPr>
        <w:t>  （一）机关运行经费支出情况。20</w:t>
      </w:r>
      <w:r>
        <w:rPr>
          <w:rFonts w:ascii="仿宋_GB2312" w:eastAsia="仿宋_GB2312"/>
          <w:color w:val="000000"/>
          <w:sz w:val="32"/>
          <w:szCs w:val="32"/>
        </w:rPr>
        <w:t>20</w:t>
      </w:r>
      <w:r>
        <w:rPr>
          <w:rFonts w:hint="eastAsia" w:ascii="仿宋_GB2312" w:eastAsia="仿宋_GB2312"/>
          <w:color w:val="000000"/>
          <w:sz w:val="32"/>
          <w:szCs w:val="32"/>
        </w:rPr>
        <w:t>年度部门机关运行经费支出0万元，与201</w:t>
      </w:r>
      <w:r>
        <w:rPr>
          <w:rFonts w:ascii="仿宋_GB2312" w:eastAsia="仿宋_GB2312"/>
          <w:color w:val="000000"/>
          <w:sz w:val="32"/>
          <w:szCs w:val="32"/>
        </w:rPr>
        <w:t>9</w:t>
      </w:r>
      <w:r>
        <w:rPr>
          <w:rFonts w:hint="eastAsia" w:ascii="仿宋_GB2312" w:eastAsia="仿宋_GB2312"/>
          <w:color w:val="000000"/>
          <w:sz w:val="32"/>
          <w:szCs w:val="32"/>
        </w:rPr>
        <w:t>年相比一致。</w:t>
      </w:r>
    </w:p>
    <w:p>
      <w:pPr>
        <w:pStyle w:val="5"/>
        <w:shd w:val="clear" w:color="auto" w:fill="FFFFFF"/>
        <w:spacing w:before="0" w:beforeAutospacing="0" w:after="0" w:afterAutospacing="0"/>
        <w:rPr>
          <w:rFonts w:ascii="寰蒋闆呴粦" w:eastAsia="寰蒋闆呴粦"/>
          <w:color w:val="000000"/>
          <w:sz w:val="18"/>
          <w:szCs w:val="18"/>
        </w:rPr>
      </w:pPr>
      <w:r>
        <w:rPr>
          <w:rFonts w:hint="eastAsia" w:ascii="仿宋_GB2312" w:eastAsia="仿宋_GB2312"/>
          <w:color w:val="000000"/>
          <w:sz w:val="32"/>
          <w:szCs w:val="32"/>
        </w:rPr>
        <w:t>  （二）政府采购支出情况。20</w:t>
      </w:r>
      <w:r>
        <w:rPr>
          <w:rFonts w:ascii="仿宋_GB2312" w:eastAsia="仿宋_GB2312"/>
          <w:color w:val="000000"/>
          <w:sz w:val="32"/>
          <w:szCs w:val="32"/>
        </w:rPr>
        <w:t>20</w:t>
      </w:r>
      <w:r>
        <w:rPr>
          <w:rFonts w:hint="eastAsia" w:ascii="仿宋_GB2312" w:eastAsia="仿宋_GB2312"/>
          <w:color w:val="000000"/>
          <w:sz w:val="32"/>
          <w:szCs w:val="32"/>
        </w:rPr>
        <w:t>年度部门政府采购支出总额0万元，其中：货物支出0万元、工程支出0万元、服务支出0万元。</w:t>
      </w:r>
    </w:p>
    <w:p>
      <w:pPr>
        <w:pStyle w:val="5"/>
        <w:shd w:val="clear" w:color="auto" w:fill="FFFFFF"/>
        <w:spacing w:before="0" w:beforeAutospacing="0" w:after="0" w:afterAutospacing="0" w:line="555" w:lineRule="atLeast"/>
        <w:rPr>
          <w:rFonts w:ascii="寰蒋闆呴粦" w:eastAsia="寰蒋闆呴粦"/>
          <w:color w:val="000000"/>
          <w:sz w:val="18"/>
          <w:szCs w:val="18"/>
        </w:rPr>
      </w:pPr>
      <w:r>
        <w:rPr>
          <w:rFonts w:hint="eastAsia" w:ascii="仿宋_GB2312" w:eastAsia="仿宋_GB2312"/>
          <w:color w:val="000000"/>
          <w:sz w:val="32"/>
          <w:szCs w:val="32"/>
        </w:rPr>
        <w:t>  （三）国有资产占用情况。截至年末部门共有车辆0辆，其中：公务用车0辆；执法执勤用车0 辆；专业技术用车0辆；单价50万元以上通用设备0台（套），单价100 万元以上专用设备0台（套）。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寰蒋闆呴粦">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- 5 -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66CA3"/>
    <w:rsid w:val="00127103"/>
    <w:rsid w:val="00180C93"/>
    <w:rsid w:val="001E6568"/>
    <w:rsid w:val="002477CE"/>
    <w:rsid w:val="00452267"/>
    <w:rsid w:val="005D3623"/>
    <w:rsid w:val="00662FE8"/>
    <w:rsid w:val="006A5DE9"/>
    <w:rsid w:val="006C1367"/>
    <w:rsid w:val="00715385"/>
    <w:rsid w:val="00890794"/>
    <w:rsid w:val="009A144C"/>
    <w:rsid w:val="00AA15AF"/>
    <w:rsid w:val="00AC6CB0"/>
    <w:rsid w:val="00AE433A"/>
    <w:rsid w:val="00D26107"/>
    <w:rsid w:val="00DF3027"/>
    <w:rsid w:val="00E951CB"/>
    <w:rsid w:val="00F66C5B"/>
    <w:rsid w:val="00F70018"/>
    <w:rsid w:val="0E074DDF"/>
    <w:rsid w:val="124204B5"/>
    <w:rsid w:val="182962AB"/>
    <w:rsid w:val="19D073EB"/>
    <w:rsid w:val="1CC31F67"/>
    <w:rsid w:val="24D337DC"/>
    <w:rsid w:val="26460DBA"/>
    <w:rsid w:val="2A20158B"/>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623</Words>
  <Characters>3556</Characters>
  <Lines>29</Lines>
  <Paragraphs>8</Paragraphs>
  <TotalTime>84</TotalTime>
  <ScaleCrop>false</ScaleCrop>
  <LinksUpToDate>false</LinksUpToDate>
  <CharactersWithSpaces>4171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2022-09-10T10:56:37Z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79E2974F628947D7A1D3F01E97B0FB37</vt:lpwstr>
  </property>
</Properties>
</file>