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人民检察院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u w:val="none"/>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hAnsi="宋体" w:eastAsia="仿宋_GB2312" w:cs="仿宋_GB2312"/>
          <w:b w:val="0"/>
          <w:sz w:val="32"/>
          <w:szCs w:val="32"/>
        </w:rPr>
      </w:pPr>
      <w:r>
        <w:rPr>
          <w:rFonts w:ascii="仿宋_GB2312" w:hAnsi="宋体" w:eastAsia="仿宋_GB2312" w:cs="仿宋_GB2312"/>
          <w:b w:val="0"/>
          <w:sz w:val="32"/>
          <w:szCs w:val="32"/>
        </w:rPr>
        <w:t>检察机关是法律监督机关，</w:t>
      </w:r>
      <w:r>
        <w:rPr>
          <w:rFonts w:hint="eastAsia" w:ascii="仿宋_GB2312" w:hAnsi="宋体" w:eastAsia="仿宋_GB2312" w:cs="仿宋_GB2312"/>
          <w:b w:val="0"/>
          <w:sz w:val="32"/>
          <w:szCs w:val="32"/>
        </w:rPr>
        <w:t>代表国家依法行使检察权</w:t>
      </w:r>
      <w:r>
        <w:rPr>
          <w:rFonts w:hint="eastAsia" w:ascii="仿宋_GB2312" w:hAnsi="宋体" w:eastAsia="仿宋_GB2312" w:cs="仿宋_GB2312"/>
          <w:b w:val="0"/>
          <w:sz w:val="32"/>
          <w:szCs w:val="32"/>
          <w:lang w:eastAsia="zh-CN"/>
        </w:rPr>
        <w:t>。</w:t>
      </w:r>
      <w:r>
        <w:rPr>
          <w:rFonts w:ascii="仿宋_GB2312" w:hAnsi="宋体" w:eastAsia="仿宋_GB2312" w:cs="仿宋_GB2312"/>
          <w:b w:val="0"/>
          <w:sz w:val="32"/>
          <w:szCs w:val="32"/>
        </w:rPr>
        <w:t>依法受理公安、国家安全等机关和检察机关侦查部门提请批准逮捕和移送审查起诉的案件；</w:t>
      </w:r>
      <w:r>
        <w:rPr>
          <w:rFonts w:hint="eastAsia" w:ascii="仿宋_GB2312" w:hAnsi="宋体" w:eastAsia="仿宋_GB2312" w:cs="仿宋_GB2312"/>
          <w:b w:val="0"/>
          <w:sz w:val="32"/>
          <w:szCs w:val="32"/>
        </w:rPr>
        <w:t>对于监狱、看守所等执行机关执行刑罚的活动是否合法实行监督；对人民法院民事、经济审判和行政诉讼活动实行监督；依法对确有错误的判决裁定提起抗诉；受理来信、来访，控告、举报、申诉和犯罪嫌疑人的自首；勘验自侦案件和公安机关重大案件的现场，鉴定与案件有关的人身、尸体、痕迹、物品、会计资料等。</w:t>
      </w:r>
    </w:p>
    <w:p>
      <w:pPr>
        <w:ind w:firstLine="646"/>
        <w:rPr>
          <w:rFonts w:hint="eastAsia" w:ascii="仿宋_GB2312" w:hAnsi="宋体" w:eastAsia="仿宋_GB2312" w:cs="仿宋_GB2312"/>
          <w:b w:val="0"/>
          <w:sz w:val="32"/>
          <w:szCs w:val="32"/>
        </w:rPr>
      </w:pPr>
      <w:r>
        <w:rPr>
          <w:rFonts w:hint="eastAsia" w:ascii="仿宋_GB2312" w:hAnsi="宋体" w:eastAsia="仿宋_GB2312" w:cs="仿宋_GB2312"/>
          <w:b w:val="0"/>
          <w:kern w:val="0"/>
          <w:sz w:val="32"/>
          <w:szCs w:val="32"/>
          <w:lang w:val="en-US" w:eastAsia="zh-CN" w:bidi="ar"/>
        </w:rPr>
        <w:t>我院主要工作目标是：深入实践“强化法律监督，维护公平正义”，进一步落实“加大工作力度，提高执法水平和办案质量”，以业务建设为主线，以队伍建设为根本，以改革创新为动力，以执法保障建设为基础，全面加强自身建设，充分履行法律监督职责，为构建社会主义和谐社会营造平安稳定的治安环境。</w:t>
      </w:r>
    </w:p>
    <w:p>
      <w:pPr>
        <w:ind w:firstLine="646"/>
        <w:rPr>
          <w:rFonts w:ascii="仿宋_GB2312" w:eastAsia="仿宋_GB2312"/>
          <w:sz w:val="32"/>
          <w:szCs w:val="32"/>
        </w:rPr>
      </w:pPr>
      <w:r>
        <w:rPr>
          <w:rFonts w:hint="eastAsia" w:ascii="仿宋_GB2312" w:eastAsia="仿宋_GB2312"/>
          <w:sz w:val="32"/>
          <w:szCs w:val="32"/>
        </w:rPr>
        <w:t>二、部门决算单位构成</w:t>
      </w:r>
    </w:p>
    <w:tbl>
      <w:tblPr>
        <w:tblStyle w:val="5"/>
        <w:tblW w:w="9465"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
      <w:tblGrid>
        <w:gridCol w:w="4110"/>
        <w:gridCol w:w="1530"/>
        <w:gridCol w:w="1365"/>
        <w:gridCol w:w="12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1591"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rPr>
            </w:pPr>
            <w:r>
              <w:rPr>
                <w:rFonts w:ascii="仿宋_GB2312" w:hAnsi="仿宋_GB2312" w:eastAsia="仿宋_GB2312"/>
                <w:sz w:val="32"/>
              </w:rPr>
              <w:t>单位</w:t>
            </w:r>
            <w:r>
              <w:rPr>
                <w:rFonts w:ascii="仿宋_GB2312" w:hAnsi="仿宋_GB2312" w:eastAsia="仿宋_GB2312"/>
                <w:sz w:val="32"/>
              </w:rPr>
              <w:br w:type="textWrapping"/>
            </w:r>
            <w:r>
              <w:rPr>
                <w:rFonts w:ascii="仿宋_GB2312" w:hAnsi="仿宋_GB2312" w:eastAsia="仿宋_GB2312"/>
                <w:sz w:val="32"/>
              </w:rPr>
              <w:t>名称</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单位</w:t>
            </w:r>
            <w:r>
              <w:rPr>
                <w:rFonts w:ascii="仿宋_GB2312" w:hAnsi="仿宋_GB2312" w:eastAsia="仿宋_GB2312"/>
                <w:sz w:val="32"/>
              </w:rPr>
              <w:br w:type="textWrapping"/>
            </w:r>
            <w:r>
              <w:rPr>
                <w:rFonts w:ascii="仿宋_GB2312" w:hAnsi="仿宋_GB2312" w:eastAsia="仿宋_GB2312"/>
                <w:sz w:val="32"/>
              </w:rPr>
              <w:t>性质</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编制人数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实有在职人数</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离休</w:t>
            </w:r>
            <w:r>
              <w:rPr>
                <w:rFonts w:ascii="仿宋_GB2312" w:hAnsi="仿宋_GB2312" w:eastAsia="仿宋_GB2312"/>
                <w:sz w:val="32"/>
              </w:rPr>
              <w:br w:type="textWrapping"/>
            </w:r>
            <w:r>
              <w:rPr>
                <w:rFonts w:ascii="仿宋_GB2312" w:hAnsi="仿宋_GB2312" w:eastAsia="仿宋_GB2312"/>
                <w:sz w:val="32"/>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rPr>
            </w:pPr>
            <w:r>
              <w:rPr>
                <w:rFonts w:ascii="仿宋_GB2312" w:hAnsi="仿宋_GB2312" w:eastAsia="仿宋_GB2312"/>
                <w:sz w:val="32"/>
              </w:rPr>
              <w:t>合计</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ascii="仿宋_GB2312" w:hAnsi="仿宋_GB2312" w:eastAsia="仿宋_GB2312"/>
                <w:sz w:val="32"/>
              </w:rPr>
            </w:pP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lang w:val="en-US"/>
              </w:rPr>
            </w:pPr>
            <w:r>
              <w:rPr>
                <w:rFonts w:hint="eastAsia" w:ascii="仿宋_GB2312" w:hAnsi="仿宋_GB2312" w:eastAsia="仿宋_GB2312"/>
                <w:sz w:val="32"/>
                <w:lang w:val="en-US"/>
              </w:rPr>
              <w:t>589</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hint="eastAsia" w:ascii="仿宋_GB2312" w:hAnsi="仿宋_GB2312" w:eastAsia="仿宋_GB2312"/>
                <w:sz w:val="32"/>
                <w:lang w:val="en-US" w:eastAsia="zh-CN"/>
              </w:rPr>
            </w:pPr>
            <w:r>
              <w:rPr>
                <w:rFonts w:hint="eastAsia" w:ascii="仿宋_GB2312" w:hAnsi="仿宋_GB2312" w:eastAsia="仿宋_GB2312"/>
                <w:sz w:val="32"/>
                <w:lang w:val="en-US"/>
              </w:rPr>
              <w:t>53</w:t>
            </w:r>
            <w:r>
              <w:rPr>
                <w:rFonts w:hint="eastAsia" w:ascii="仿宋_GB2312" w:hAnsi="仿宋_GB2312" w:eastAsia="仿宋_GB2312"/>
                <w:sz w:val="32"/>
                <w:lang w:val="en-US" w:eastAsia="zh-CN"/>
              </w:rPr>
              <w:t>6</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hint="eastAsia" w:ascii="仿宋_GB2312" w:hAnsi="仿宋_GB2312" w:eastAsia="仿宋_GB2312"/>
                <w:sz w:val="32"/>
                <w:lang w:eastAsia="zh-CN"/>
              </w:rPr>
            </w:pPr>
            <w:r>
              <w:rPr>
                <w:rFonts w:hint="eastAsia" w:ascii="仿宋_GB2312" w:hAnsi="仿宋_GB2312" w:eastAsia="仿宋_GB2312" w:cs="仿宋_GB2312"/>
                <w:sz w:val="32"/>
                <w:lang w:eastAsia="zh-CN"/>
              </w:rPr>
              <w:t>柳州</w:t>
            </w:r>
            <w:r>
              <w:rPr>
                <w:rFonts w:hint="eastAsia" w:ascii="仿宋_GB2312" w:hAnsi="仿宋_GB2312" w:eastAsia="仿宋_GB2312" w:cs="仿宋_GB2312"/>
                <w:sz w:val="32"/>
              </w:rPr>
              <w:t>市</w:t>
            </w:r>
            <w:r>
              <w:rPr>
                <w:rFonts w:hint="eastAsia" w:ascii="仿宋_GB2312" w:hAnsi="仿宋_GB2312" w:eastAsia="仿宋_GB2312" w:cs="仿宋_GB2312"/>
                <w:sz w:val="32"/>
                <w:lang w:eastAsia="zh-CN"/>
              </w:rPr>
              <w:t>人民</w:t>
            </w:r>
            <w:r>
              <w:rPr>
                <w:rFonts w:hint="eastAsia" w:ascii="仿宋_GB2312" w:hAnsi="仿宋_GB2312" w:eastAsia="仿宋_GB2312" w:cs="仿宋_GB2312"/>
                <w:sz w:val="32"/>
              </w:rPr>
              <w:t>检察院</w:t>
            </w:r>
            <w:r>
              <w:rPr>
                <w:rFonts w:hint="eastAsia" w:ascii="仿宋_GB2312" w:hAnsi="仿宋_GB2312" w:eastAsia="仿宋_GB2312" w:cs="仿宋_GB2312"/>
                <w:sz w:val="32"/>
                <w:lang w:eastAsia="zh-CN"/>
              </w:rPr>
              <w:t>（本级）</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hint="eastAsia" w:ascii="仿宋_GB2312" w:hAnsi="仿宋_GB2312" w:eastAsia="仿宋_GB2312" w:cs="仿宋_GB2312"/>
                <w:sz w:val="32"/>
              </w:rPr>
              <w:t>122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hint="eastAsia" w:ascii="仿宋_GB2312" w:hAnsi="仿宋_GB2312" w:eastAsia="仿宋_GB2312"/>
                <w:sz w:val="32"/>
                <w:lang w:eastAsia="zh-CN"/>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rPr>
              <w:t>1</w:t>
            </w:r>
            <w:r>
              <w:rPr>
                <w:rFonts w:hint="eastAsia" w:ascii="仿宋_GB2312" w:hAnsi="仿宋_GB2312" w:eastAsia="仿宋_GB2312" w:cs="仿宋_GB2312"/>
                <w:sz w:val="32"/>
                <w:lang w:val="en-US" w:eastAsia="zh-CN"/>
              </w:rPr>
              <w:t>8</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hint="eastAsia" w:ascii="仿宋_GB2312" w:hAnsi="仿宋_GB2312" w:eastAsia="仿宋_GB2312" w:cs="仿宋_GB2312"/>
                <w:sz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鹿寨地区</w:t>
            </w:r>
            <w:r>
              <w:rPr>
                <w:rFonts w:hint="eastAsia" w:ascii="仿宋_GB2312" w:hAnsi="仿宋_GB2312" w:eastAsia="仿宋_GB2312" w:cs="仿宋_GB2312"/>
                <w:sz w:val="32"/>
                <w:szCs w:val="32"/>
                <w:lang w:eastAsia="zh-CN"/>
              </w:rPr>
              <w:t>人民检察</w:t>
            </w:r>
            <w:r>
              <w:rPr>
                <w:rFonts w:hint="eastAsia" w:ascii="仿宋_GB2312" w:hAnsi="仿宋_GB2312" w:eastAsia="仿宋_GB2312" w:cs="仿宋_GB2312"/>
                <w:sz w:val="32"/>
                <w:szCs w:val="32"/>
              </w:rPr>
              <w:t>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hint="eastAsia" w:ascii="仿宋_GB2312" w:hAnsi="仿宋_GB2312" w:eastAsia="仿宋_GB2312" w:cs="仿宋_GB2312"/>
                <w:sz w:val="32"/>
                <w:szCs w:val="32"/>
              </w:rPr>
              <w:t>22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hint="eastAsia" w:ascii="仿宋_GB2312" w:hAnsi="仿宋_GB2312" w:eastAsia="仿宋_GB2312"/>
                <w:sz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rPr>
              <w:t>0</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露塘地区</w:t>
            </w:r>
            <w:r>
              <w:rPr>
                <w:rFonts w:hint="eastAsia" w:ascii="仿宋_GB2312" w:hAnsi="仿宋_GB2312" w:eastAsia="仿宋_GB2312" w:cs="仿宋_GB2312"/>
                <w:sz w:val="32"/>
                <w:szCs w:val="32"/>
                <w:lang w:eastAsia="zh-CN"/>
              </w:rPr>
              <w:t>人民检察</w:t>
            </w:r>
            <w:r>
              <w:rPr>
                <w:rFonts w:hint="eastAsia" w:ascii="仿宋_GB2312" w:hAnsi="仿宋_GB2312" w:eastAsia="仿宋_GB2312" w:cs="仿宋_GB2312"/>
                <w:sz w:val="32"/>
                <w:szCs w:val="32"/>
              </w:rPr>
              <w:t>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hint="eastAsia" w:ascii="仿宋_GB2312" w:hAnsi="仿宋_GB2312" w:eastAsia="仿宋_GB2312" w:cs="仿宋_GB2312"/>
                <w:sz w:val="32"/>
                <w:szCs w:val="32"/>
              </w:rPr>
              <w:t>19</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hint="eastAsia" w:ascii="仿宋_GB2312" w:hAnsi="仿宋_GB2312" w:eastAsia="仿宋_GB2312" w:cs="仿宋_GB2312"/>
                <w:sz w:val="32"/>
                <w:szCs w:val="32"/>
              </w:rPr>
              <w:t>18</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城中区人民检察院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34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26</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鱼峰区人民检察院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37</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柳南区人民检察院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50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43</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柳北区人民检察院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47</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40</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柳江区人民检察院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49</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43</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柳城县人民检察院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47</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47</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鹿寨县人民检察院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48</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43</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融安县人民检察院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36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35</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融水苗族自治县人民检察院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39</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35</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11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lang w:val="en-US" w:eastAsia="zh-CN"/>
              </w:rPr>
              <w:t>三江侗族自治县人民检察院</w:t>
            </w:r>
          </w:p>
        </w:tc>
        <w:tc>
          <w:tcPr>
            <w:tcW w:w="1530"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33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val="en-US" w:eastAsia="zh-CN" w:bidi="ar"/>
              </w:rPr>
              <w:t>31</w:t>
            </w:r>
          </w:p>
        </w:tc>
        <w:tc>
          <w:tcPr>
            <w:tcW w:w="1185" w:type="dxa"/>
            <w:tcBorders>
              <w:top w:val="single" w:color="auto" w:sz="4" w:space="0"/>
              <w:left w:val="single" w:color="auto" w:sz="4" w:space="0"/>
              <w:bottom w:val="single" w:color="auto" w:sz="4" w:space="0"/>
              <w:right w:val="single" w:color="auto" w:sz="4" w:space="0"/>
            </w:tcBorders>
            <w:noWrap w:val="0"/>
            <w:tcMar>
              <w:left w:w="20" w:type="dxa"/>
            </w:tcMar>
            <w:vAlign w:val="top"/>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bl>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rPr>
        <w:t>2020年部门决算报表</w:t>
      </w:r>
    </w:p>
    <w:p/>
    <w:tbl>
      <w:tblPr>
        <w:tblStyle w:val="5"/>
        <w:tblW w:w="9241" w:type="dxa"/>
        <w:jc w:val="center"/>
        <w:tblLayout w:type="fixed"/>
        <w:tblCellMar>
          <w:top w:w="0" w:type="dxa"/>
          <w:left w:w="108" w:type="dxa"/>
          <w:bottom w:w="0" w:type="dxa"/>
          <w:right w:w="108" w:type="dxa"/>
        </w:tblCellMar>
      </w:tblPr>
      <w:tblGrid>
        <w:gridCol w:w="3493"/>
        <w:gridCol w:w="1365"/>
        <w:gridCol w:w="2766"/>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9176"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858"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38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7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17040.33</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四、</w:t>
            </w:r>
            <w:r>
              <w:rPr>
                <w:rFonts w:hint="eastAsia" w:ascii="宋体" w:hAnsi="宋体" w:cs="宋体"/>
                <w:color w:val="000000"/>
                <w:kern w:val="0"/>
                <w:sz w:val="22"/>
                <w:szCs w:val="22"/>
                <w:lang w:eastAsia="zh-CN"/>
              </w:rPr>
              <w:t>公共安全支出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13626.27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1741.70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997.14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4676.37</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6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二十三、其他支出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4340.90 </w:t>
            </w:r>
          </w:p>
        </w:tc>
      </w:tr>
      <w:tr>
        <w:tblPrEx>
          <w:tblCellMar>
            <w:top w:w="0" w:type="dxa"/>
            <w:left w:w="108" w:type="dxa"/>
            <w:bottom w:w="0" w:type="dxa"/>
            <w:right w:w="108" w:type="dxa"/>
          </w:tblCellMar>
        </w:tblPrEx>
        <w:trPr>
          <w:trHeight w:val="9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3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21716.70 </w:t>
            </w:r>
          </w:p>
        </w:tc>
        <w:tc>
          <w:tcPr>
            <w:tcW w:w="276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21468.00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1222.92</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1471.62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49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3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22939.62 </w:t>
            </w:r>
          </w:p>
        </w:tc>
        <w:tc>
          <w:tcPr>
            <w:tcW w:w="276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22939.62 </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1033"/>
        <w:gridCol w:w="2327"/>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033"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32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21,716.70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17,040.33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4,676.37 </w:t>
            </w:r>
          </w:p>
        </w:tc>
      </w:tr>
      <w:tr>
        <w:tblPrEx>
          <w:tblCellMar>
            <w:top w:w="0" w:type="dxa"/>
            <w:left w:w="108" w:type="dxa"/>
            <w:bottom w:w="0" w:type="dxa"/>
            <w:right w:w="108" w:type="dxa"/>
          </w:tblCellMar>
        </w:tblPrEx>
        <w:trPr>
          <w:trHeight w:val="288" w:hRule="atLeast"/>
          <w:jc w:val="center"/>
        </w:trPr>
        <w:tc>
          <w:tcPr>
            <w:tcW w:w="10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23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13,102.93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13,098.69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4.24 </w:t>
            </w:r>
          </w:p>
        </w:tc>
      </w:tr>
      <w:tr>
        <w:tblPrEx>
          <w:tblCellMar>
            <w:top w:w="0" w:type="dxa"/>
            <w:left w:w="108" w:type="dxa"/>
            <w:bottom w:w="0" w:type="dxa"/>
            <w:right w:w="108" w:type="dxa"/>
          </w:tblCellMar>
        </w:tblPrEx>
        <w:trPr>
          <w:trHeight w:val="288" w:hRule="atLeast"/>
          <w:jc w:val="center"/>
        </w:trPr>
        <w:tc>
          <w:tcPr>
            <w:tcW w:w="10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w:t>
            </w:r>
          </w:p>
        </w:tc>
        <w:tc>
          <w:tcPr>
            <w:tcW w:w="23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检察</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13,102.93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13,098.69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4.24 </w:t>
            </w:r>
          </w:p>
        </w:tc>
      </w:tr>
      <w:tr>
        <w:tblPrEx>
          <w:tblCellMar>
            <w:top w:w="0" w:type="dxa"/>
            <w:left w:w="108" w:type="dxa"/>
            <w:bottom w:w="0" w:type="dxa"/>
            <w:right w:w="108" w:type="dxa"/>
          </w:tblCellMar>
        </w:tblPrEx>
        <w:trPr>
          <w:trHeight w:val="288" w:hRule="atLeast"/>
          <w:jc w:val="center"/>
        </w:trPr>
        <w:tc>
          <w:tcPr>
            <w:tcW w:w="10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2040401</w:t>
            </w:r>
          </w:p>
        </w:tc>
        <w:tc>
          <w:tcPr>
            <w:tcW w:w="23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7,992.07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7,987.82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4.24 </w:t>
            </w:r>
          </w:p>
        </w:tc>
      </w:tr>
      <w:tr>
        <w:tblPrEx>
          <w:tblCellMar>
            <w:top w:w="0" w:type="dxa"/>
            <w:left w:w="108" w:type="dxa"/>
            <w:bottom w:w="0" w:type="dxa"/>
            <w:right w:w="108" w:type="dxa"/>
          </w:tblCellMar>
        </w:tblPrEx>
        <w:trPr>
          <w:trHeight w:val="288" w:hRule="atLeast"/>
          <w:jc w:val="center"/>
        </w:trPr>
        <w:tc>
          <w:tcPr>
            <w:tcW w:w="10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2040402</w:t>
            </w:r>
          </w:p>
        </w:tc>
        <w:tc>
          <w:tcPr>
            <w:tcW w:w="23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2,846.00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2,846.00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2040410</w:t>
            </w:r>
          </w:p>
        </w:tc>
        <w:tc>
          <w:tcPr>
            <w:tcW w:w="23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1,312.16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1,312.16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2040499</w:t>
            </w:r>
          </w:p>
        </w:tc>
        <w:tc>
          <w:tcPr>
            <w:tcW w:w="23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其他检察支出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952.71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952.71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90" w:hRule="atLeast"/>
          <w:jc w:val="center"/>
        </w:trPr>
        <w:tc>
          <w:tcPr>
            <w:tcW w:w="10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23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1,936.50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1,936.50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1,936.50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1,936.50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275.49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275.49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1,112.79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1,112.79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548.22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548.22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1,043.16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1,043.16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1,043.16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1,043.16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549.92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549.92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493.24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493.24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城乡社区公共设施</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2120399</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758.49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758.49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3.50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3.50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4,672.13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4,672.13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22999</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4,672.13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4,672.13 </w:t>
            </w:r>
          </w:p>
        </w:tc>
      </w:tr>
      <w:tr>
        <w:tblPrEx>
          <w:tblCellMar>
            <w:top w:w="0" w:type="dxa"/>
            <w:left w:w="108" w:type="dxa"/>
            <w:bottom w:w="0" w:type="dxa"/>
            <w:right w:w="108" w:type="dxa"/>
          </w:tblCellMar>
        </w:tblPrEx>
        <w:trPr>
          <w:trHeight w:val="28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2299901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4,672.13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4,672.13 </w:t>
            </w:r>
          </w:p>
        </w:tc>
      </w:tr>
    </w:tbl>
    <w:p/>
    <w:p>
      <w:r>
        <w:rPr>
          <w:rFonts w:hint="eastAsia"/>
        </w:rPr>
        <w:t>注：本表反映部门本年度取得的各项收入情况。</w:t>
      </w:r>
    </w:p>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3603" w:type="dxa"/>
        <w:jc w:val="center"/>
        <w:tblLayout w:type="fixed"/>
        <w:tblCellMar>
          <w:top w:w="0" w:type="dxa"/>
          <w:left w:w="108" w:type="dxa"/>
          <w:bottom w:w="0" w:type="dxa"/>
          <w:right w:w="108" w:type="dxa"/>
        </w:tblCellMar>
      </w:tblPr>
      <w:tblGrid>
        <w:gridCol w:w="1180"/>
        <w:gridCol w:w="2703"/>
        <w:gridCol w:w="1500"/>
        <w:gridCol w:w="1695"/>
        <w:gridCol w:w="1607"/>
        <w:gridCol w:w="1536"/>
        <w:gridCol w:w="1843"/>
        <w:gridCol w:w="1539"/>
      </w:tblGrid>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6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6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53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7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5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9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60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53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53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21468.00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15279.24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6188.76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270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13626.27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8343.02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5283.25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w:t>
            </w:r>
          </w:p>
        </w:tc>
        <w:tc>
          <w:tcPr>
            <w:tcW w:w="270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检察</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13626.27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8343.02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5283.25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2040401</w:t>
            </w:r>
          </w:p>
        </w:tc>
        <w:tc>
          <w:tcPr>
            <w:tcW w:w="270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8226.45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8203.23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23.22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2040402</w:t>
            </w:r>
          </w:p>
        </w:tc>
        <w:tc>
          <w:tcPr>
            <w:tcW w:w="270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2891.85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4.75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2887.10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2040410</w:t>
            </w:r>
          </w:p>
        </w:tc>
        <w:tc>
          <w:tcPr>
            <w:tcW w:w="270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1542.34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135.04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1407.30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2040499</w:t>
            </w:r>
          </w:p>
        </w:tc>
        <w:tc>
          <w:tcPr>
            <w:tcW w:w="270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其他检察支出</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965.63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965.63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270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1741.70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1741.70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270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1741.70 </w:t>
            </w:r>
          </w:p>
        </w:tc>
        <w:tc>
          <w:tcPr>
            <w:tcW w:w="16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1741.70 </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266.72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266.72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982.69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982.69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492.29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492.29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997.14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997.14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997.14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997.14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497.24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497.24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499.90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499.90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758.49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758.49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2210203</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3.50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3.50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4340.90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3435.39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905.51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22999</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4340.90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3435.39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905.51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2299901</w:t>
            </w:r>
          </w:p>
        </w:tc>
        <w:tc>
          <w:tcPr>
            <w:tcW w:w="2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4340.90 </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3435.39 </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905.51 </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bl>
    <w:p/>
    <w:p>
      <w:r>
        <w:rPr>
          <w:rFonts w:hint="eastAsia"/>
        </w:rPr>
        <w:t>注：本表反映部门本年度各项支出情况。</w:t>
      </w:r>
    </w:p>
    <w:p/>
    <w:p/>
    <w:p/>
    <w:p/>
    <w:p/>
    <w:p/>
    <w:p/>
    <w:p/>
    <w:p/>
    <w:p/>
    <w:p/>
    <w:p/>
    <w:p/>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ascii="方正小标宋简体" w:hAnsi="宋体" w:eastAsia="方正小标宋简体" w:cs="宋体"/>
          <w:kern w:val="0"/>
          <w:sz w:val="36"/>
          <w:szCs w:val="36"/>
        </w:rPr>
      </w:pPr>
      <w:r>
        <w:rPr>
          <w:rFonts w:hint="eastAsia"/>
          <w:sz w:val="22"/>
          <w:szCs w:val="22"/>
        </w:rPr>
        <w:t>单位：万元</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528"/>
        <w:gridCol w:w="750"/>
        <w:gridCol w:w="1702"/>
        <w:gridCol w:w="3053"/>
        <w:gridCol w:w="780"/>
        <w:gridCol w:w="1305"/>
        <w:gridCol w:w="1331"/>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52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70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05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3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5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5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8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3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17040.33 </w:t>
            </w:r>
          </w:p>
        </w:tc>
        <w:tc>
          <w:tcPr>
            <w:tcW w:w="305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30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31"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30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31"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305"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31"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13625.18 </w:t>
            </w:r>
          </w:p>
        </w:tc>
        <w:tc>
          <w:tcPr>
            <w:tcW w:w="13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13625.18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五、教育支出</w:t>
            </w:r>
          </w:p>
        </w:tc>
        <w:tc>
          <w:tcPr>
            <w:tcW w:w="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3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3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1741.70 </w:t>
            </w:r>
          </w:p>
        </w:tc>
        <w:tc>
          <w:tcPr>
            <w:tcW w:w="13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1741.70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997.14 </w:t>
            </w:r>
          </w:p>
        </w:tc>
        <w:tc>
          <w:tcPr>
            <w:tcW w:w="13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997.14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3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761.99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3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70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95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17040.33 </w:t>
            </w:r>
          </w:p>
        </w:tc>
        <w:tc>
          <w:tcPr>
            <w:tcW w:w="305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95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17126.01</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742.46 </w:t>
            </w:r>
          </w:p>
        </w:tc>
        <w:tc>
          <w:tcPr>
            <w:tcW w:w="305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95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656.7</w:t>
            </w:r>
            <w:r>
              <w:rPr>
                <w:rFonts w:hint="eastAsia" w:ascii="宋体" w:hAnsi="宋体" w:cs="Arial"/>
                <w:color w:val="000000"/>
                <w:kern w:val="0"/>
                <w:sz w:val="22"/>
                <w:szCs w:val="22"/>
                <w:lang w:val="en-US" w:eastAsia="zh-CN"/>
              </w:rPr>
              <w:t>7</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一般公共预算财政拨款</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742.46 </w:t>
            </w:r>
          </w:p>
        </w:tc>
        <w:tc>
          <w:tcPr>
            <w:tcW w:w="305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95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305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95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bookmarkStart w:id="0" w:name="_GoBack"/>
            <w:bookmarkEnd w:id="0"/>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305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95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52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7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17782.78 </w:t>
            </w:r>
          </w:p>
        </w:tc>
        <w:tc>
          <w:tcPr>
            <w:tcW w:w="305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95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17782.78</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17,126.01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11,842.76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5,283.25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公共安全支出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13,625.18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8,341.93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5,283.25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检察</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13,625.18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8,341.93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5,283.25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8,225.36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8,202.14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23.22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2040402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2,891.85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4.75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2,887.10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2040410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1,542.34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135.04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1,407.30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2040499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其他检察支出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965.63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965.63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1,741.70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1,741.70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1,741.70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1,741.70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266.72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266.72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982.69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982.69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2080506</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492.29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492.29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997.14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997.14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行政事业单位医疗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997.14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997.14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497.24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497.24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2101103</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499.90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499.90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城乡社区支出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21203</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城乡社区公共设施</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2120399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住房保障支出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761.99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761.99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住房改革支出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761.99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761.99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758.49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758.49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2210203</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3.50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3.50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22999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2299901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p>
        </w:tc>
        <w:tc>
          <w:tcPr>
            <w:tcW w:w="3000" w:type="dxa"/>
            <w:tcBorders>
              <w:top w:val="single" w:color="auto" w:sz="4" w:space="0"/>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2900" w:type="dxa"/>
            <w:tcBorders>
              <w:top w:val="single" w:color="auto" w:sz="4" w:space="0"/>
              <w:left w:val="single" w:color="auto" w:sz="4" w:space="0"/>
              <w:bottom w:val="single" w:color="auto" w:sz="4" w:space="0"/>
              <w:right w:val="single" w:color="auto" w:sz="4" w:space="0"/>
            </w:tcBorders>
          </w:tcPr>
          <w:p>
            <w:pPr>
              <w:widowControl/>
              <w:ind w:firstLine="2200" w:firstLineChars="1100"/>
              <w:jc w:val="left"/>
              <w:rPr>
                <w:rFonts w:ascii="Arial" w:hAnsi="Arial" w:cs="Arial"/>
                <w:color w:val="000000"/>
                <w:kern w:val="0"/>
                <w:sz w:val="20"/>
                <w:szCs w:val="20"/>
              </w:rPr>
            </w:pPr>
          </w:p>
        </w:tc>
        <w:tc>
          <w:tcPr>
            <w:tcW w:w="2900" w:type="dxa"/>
            <w:tcBorders>
              <w:top w:val="single" w:color="auto" w:sz="4" w:space="0"/>
              <w:left w:val="single" w:color="auto" w:sz="4" w:space="0"/>
              <w:bottom w:val="single" w:color="auto" w:sz="4" w:space="0"/>
              <w:right w:val="single" w:color="auto" w:sz="4" w:space="0"/>
            </w:tcBorders>
          </w:tcPr>
          <w:p>
            <w:pPr>
              <w:widowControl/>
              <w:ind w:firstLine="1000" w:firstLineChars="500"/>
              <w:jc w:val="left"/>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577" w:type="dxa"/>
        <w:tblInd w:w="-333" w:type="dxa"/>
        <w:tblLayout w:type="fixed"/>
        <w:tblCellMar>
          <w:top w:w="0" w:type="dxa"/>
          <w:left w:w="108" w:type="dxa"/>
          <w:bottom w:w="0" w:type="dxa"/>
          <w:right w:w="108" w:type="dxa"/>
        </w:tblCellMar>
      </w:tblPr>
      <w:tblGrid>
        <w:gridCol w:w="810"/>
        <w:gridCol w:w="3300"/>
        <w:gridCol w:w="1095"/>
        <w:gridCol w:w="750"/>
        <w:gridCol w:w="2445"/>
        <w:gridCol w:w="1177"/>
      </w:tblGrid>
      <w:tr>
        <w:tblPrEx>
          <w:tblCellMar>
            <w:top w:w="0" w:type="dxa"/>
            <w:left w:w="108" w:type="dxa"/>
            <w:bottom w:w="0" w:type="dxa"/>
            <w:right w:w="108" w:type="dxa"/>
          </w:tblCellMar>
        </w:tblPrEx>
        <w:trPr>
          <w:trHeight w:val="564" w:hRule="atLeast"/>
        </w:trPr>
        <w:tc>
          <w:tcPr>
            <w:tcW w:w="520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37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810"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3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9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75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44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77"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工资福利支出</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9,614.53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商品和服务支出</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1,918.37 </w:t>
            </w:r>
          </w:p>
        </w:tc>
      </w:tr>
      <w:tr>
        <w:tblPrEx>
          <w:tblCellMar>
            <w:top w:w="0" w:type="dxa"/>
            <w:left w:w="108" w:type="dxa"/>
            <w:bottom w:w="0" w:type="dxa"/>
            <w:right w:w="108" w:type="dxa"/>
          </w:tblCellMar>
        </w:tblPrEx>
        <w:trPr>
          <w:trHeight w:val="264"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30101</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2,357.28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30201</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316.66 </w:t>
            </w:r>
          </w:p>
        </w:tc>
      </w:tr>
      <w:tr>
        <w:tblPrEx>
          <w:tblCellMar>
            <w:top w:w="0" w:type="dxa"/>
            <w:left w:w="108" w:type="dxa"/>
            <w:bottom w:w="0" w:type="dxa"/>
            <w:right w:w="108" w:type="dxa"/>
          </w:tblCellMar>
        </w:tblPrEx>
        <w:trPr>
          <w:trHeight w:val="264"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30102</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2,144.39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30202</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12.93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30103</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奖金</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1,602.11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30203</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177"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30106</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123.09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30204</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0.11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30107</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155.09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30205</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水费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18.01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30108</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983.97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30206</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电费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115.27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30109</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492.29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30207</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115.66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30110</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458.84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30208</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177"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30111</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499.90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30209</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9.41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30112</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14.76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30211</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173.49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30113</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779.10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30212</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177"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30114</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95"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30213</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79.21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30199</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3.70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30214</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0.28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308.77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30215</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15.29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30301</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41.93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30216</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43.40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30302</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137.25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30217</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16.31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30303</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95"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30218</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177"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30304</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50.43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30224</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3.68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30305</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19.62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30225</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177"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30306</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95"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30226</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2.92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30307</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38.40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30227</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177"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30308</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95"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30228</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133.92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30309</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95"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30229</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2.35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30310</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95"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30231</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113.78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30399</w:t>
            </w:r>
          </w:p>
        </w:tc>
        <w:tc>
          <w:tcPr>
            <w:tcW w:w="33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21.14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30239</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498.18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3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09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30299</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247.53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3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09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310</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资本性支出</w:t>
            </w:r>
          </w:p>
        </w:tc>
        <w:tc>
          <w:tcPr>
            <w:tcW w:w="117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1.10 </w:t>
            </w: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3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09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31001</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177"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81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3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09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31002</w:t>
            </w:r>
          </w:p>
        </w:tc>
        <w:tc>
          <w:tcPr>
            <w:tcW w:w="244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17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1.10 </w:t>
            </w:r>
          </w:p>
        </w:tc>
      </w:tr>
      <w:tr>
        <w:tblPrEx>
          <w:tblCellMar>
            <w:top w:w="0" w:type="dxa"/>
            <w:left w:w="108" w:type="dxa"/>
            <w:bottom w:w="0" w:type="dxa"/>
            <w:right w:w="108" w:type="dxa"/>
          </w:tblCellMar>
        </w:tblPrEx>
        <w:trPr>
          <w:trHeight w:val="264" w:hRule="atLeast"/>
        </w:trPr>
        <w:tc>
          <w:tcPr>
            <w:tcW w:w="411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9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9,923.30 </w:t>
            </w:r>
          </w:p>
        </w:tc>
        <w:tc>
          <w:tcPr>
            <w:tcW w:w="3195"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17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1,919.47 </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w:t>
      </w:r>
    </w:p>
    <w:p>
      <w:pPr>
        <w:jc w:val="both"/>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4077" w:type="dxa"/>
        <w:jc w:val="center"/>
        <w:tblLayout w:type="fixed"/>
        <w:tblCellMar>
          <w:top w:w="0" w:type="dxa"/>
          <w:left w:w="108" w:type="dxa"/>
          <w:bottom w:w="0" w:type="dxa"/>
          <w:right w:w="108" w:type="dxa"/>
        </w:tblCellMar>
      </w:tblPr>
      <w:tblGrid>
        <w:gridCol w:w="985"/>
        <w:gridCol w:w="1397"/>
        <w:gridCol w:w="1034"/>
        <w:gridCol w:w="1242"/>
        <w:gridCol w:w="1242"/>
        <w:gridCol w:w="1216"/>
        <w:gridCol w:w="1101"/>
        <w:gridCol w:w="1125"/>
        <w:gridCol w:w="946"/>
        <w:gridCol w:w="1398"/>
        <w:gridCol w:w="1208"/>
        <w:gridCol w:w="1183"/>
      </w:tblGrid>
      <w:tr>
        <w:tblPrEx>
          <w:tblCellMar>
            <w:top w:w="0" w:type="dxa"/>
            <w:left w:w="108" w:type="dxa"/>
            <w:bottom w:w="0" w:type="dxa"/>
            <w:right w:w="108" w:type="dxa"/>
          </w:tblCellMar>
        </w:tblPrEx>
        <w:trPr>
          <w:trHeight w:val="540" w:hRule="atLeast"/>
          <w:jc w:val="center"/>
        </w:trPr>
        <w:tc>
          <w:tcPr>
            <w:tcW w:w="711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98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97"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51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110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25"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55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97"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25"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4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98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4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9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349.9</w:t>
            </w:r>
            <w:r>
              <w:rPr>
                <w:rFonts w:hint="eastAsia" w:ascii="宋体" w:hAnsi="宋体" w:cs="宋体"/>
                <w:i w:val="0"/>
                <w:iCs w:val="0"/>
                <w:color w:val="000000"/>
                <w:kern w:val="0"/>
                <w:sz w:val="24"/>
                <w:szCs w:val="24"/>
                <w:u w:val="none"/>
                <w:lang w:val="en-US" w:eastAsia="zh-CN" w:bidi="ar"/>
              </w:rPr>
              <w:t>4</w:t>
            </w:r>
          </w:p>
        </w:tc>
        <w:tc>
          <w:tcPr>
            <w:tcW w:w="13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0</w:t>
            </w:r>
          </w:p>
        </w:tc>
        <w:tc>
          <w:tcPr>
            <w:tcW w:w="10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326.07</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174.9</w:t>
            </w:r>
            <w:r>
              <w:rPr>
                <w:rFonts w:hint="eastAsia" w:ascii="宋体" w:hAnsi="宋体" w:cs="宋体"/>
                <w:i w:val="0"/>
                <w:iCs w:val="0"/>
                <w:color w:val="000000"/>
                <w:kern w:val="0"/>
                <w:sz w:val="24"/>
                <w:szCs w:val="24"/>
                <w:u w:val="none"/>
                <w:lang w:val="en-US" w:eastAsia="zh-CN" w:bidi="ar"/>
              </w:rPr>
              <w:t>2</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151.1</w:t>
            </w:r>
            <w:r>
              <w:rPr>
                <w:rFonts w:hint="eastAsia" w:ascii="宋体" w:hAnsi="宋体" w:cs="宋体"/>
                <w:i w:val="0"/>
                <w:iCs w:val="0"/>
                <w:color w:val="000000"/>
                <w:kern w:val="0"/>
                <w:sz w:val="24"/>
                <w:szCs w:val="24"/>
                <w:u w:val="none"/>
                <w:lang w:val="en-US" w:eastAsia="zh-CN" w:bidi="ar"/>
              </w:rPr>
              <w:t>5</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23.8</w:t>
            </w:r>
            <w:r>
              <w:rPr>
                <w:rFonts w:hint="eastAsia" w:ascii="宋体" w:hAnsi="宋体" w:cs="宋体"/>
                <w:i w:val="0"/>
                <w:iCs w:val="0"/>
                <w:color w:val="000000"/>
                <w:kern w:val="0"/>
                <w:sz w:val="24"/>
                <w:szCs w:val="24"/>
                <w:u w:val="none"/>
                <w:lang w:val="en-US" w:eastAsia="zh-CN" w:bidi="ar"/>
              </w:rPr>
              <w:t>7</w:t>
            </w:r>
          </w:p>
        </w:tc>
        <w:tc>
          <w:tcPr>
            <w:tcW w:w="11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260.9</w:t>
            </w:r>
            <w:r>
              <w:rPr>
                <w:rFonts w:hint="eastAsia" w:ascii="宋体" w:hAnsi="宋体" w:cs="宋体"/>
                <w:i w:val="0"/>
                <w:iCs w:val="0"/>
                <w:color w:val="000000"/>
                <w:kern w:val="0"/>
                <w:sz w:val="24"/>
                <w:szCs w:val="24"/>
                <w:u w:val="none"/>
                <w:lang w:val="en-US" w:eastAsia="zh-CN" w:bidi="ar"/>
              </w:rPr>
              <w:t>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0</w:t>
            </w:r>
          </w:p>
        </w:tc>
        <w:tc>
          <w:tcPr>
            <w:tcW w:w="94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244.61</w:t>
            </w:r>
          </w:p>
        </w:tc>
        <w:tc>
          <w:tcPr>
            <w:tcW w:w="13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130.8</w:t>
            </w:r>
            <w:r>
              <w:rPr>
                <w:rFonts w:hint="eastAsia" w:ascii="宋体" w:hAnsi="宋体" w:cs="宋体"/>
                <w:i w:val="0"/>
                <w:iCs w:val="0"/>
                <w:color w:val="000000"/>
                <w:kern w:val="0"/>
                <w:sz w:val="24"/>
                <w:szCs w:val="24"/>
                <w:u w:val="none"/>
                <w:lang w:val="en-US" w:eastAsia="zh-CN" w:bidi="ar"/>
              </w:rPr>
              <w:t>3</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113.7</w:t>
            </w:r>
            <w:r>
              <w:rPr>
                <w:rFonts w:hint="eastAsia" w:ascii="宋体" w:hAnsi="宋体" w:cs="宋体"/>
                <w:i w:val="0"/>
                <w:iCs w:val="0"/>
                <w:color w:val="000000"/>
                <w:kern w:val="0"/>
                <w:sz w:val="24"/>
                <w:szCs w:val="24"/>
                <w:u w:val="none"/>
                <w:lang w:val="en-US" w:eastAsia="zh-CN" w:bidi="ar"/>
              </w:rPr>
              <w:t>8</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16.3</w:t>
            </w:r>
            <w:r>
              <w:rPr>
                <w:rFonts w:hint="eastAsia" w:ascii="宋体" w:hAnsi="宋体" w:cs="宋体"/>
                <w:i w:val="0"/>
                <w:iCs w:val="0"/>
                <w:color w:val="000000"/>
                <w:kern w:val="0"/>
                <w:sz w:val="24"/>
                <w:szCs w:val="24"/>
                <w:u w:val="none"/>
                <w:lang w:val="en-US" w:eastAsia="zh-CN" w:bidi="ar"/>
              </w:rPr>
              <w:t>1</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注：本表反映部门本年度政府性基金预算财政拨款收入支出及结转和结余情况。</w:t>
      </w:r>
    </w:p>
    <w:p>
      <w:pPr>
        <w:spacing w:line="560" w:lineRule="exact"/>
        <w:ind w:firstLine="420"/>
        <w:rPr>
          <w:rFonts w:hint="eastAsia"/>
        </w:rPr>
      </w:pPr>
      <w:r>
        <w:rPr>
          <w:rFonts w:hint="eastAsia" w:ascii="仿宋_GB2312" w:hAnsi="仿宋_GB2312" w:eastAsia="仿宋_GB2312" w:cs="仿宋_GB2312"/>
          <w:b w:val="0"/>
          <w:bCs/>
          <w:sz w:val="32"/>
          <w:szCs w:val="32"/>
          <w:lang w:eastAsia="zh-CN"/>
        </w:rPr>
        <w:t>柳州市人民检察院</w:t>
      </w:r>
      <w:r>
        <w:rPr>
          <w:rFonts w:hint="eastAsia" w:ascii="仿宋_GB2312" w:hAnsi="仿宋_GB2312" w:eastAsia="仿宋_GB2312" w:cs="仿宋_GB2312"/>
          <w:b w:val="0"/>
          <w:bCs/>
          <w:sz w:val="32"/>
          <w:szCs w:val="32"/>
        </w:rPr>
        <w:t>没有</w:t>
      </w:r>
      <w:r>
        <w:rPr>
          <w:rFonts w:hint="eastAsia" w:ascii="仿宋_GB2312" w:hAnsi="仿宋_GB2312" w:eastAsia="仿宋_GB2312" w:cs="仿宋_GB2312"/>
          <w:b w:val="0"/>
          <w:bCs/>
          <w:kern w:val="0"/>
          <w:sz w:val="32"/>
          <w:szCs w:val="32"/>
        </w:rPr>
        <w:t>政府性基金预算财政拨款</w:t>
      </w:r>
      <w:r>
        <w:rPr>
          <w:rFonts w:hint="eastAsia" w:ascii="仿宋_GB2312" w:hAnsi="仿宋_GB2312" w:eastAsia="仿宋_GB2312" w:cs="仿宋_GB2312"/>
          <w:b w:val="0"/>
          <w:bCs/>
          <w:sz w:val="32"/>
          <w:szCs w:val="32"/>
        </w:rPr>
        <w:t>收入，也没有</w:t>
      </w:r>
      <w:r>
        <w:rPr>
          <w:rFonts w:hint="eastAsia" w:ascii="仿宋_GB2312" w:hAnsi="仿宋_GB2312" w:eastAsia="仿宋_GB2312" w:cs="仿宋_GB2312"/>
          <w:b w:val="0"/>
          <w:bCs/>
          <w:kern w:val="0"/>
          <w:sz w:val="32"/>
          <w:szCs w:val="32"/>
        </w:rPr>
        <w:t>政府性基金</w:t>
      </w:r>
      <w:r>
        <w:rPr>
          <w:rFonts w:hint="eastAsia" w:ascii="仿宋_GB2312" w:hAnsi="仿宋_GB2312" w:eastAsia="仿宋_GB2312" w:cs="仿宋_GB2312"/>
          <w:b w:val="0"/>
          <w:bCs/>
          <w:sz w:val="32"/>
          <w:szCs w:val="32"/>
        </w:rPr>
        <w:t>安排的支出，故本表无数据</w:t>
      </w:r>
      <w:r>
        <w:rPr>
          <w:rFonts w:hint="eastAsia" w:ascii="仿宋_GB2312" w:hAnsi="仿宋_GB2312" w:eastAsia="仿宋_GB2312" w:cs="仿宋_GB2312"/>
          <w:b w:val="0"/>
          <w:bCs/>
          <w:sz w:val="32"/>
          <w:szCs w:val="32"/>
          <w:lang w:eastAsia="zh-CN"/>
        </w:rPr>
        <w:t>。</w:t>
      </w: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0"/>
                <w:highlight w:val="none"/>
                <w:lang w:val="en-US" w:eastAsia="zh-CN" w:bidi="ar"/>
              </w:rPr>
              <w:t xml:space="preserve">   </w:t>
            </w:r>
            <w:r>
              <w:rPr>
                <w:rStyle w:val="11"/>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0</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tc>
      </w:tr>
    </w:tbl>
    <w:p>
      <w:pPr>
        <w:spacing w:line="560" w:lineRule="exact"/>
        <w:ind w:firstLine="420"/>
        <w:rPr>
          <w:rFonts w:hint="eastAsia"/>
        </w:rPr>
      </w:pPr>
      <w:r>
        <w:rPr>
          <w:rFonts w:hint="eastAsia" w:ascii="仿宋_GB2312" w:hAnsi="仿宋_GB2312" w:eastAsia="仿宋_GB2312" w:cs="仿宋_GB2312"/>
          <w:b w:val="0"/>
          <w:bCs/>
          <w:sz w:val="32"/>
          <w:szCs w:val="32"/>
          <w:lang w:eastAsia="zh-CN"/>
        </w:rPr>
        <w:t>柳州市人民检察院</w:t>
      </w:r>
      <w:r>
        <w:rPr>
          <w:rFonts w:hint="eastAsia" w:ascii="仿宋_GB2312" w:hAnsi="仿宋_GB2312" w:eastAsia="仿宋_GB2312" w:cs="仿宋_GB2312"/>
          <w:b w:val="0"/>
          <w:bCs/>
          <w:sz w:val="32"/>
          <w:szCs w:val="32"/>
        </w:rPr>
        <w:t>没有</w:t>
      </w:r>
      <w:r>
        <w:rPr>
          <w:rFonts w:hint="eastAsia" w:ascii="仿宋_GB2312" w:hAnsi="仿宋_GB2312" w:eastAsia="仿宋_GB2312" w:cs="仿宋_GB2312"/>
          <w:b w:val="0"/>
          <w:bCs/>
          <w:sz w:val="32"/>
          <w:szCs w:val="32"/>
          <w:lang w:val="en-US" w:eastAsia="zh-CN"/>
        </w:rPr>
        <w:t>国有资本经营预算财政拨款</w:t>
      </w:r>
      <w:r>
        <w:rPr>
          <w:rFonts w:hint="eastAsia" w:ascii="仿宋_GB2312" w:hAnsi="仿宋_GB2312" w:eastAsia="仿宋_GB2312" w:cs="仿宋_GB2312"/>
          <w:b w:val="0"/>
          <w:bCs/>
          <w:sz w:val="32"/>
          <w:szCs w:val="32"/>
          <w:lang w:eastAsia="zh-CN"/>
        </w:rPr>
        <w:t>收入，也没有</w:t>
      </w:r>
      <w:r>
        <w:rPr>
          <w:rFonts w:hint="eastAsia" w:ascii="仿宋_GB2312" w:hAnsi="仿宋_GB2312" w:eastAsia="仿宋_GB2312" w:cs="仿宋_GB2312"/>
          <w:b w:val="0"/>
          <w:bCs/>
          <w:sz w:val="32"/>
          <w:szCs w:val="32"/>
          <w:lang w:val="en-US" w:eastAsia="zh-CN"/>
        </w:rPr>
        <w:t>国有资本经营预算财政拨款</w:t>
      </w:r>
      <w:r>
        <w:rPr>
          <w:rFonts w:hint="eastAsia" w:ascii="仿宋_GB2312" w:hAnsi="仿宋_GB2312" w:eastAsia="仿宋_GB2312" w:cs="仿宋_GB2312"/>
          <w:b w:val="0"/>
          <w:bCs/>
          <w:sz w:val="32"/>
          <w:szCs w:val="32"/>
          <w:lang w:eastAsia="zh-CN"/>
        </w:rPr>
        <w:t>的</w:t>
      </w:r>
      <w:r>
        <w:rPr>
          <w:rFonts w:hint="eastAsia" w:ascii="仿宋_GB2312" w:hAnsi="仿宋_GB2312" w:eastAsia="仿宋_GB2312" w:cs="仿宋_GB2312"/>
          <w:b w:val="0"/>
          <w:bCs/>
          <w:sz w:val="32"/>
          <w:szCs w:val="32"/>
        </w:rPr>
        <w:t>支出，故本表无数据</w:t>
      </w:r>
      <w:r>
        <w:rPr>
          <w:rFonts w:hint="eastAsia" w:ascii="仿宋_GB2312" w:hAnsi="仿宋_GB2312" w:eastAsia="仿宋_GB2312" w:cs="仿宋_GB2312"/>
          <w:b w:val="0"/>
          <w:bCs/>
          <w:sz w:val="32"/>
          <w:szCs w:val="32"/>
          <w:lang w:eastAsia="zh-CN"/>
        </w:rPr>
        <w:t>。</w:t>
      </w:r>
    </w:p>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22939.62</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22939.62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与2019年相比，收、支分别增加</w:t>
      </w:r>
      <w:r>
        <w:rPr>
          <w:rFonts w:hint="eastAsia" w:ascii="仿宋_GB2312" w:eastAsia="仿宋_GB2312" w:cs="仿宋_GB2312"/>
          <w:bCs/>
          <w:kern w:val="0"/>
          <w:sz w:val="32"/>
          <w:szCs w:val="32"/>
          <w:highlight w:val="none"/>
          <w:lang w:val="en-US" w:eastAsia="zh-CN"/>
        </w:rPr>
        <w:t>13786.77</w:t>
      </w:r>
      <w:r>
        <w:rPr>
          <w:rFonts w:hint="eastAsia" w:ascii="仿宋_GB2312" w:eastAsia="仿宋_GB2312" w:cs="仿宋_GB2312"/>
          <w:bCs/>
          <w:kern w:val="0"/>
          <w:sz w:val="32"/>
          <w:szCs w:val="32"/>
          <w:highlight w:val="none"/>
        </w:rPr>
        <w:t>；分别增长</w:t>
      </w:r>
      <w:r>
        <w:rPr>
          <w:rFonts w:hint="eastAsia" w:ascii="仿宋_GB2312" w:eastAsia="仿宋_GB2312" w:cs="仿宋_GB2312"/>
          <w:bCs/>
          <w:kern w:val="0"/>
          <w:sz w:val="32"/>
          <w:szCs w:val="32"/>
          <w:highlight w:val="none"/>
          <w:lang w:val="en-US" w:eastAsia="zh-CN"/>
        </w:rPr>
        <w:t>150.63%。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21716.70</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17040.33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78.47%</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4676.37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21.53%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本年支出合计 </w:t>
      </w:r>
      <w:r>
        <w:rPr>
          <w:rFonts w:hint="eastAsia" w:ascii="仿宋_GB2312" w:eastAsia="仿宋_GB2312" w:cs="仿宋_GB2312"/>
          <w:bCs/>
          <w:kern w:val="0"/>
          <w:sz w:val="32"/>
          <w:szCs w:val="32"/>
          <w:lang w:val="en-US" w:eastAsia="zh-CN"/>
        </w:rPr>
        <w:t>21468.00</w:t>
      </w:r>
      <w:r>
        <w:rPr>
          <w:rFonts w:hint="eastAsia" w:ascii="仿宋_GB2312" w:eastAsia="仿宋_GB2312" w:cs="仿宋_GB2312"/>
          <w:bCs/>
          <w:kern w:val="0"/>
          <w:sz w:val="32"/>
          <w:szCs w:val="32"/>
        </w:rPr>
        <w:t>万元，其中：基本支出 15279.24万元，占</w:t>
      </w:r>
      <w:r>
        <w:rPr>
          <w:rFonts w:hint="eastAsia" w:ascii="仿宋_GB2312" w:eastAsia="仿宋_GB2312" w:cs="仿宋_GB2312"/>
          <w:bCs/>
          <w:kern w:val="0"/>
          <w:sz w:val="32"/>
          <w:szCs w:val="32"/>
          <w:lang w:val="en-US" w:eastAsia="zh-CN"/>
        </w:rPr>
        <w:t>71.17</w:t>
      </w:r>
      <w:r>
        <w:rPr>
          <w:rFonts w:hint="eastAsia" w:ascii="仿宋_GB2312" w:eastAsia="仿宋_GB2312" w:cs="仿宋_GB2312"/>
          <w:bCs/>
          <w:kern w:val="0"/>
          <w:sz w:val="32"/>
          <w:szCs w:val="32"/>
        </w:rPr>
        <w:t>%；项目支出6188.7</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28.83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2020年度财政拨款收、支总决算17,782.78万元。与 2019 年相比，财政拨款收、支总计各增加</w:t>
      </w:r>
      <w:r>
        <w:rPr>
          <w:rFonts w:hint="eastAsia" w:ascii="仿宋_GB2312" w:eastAsia="仿宋_GB2312" w:cs="仿宋_GB2312"/>
          <w:bCs/>
          <w:kern w:val="0"/>
          <w:sz w:val="32"/>
          <w:szCs w:val="32"/>
          <w:lang w:val="en-US" w:eastAsia="zh-CN"/>
        </w:rPr>
        <w:t>8641.76</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94.54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2020年度财政拨款支出17,126.01万元，占本年支出合计的</w:t>
      </w:r>
      <w:r>
        <w:rPr>
          <w:rFonts w:hint="eastAsia" w:ascii="仿宋_GB2312" w:eastAsia="仿宋_GB2312" w:cs="仿宋_GB2312"/>
          <w:bCs/>
          <w:kern w:val="0"/>
          <w:sz w:val="32"/>
          <w:szCs w:val="32"/>
          <w:lang w:val="en-US" w:eastAsia="zh-CN"/>
        </w:rPr>
        <w:t>74.66</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val="en-US" w:eastAsia="zh-CN"/>
        </w:rPr>
        <w:t>9158.65</w:t>
      </w:r>
      <w:r>
        <w:rPr>
          <w:rFonts w:hint="eastAsia" w:ascii="仿宋_GB2312" w:eastAsia="仿宋_GB2312" w:cs="仿宋_GB2312"/>
          <w:bCs/>
          <w:kern w:val="0"/>
          <w:sz w:val="32"/>
          <w:szCs w:val="32"/>
        </w:rPr>
        <w:t xml:space="preserve"> 万元，增加</w:t>
      </w:r>
      <w:r>
        <w:rPr>
          <w:rFonts w:hint="eastAsia" w:ascii="仿宋_GB2312" w:eastAsia="仿宋_GB2312" w:cs="仿宋_GB2312"/>
          <w:bCs/>
          <w:kern w:val="0"/>
          <w:sz w:val="32"/>
          <w:szCs w:val="32"/>
          <w:lang w:val="en-US" w:eastAsia="zh-CN"/>
        </w:rPr>
        <w:t>114.92</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ind w:firstLine="0"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年度财政拨款支出17126.01万元，主要用于以下方面：</w:t>
      </w:r>
      <w:r>
        <w:rPr>
          <w:rFonts w:hint="eastAsia" w:ascii="仿宋_GB2312" w:eastAsia="仿宋_GB2312" w:cs="仿宋_GB2312"/>
          <w:bCs/>
          <w:kern w:val="0"/>
          <w:sz w:val="32"/>
          <w:szCs w:val="32"/>
          <w:lang w:eastAsia="zh-CN"/>
        </w:rPr>
        <w:t>公共安全</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13,625.18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79.56</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1,741.70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10.17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997.14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5.82</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761.99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4.45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5733.62</w:t>
      </w:r>
      <w:r>
        <w:rPr>
          <w:rFonts w:hint="eastAsia" w:ascii="仿宋_GB2312" w:eastAsia="仿宋_GB2312" w:cs="仿宋_GB2312"/>
          <w:bCs/>
          <w:kern w:val="0"/>
          <w:sz w:val="32"/>
          <w:szCs w:val="32"/>
        </w:rPr>
        <w:t>万元，支出决算为17,126.01万元，完成年初预算的</w:t>
      </w:r>
      <w:r>
        <w:rPr>
          <w:rFonts w:hint="eastAsia" w:ascii="仿宋_GB2312" w:eastAsia="仿宋_GB2312" w:cs="仿宋_GB2312"/>
          <w:bCs/>
          <w:kern w:val="0"/>
          <w:sz w:val="32"/>
          <w:szCs w:val="32"/>
          <w:lang w:val="en-US" w:eastAsia="zh-CN"/>
        </w:rPr>
        <w:t>298.69</w:t>
      </w:r>
      <w:r>
        <w:rPr>
          <w:rFonts w:hint="eastAsia" w:ascii="仿宋_GB2312" w:eastAsia="仿宋_GB2312" w:cs="仿宋_GB2312"/>
          <w:bCs/>
          <w:kern w:val="0"/>
          <w:sz w:val="32"/>
          <w:szCs w:val="32"/>
        </w:rPr>
        <w:t>%。决算数大于预算数的主要原因：一是年中追加安排财政拨款支出预算，涉及项目有公共安全（检察）行政运行</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公共安全（检察）一般行政管理事务</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公共安全（检察）其它检察支出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归口管理的行政单位离退休</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行政单位医疗</w:t>
      </w:r>
      <w:r>
        <w:rPr>
          <w:rFonts w:hint="eastAsia" w:ascii="仿宋_GB2312" w:eastAsia="仿宋_GB2312" w:cs="仿宋_GB2312"/>
          <w:bCs/>
          <w:kern w:val="0"/>
          <w:sz w:val="32"/>
          <w:szCs w:val="32"/>
          <w:lang w:eastAsia="zh-CN"/>
        </w:rPr>
        <w:t>、住房公积金、住房保险、城乡社区支出、其他支出</w:t>
      </w:r>
      <w:r>
        <w:rPr>
          <w:rFonts w:hint="eastAsia" w:ascii="仿宋_GB2312" w:eastAsia="仿宋_GB2312" w:cs="仿宋_GB2312"/>
          <w:bCs/>
          <w:kern w:val="0"/>
          <w:sz w:val="32"/>
          <w:szCs w:val="32"/>
        </w:rPr>
        <w:t>；二是部分支出按规定，通过使用以前年度财政拨款结转资金解决。</w:t>
      </w:r>
      <w:r>
        <w:rPr>
          <w:rFonts w:hint="eastAsia" w:ascii="仿宋_GB2312" w:eastAsia="仿宋_GB2312" w:cs="仿宋_GB2312"/>
          <w:bCs/>
          <w:kern w:val="0"/>
          <w:sz w:val="32"/>
          <w:szCs w:val="32"/>
          <w:lang w:eastAsia="zh-CN"/>
        </w:rPr>
        <w:t>三是</w:t>
      </w:r>
      <w:r>
        <w:rPr>
          <w:rFonts w:hint="eastAsia" w:ascii="仿宋_GB2312" w:eastAsia="仿宋_GB2312" w:cs="仿宋_GB2312"/>
          <w:bCs/>
          <w:kern w:val="0"/>
          <w:sz w:val="32"/>
          <w:szCs w:val="32"/>
          <w:lang w:val="en-US" w:eastAsia="zh-CN"/>
        </w:rPr>
        <w:t>2020年度我市两级检察院作为全区法院、检察院人财物统一管理改革试点，县（区）检察院作为柳州市人民检察院二级预算单位，纳入柳州市财政局预算管理，</w:t>
      </w:r>
      <w:r>
        <w:rPr>
          <w:rFonts w:hint="eastAsia" w:ascii="仿宋_GB2312" w:eastAsia="仿宋_GB2312" w:cs="仿宋_GB2312"/>
          <w:bCs/>
          <w:kern w:val="0"/>
          <w:sz w:val="32"/>
          <w:szCs w:val="32"/>
        </w:rPr>
        <w:t>因是首次纳入市级预算管理，相关工作尚待理顺</w:t>
      </w:r>
      <w:r>
        <w:rPr>
          <w:rFonts w:hint="eastAsia" w:ascii="仿宋_GB2312" w:eastAsia="仿宋_GB2312" w:cs="仿宋_GB2312"/>
          <w:bCs/>
          <w:kern w:val="0"/>
          <w:sz w:val="32"/>
          <w:szCs w:val="32"/>
          <w:lang w:val="en-US" w:eastAsia="zh-CN"/>
        </w:rPr>
        <w:t>，2020年各县（区）检察院相关经费以预拨形式未编入市本级预算</w:t>
      </w:r>
      <w:r>
        <w:rPr>
          <w:rFonts w:hint="eastAsia" w:ascii="仿宋_GB2312" w:eastAsia="仿宋_GB2312" w:cs="仿宋_GB2312"/>
          <w:bCs/>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w:t>
      </w:r>
      <w:r>
        <w:rPr>
          <w:rFonts w:hint="eastAsia" w:ascii="仿宋_GB2312" w:eastAsia="仿宋_GB2312" w:cs="仿宋_GB2312"/>
          <w:bCs/>
          <w:kern w:val="0"/>
          <w:sz w:val="32"/>
          <w:szCs w:val="32"/>
          <w:highlight w:val="none"/>
          <w:lang w:eastAsia="zh-CN"/>
        </w:rPr>
        <w:t>公共安全支出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检察</w:t>
      </w:r>
      <w:r>
        <w:rPr>
          <w:rFonts w:hint="eastAsia" w:ascii="仿宋_GB2312" w:eastAsia="仿宋_GB2312" w:cs="仿宋_GB2312"/>
          <w:bCs/>
          <w:kern w:val="0"/>
          <w:sz w:val="32"/>
          <w:szCs w:val="32"/>
          <w:highlight w:val="none"/>
        </w:rPr>
        <w:t>（款）行政运行（项）。 年初预算为3118.42万元，支出决算为</w:t>
      </w:r>
      <w:r>
        <w:rPr>
          <w:rFonts w:hint="eastAsia" w:ascii="仿宋_GB2312" w:eastAsia="仿宋_GB2312" w:cs="仿宋_GB2312"/>
          <w:bCs/>
          <w:kern w:val="0"/>
          <w:sz w:val="32"/>
          <w:szCs w:val="32"/>
          <w:highlight w:val="none"/>
          <w:lang w:val="en-US" w:eastAsia="zh-CN"/>
        </w:rPr>
        <w:t>8,225.36</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263.77</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w:t>
      </w:r>
      <w:r>
        <w:rPr>
          <w:rFonts w:hint="eastAsia" w:ascii="仿宋_GB2312" w:hAnsi="宋体" w:eastAsia="仿宋_GB2312" w:cs="仿宋_GB2312"/>
          <w:b w:val="0"/>
          <w:kern w:val="0"/>
          <w:sz w:val="32"/>
          <w:szCs w:val="32"/>
          <w:highlight w:val="none"/>
          <w:lang w:val="en-US" w:eastAsia="zh-CN" w:bidi="ar"/>
        </w:rPr>
        <w:t>在职人员调资增资，以及发放2020年绩效奖励、</w:t>
      </w:r>
      <w:r>
        <w:rPr>
          <w:rFonts w:hint="eastAsia" w:ascii="仿宋_GB2312" w:eastAsia="仿宋_GB2312" w:cs="仿宋_GB2312"/>
          <w:kern w:val="0"/>
          <w:sz w:val="32"/>
          <w:szCs w:val="32"/>
          <w:highlight w:val="none"/>
          <w:lang w:eastAsia="zh-CN"/>
        </w:rPr>
        <w:t>办公费、差旅费、工会经费增加</w:t>
      </w:r>
      <w:r>
        <w:rPr>
          <w:rFonts w:hint="eastAsia" w:ascii="仿宋_GB2312" w:hAnsi="宋体" w:eastAsia="仿宋_GB2312" w:cs="仿宋_GB2312"/>
          <w:b w:val="0"/>
          <w:kern w:val="0"/>
          <w:sz w:val="32"/>
          <w:szCs w:val="32"/>
          <w:highlight w:val="none"/>
          <w:lang w:val="en-US" w:eastAsia="zh-CN" w:bidi="ar"/>
        </w:rPr>
        <w:t>等</w:t>
      </w:r>
      <w:r>
        <w:rPr>
          <w:rFonts w:hint="eastAsia" w:ascii="仿宋_GB2312" w:eastAsia="仿宋_GB2312" w:cs="仿宋_GB2312"/>
          <w:kern w:val="0"/>
          <w:sz w:val="32"/>
          <w:szCs w:val="32"/>
          <w:highlight w:val="none"/>
          <w:lang w:eastAsia="zh-CN"/>
        </w:rPr>
        <w:t>；以及增加</w:t>
      </w:r>
      <w:r>
        <w:rPr>
          <w:rFonts w:hint="eastAsia" w:ascii="仿宋_GB2312" w:eastAsia="仿宋_GB2312" w:cs="仿宋_GB2312"/>
          <w:kern w:val="0"/>
          <w:sz w:val="32"/>
          <w:szCs w:val="32"/>
          <w:highlight w:val="none"/>
          <w:lang w:val="en-US" w:eastAsia="zh-CN"/>
        </w:rPr>
        <w:t>10个二级预算单位</w:t>
      </w:r>
      <w:r>
        <w:rPr>
          <w:rFonts w:hint="eastAsia" w:ascii="仿宋_GB2312" w:eastAsia="仿宋_GB2312" w:cs="仿宋_GB2312"/>
          <w:bCs/>
          <w:kern w:val="0"/>
          <w:sz w:val="32"/>
          <w:szCs w:val="32"/>
          <w:highlight w:val="none"/>
          <w:lang w:val="en-US" w:eastAsia="zh-CN"/>
        </w:rPr>
        <w:t>相关经费以预拨形式未编入市本级预算</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w:t>
      </w:r>
      <w:r>
        <w:rPr>
          <w:rFonts w:hint="eastAsia" w:ascii="仿宋_GB2312" w:eastAsia="仿宋_GB2312" w:cs="仿宋_GB2312"/>
          <w:bCs/>
          <w:kern w:val="0"/>
          <w:sz w:val="32"/>
          <w:szCs w:val="32"/>
          <w:highlight w:val="none"/>
          <w:lang w:eastAsia="zh-CN"/>
        </w:rPr>
        <w:t>公共安全</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检察</w:t>
      </w:r>
      <w:r>
        <w:rPr>
          <w:rFonts w:hint="eastAsia" w:ascii="仿宋_GB2312" w:eastAsia="仿宋_GB2312" w:cs="仿宋_GB2312"/>
          <w:bCs/>
          <w:kern w:val="0"/>
          <w:sz w:val="32"/>
          <w:szCs w:val="32"/>
          <w:highlight w:val="none"/>
        </w:rPr>
        <w:t>（款）一般行政管理事务（项）。年初预算为</w:t>
      </w:r>
      <w:r>
        <w:rPr>
          <w:rFonts w:hint="eastAsia" w:ascii="仿宋_GB2312" w:eastAsia="仿宋_GB2312" w:cs="仿宋_GB2312"/>
          <w:bCs/>
          <w:kern w:val="0"/>
          <w:sz w:val="32"/>
          <w:szCs w:val="32"/>
          <w:highlight w:val="none"/>
          <w:lang w:val="en-US" w:eastAsia="zh-CN"/>
        </w:rPr>
        <w:t>856.39</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2,891.85</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337.68</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eastAsia="zh-CN"/>
        </w:rPr>
        <w:t>：柳州市人民检察院增加中央政法转移支付办案费和中央政法转移业务装备费；</w:t>
      </w:r>
      <w:r>
        <w:rPr>
          <w:rFonts w:hint="eastAsia" w:ascii="仿宋_GB2312" w:eastAsia="仿宋_GB2312" w:cs="仿宋_GB2312"/>
          <w:kern w:val="0"/>
          <w:sz w:val="32"/>
          <w:szCs w:val="32"/>
          <w:highlight w:val="none"/>
          <w:lang w:eastAsia="zh-CN"/>
        </w:rPr>
        <w:t>以及增加</w:t>
      </w:r>
      <w:r>
        <w:rPr>
          <w:rFonts w:hint="eastAsia" w:ascii="仿宋_GB2312" w:eastAsia="仿宋_GB2312" w:cs="仿宋_GB2312"/>
          <w:kern w:val="0"/>
          <w:sz w:val="32"/>
          <w:szCs w:val="32"/>
          <w:highlight w:val="none"/>
          <w:lang w:val="en-US" w:eastAsia="zh-CN"/>
        </w:rPr>
        <w:t>10个二级预算单位</w:t>
      </w:r>
      <w:r>
        <w:rPr>
          <w:rFonts w:hint="eastAsia" w:ascii="仿宋_GB2312" w:eastAsia="仿宋_GB2312" w:cs="仿宋_GB2312"/>
          <w:bCs/>
          <w:kern w:val="0"/>
          <w:sz w:val="32"/>
          <w:szCs w:val="32"/>
          <w:highlight w:val="none"/>
          <w:lang w:val="en-US" w:eastAsia="zh-CN"/>
        </w:rPr>
        <w:t>相关经费以预拨形式未编入市本级预算</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3.</w:t>
      </w:r>
      <w:r>
        <w:rPr>
          <w:rFonts w:hint="eastAsia" w:ascii="仿宋_GB2312" w:eastAsia="仿宋_GB2312" w:cs="仿宋_GB2312"/>
          <w:bCs/>
          <w:kern w:val="0"/>
          <w:sz w:val="32"/>
          <w:szCs w:val="32"/>
          <w:highlight w:val="none"/>
          <w:lang w:eastAsia="zh-CN"/>
        </w:rPr>
        <w:t>公共安全</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检察</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检察监督</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1,542.34</w:t>
      </w:r>
      <w:r>
        <w:rPr>
          <w:rFonts w:hint="eastAsia" w:ascii="仿宋_GB2312" w:eastAsia="仿宋_GB2312" w:cs="仿宋_GB2312"/>
          <w:bCs/>
          <w:kern w:val="0"/>
          <w:sz w:val="32"/>
          <w:szCs w:val="32"/>
          <w:highlight w:val="none"/>
        </w:rPr>
        <w:t>万元。决算数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的主要原因是：增加中央政法转移支付办案费和中央政法转移业务装备费；</w:t>
      </w:r>
      <w:r>
        <w:rPr>
          <w:rFonts w:hint="eastAsia" w:ascii="仿宋_GB2312" w:eastAsia="仿宋_GB2312" w:cs="仿宋_GB2312"/>
          <w:kern w:val="0"/>
          <w:sz w:val="32"/>
          <w:szCs w:val="32"/>
          <w:highlight w:val="none"/>
          <w:lang w:eastAsia="zh-CN"/>
        </w:rPr>
        <w:t>以及增加</w:t>
      </w:r>
      <w:r>
        <w:rPr>
          <w:rFonts w:hint="eastAsia" w:ascii="仿宋_GB2312" w:eastAsia="仿宋_GB2312" w:cs="仿宋_GB2312"/>
          <w:kern w:val="0"/>
          <w:sz w:val="32"/>
          <w:szCs w:val="32"/>
          <w:highlight w:val="none"/>
          <w:lang w:val="en-US" w:eastAsia="zh-CN"/>
        </w:rPr>
        <w:t>10个二级预算单位</w:t>
      </w:r>
      <w:r>
        <w:rPr>
          <w:rFonts w:hint="eastAsia" w:ascii="仿宋_GB2312" w:eastAsia="仿宋_GB2312" w:cs="仿宋_GB2312"/>
          <w:bCs/>
          <w:kern w:val="0"/>
          <w:sz w:val="32"/>
          <w:szCs w:val="32"/>
          <w:highlight w:val="none"/>
          <w:lang w:val="en-US" w:eastAsia="zh-CN"/>
        </w:rPr>
        <w:t>相关经费以预拨形式未编入市本级预算。</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w:t>
      </w:r>
      <w:r>
        <w:rPr>
          <w:rFonts w:hint="eastAsia" w:ascii="仿宋_GB2312" w:eastAsia="仿宋_GB2312" w:cs="仿宋_GB2312"/>
          <w:bCs/>
          <w:kern w:val="0"/>
          <w:sz w:val="32"/>
          <w:szCs w:val="32"/>
          <w:highlight w:val="none"/>
          <w:lang w:eastAsia="zh-CN"/>
        </w:rPr>
        <w:t>公共安全</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检察</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其它检察支出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252.73</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965.63</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382.08</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的主要原因是：柳州市人民检察院、鹿寨地区人民检察院、露塘地区人民检察院中央政法转移支付办案费上年结余款，以及本年追加涉案返还款</w:t>
      </w:r>
      <w:r>
        <w:rPr>
          <w:rFonts w:hint="eastAsia" w:ascii="仿宋_GB2312" w:eastAsia="仿宋_GB2312" w:cs="仿宋_GB2312"/>
          <w:bCs/>
          <w:kern w:val="0"/>
          <w:sz w:val="32"/>
          <w:szCs w:val="32"/>
          <w:highlight w:val="none"/>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5.</w:t>
      </w:r>
      <w:r>
        <w:rPr>
          <w:rFonts w:hint="eastAsia" w:ascii="仿宋_GB2312" w:eastAsia="仿宋_GB2312" w:cs="仿宋_GB2312"/>
          <w:bCs/>
          <w:kern w:val="0"/>
          <w:sz w:val="32"/>
          <w:szCs w:val="32"/>
          <w:highlight w:val="none"/>
          <w:lang w:eastAsia="zh-CN"/>
        </w:rPr>
        <w:t>社会保障和就业支出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行政事业单位离退休</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归口管理的行政单位离退休</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126.70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266.72</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210.51</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的主要原因为：增加离退休生活补助、离退休增资、抚恤金</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6.</w:t>
      </w:r>
      <w:r>
        <w:rPr>
          <w:rFonts w:hint="eastAsia" w:ascii="仿宋_GB2312" w:eastAsia="仿宋_GB2312" w:cs="仿宋_GB2312"/>
          <w:bCs/>
          <w:kern w:val="0"/>
          <w:sz w:val="32"/>
          <w:szCs w:val="32"/>
          <w:highlight w:val="none"/>
          <w:lang w:eastAsia="zh-CN"/>
        </w:rPr>
        <w:t>社会保障和就业支出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行政事业单位离退休</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机关事业单位基本养老保险缴费支出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433.86</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982.69</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226.50</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w:t>
      </w:r>
      <w:r>
        <w:rPr>
          <w:rFonts w:hint="eastAsia" w:ascii="仿宋_GB2312" w:eastAsia="仿宋_GB2312" w:cs="仿宋_GB2312"/>
          <w:kern w:val="0"/>
          <w:sz w:val="32"/>
          <w:szCs w:val="32"/>
          <w:highlight w:val="none"/>
          <w:lang w:eastAsia="zh-CN"/>
        </w:rPr>
        <w:t>增加</w:t>
      </w:r>
      <w:r>
        <w:rPr>
          <w:rFonts w:hint="eastAsia" w:ascii="仿宋_GB2312" w:eastAsia="仿宋_GB2312" w:cs="仿宋_GB2312"/>
          <w:kern w:val="0"/>
          <w:sz w:val="32"/>
          <w:szCs w:val="32"/>
          <w:highlight w:val="none"/>
          <w:lang w:val="en-US" w:eastAsia="zh-CN"/>
        </w:rPr>
        <w:t>10个二级预算单位</w:t>
      </w:r>
      <w:r>
        <w:rPr>
          <w:rFonts w:hint="eastAsia" w:ascii="仿宋_GB2312" w:eastAsia="仿宋_GB2312" w:cs="仿宋_GB2312"/>
          <w:bCs/>
          <w:kern w:val="0"/>
          <w:sz w:val="32"/>
          <w:szCs w:val="32"/>
          <w:highlight w:val="none"/>
          <w:lang w:val="en-US" w:eastAsia="zh-CN"/>
        </w:rPr>
        <w:t>相关经费以预拨形式未编入市本级预算</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7.</w:t>
      </w:r>
      <w:r>
        <w:rPr>
          <w:rFonts w:hint="eastAsia" w:ascii="仿宋_GB2312" w:eastAsia="仿宋_GB2312" w:cs="仿宋_GB2312"/>
          <w:bCs/>
          <w:kern w:val="0"/>
          <w:sz w:val="32"/>
          <w:szCs w:val="32"/>
          <w:highlight w:val="none"/>
          <w:lang w:eastAsia="zh-CN"/>
        </w:rPr>
        <w:t>社会保障和就业支出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行政事业单位离退休</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 xml:space="preserve">  机关事业单位职业年金缴费支出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216.93</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492.29</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226.93</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w:t>
      </w:r>
      <w:r>
        <w:rPr>
          <w:rFonts w:hint="eastAsia" w:ascii="仿宋_GB2312" w:eastAsia="仿宋_GB2312" w:cs="仿宋_GB2312"/>
          <w:kern w:val="0"/>
          <w:sz w:val="32"/>
          <w:szCs w:val="32"/>
          <w:highlight w:val="none"/>
          <w:lang w:eastAsia="zh-CN"/>
        </w:rPr>
        <w:t>增加</w:t>
      </w:r>
      <w:r>
        <w:rPr>
          <w:rFonts w:hint="eastAsia" w:ascii="仿宋_GB2312" w:eastAsia="仿宋_GB2312" w:cs="仿宋_GB2312"/>
          <w:kern w:val="0"/>
          <w:sz w:val="32"/>
          <w:szCs w:val="32"/>
          <w:highlight w:val="none"/>
          <w:lang w:val="en-US" w:eastAsia="zh-CN"/>
        </w:rPr>
        <w:t>10个二级预算单位</w:t>
      </w:r>
      <w:r>
        <w:rPr>
          <w:rFonts w:hint="eastAsia" w:ascii="仿宋_GB2312" w:eastAsia="仿宋_GB2312" w:cs="仿宋_GB2312"/>
          <w:bCs/>
          <w:kern w:val="0"/>
          <w:sz w:val="32"/>
          <w:szCs w:val="32"/>
          <w:highlight w:val="none"/>
          <w:lang w:val="en-US" w:eastAsia="zh-CN"/>
        </w:rPr>
        <w:t>相关经费以预拨形式未编入市本级预算</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lang w:eastAsia="zh-CN"/>
        </w:rPr>
        <w:t>卫生健康支出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行政事业单位医疗</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行政单位医疗</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221.37</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497.24</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224.62</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w:t>
      </w:r>
      <w:r>
        <w:rPr>
          <w:rFonts w:hint="eastAsia" w:ascii="仿宋_GB2312" w:eastAsia="仿宋_GB2312" w:cs="仿宋_GB2312"/>
          <w:kern w:val="0"/>
          <w:sz w:val="32"/>
          <w:szCs w:val="32"/>
          <w:highlight w:val="none"/>
          <w:lang w:eastAsia="zh-CN"/>
        </w:rPr>
        <w:t>增加</w:t>
      </w:r>
      <w:r>
        <w:rPr>
          <w:rFonts w:hint="eastAsia" w:ascii="仿宋_GB2312" w:eastAsia="仿宋_GB2312" w:cs="仿宋_GB2312"/>
          <w:kern w:val="0"/>
          <w:sz w:val="32"/>
          <w:szCs w:val="32"/>
          <w:highlight w:val="none"/>
          <w:lang w:val="en-US" w:eastAsia="zh-CN"/>
        </w:rPr>
        <w:t>10个二级预算单位</w:t>
      </w:r>
      <w:r>
        <w:rPr>
          <w:rFonts w:hint="eastAsia" w:ascii="仿宋_GB2312" w:eastAsia="仿宋_GB2312" w:cs="仿宋_GB2312"/>
          <w:bCs/>
          <w:kern w:val="0"/>
          <w:sz w:val="32"/>
          <w:szCs w:val="32"/>
          <w:highlight w:val="none"/>
          <w:lang w:val="en-US" w:eastAsia="zh-CN"/>
        </w:rPr>
        <w:t>相关经费以预拨形式未编入市本级预算</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lang w:eastAsia="zh-CN"/>
        </w:rPr>
        <w:t>卫生健康支出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行政事业单位医疗</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公务员医疗补助</w:t>
      </w:r>
      <w:r>
        <w:rPr>
          <w:rFonts w:hint="eastAsia" w:ascii="仿宋_GB2312" w:eastAsia="仿宋_GB2312" w:cs="仿宋_GB2312"/>
          <w:bCs/>
          <w:kern w:val="0"/>
          <w:sz w:val="32"/>
          <w:szCs w:val="32"/>
          <w:highlight w:val="none"/>
        </w:rPr>
        <w:t>（项）。年初预算为181.80万元，支出决算为499.90万元。</w:t>
      </w:r>
      <w:r>
        <w:rPr>
          <w:rFonts w:hint="eastAsia" w:ascii="仿宋_GB2312" w:eastAsia="仿宋_GB2312" w:cs="仿宋_GB2312"/>
          <w:bCs/>
          <w:kern w:val="0"/>
          <w:sz w:val="32"/>
          <w:szCs w:val="32"/>
          <w:highlight w:val="none"/>
        </w:rPr>
        <w:t>完成年初预算的</w:t>
      </w:r>
      <w:r>
        <w:rPr>
          <w:rFonts w:hint="eastAsia" w:ascii="仿宋_GB2312" w:eastAsia="仿宋_GB2312" w:cs="仿宋_GB2312"/>
          <w:bCs/>
          <w:kern w:val="0"/>
          <w:sz w:val="32"/>
          <w:szCs w:val="32"/>
          <w:highlight w:val="none"/>
          <w:lang w:val="en-US" w:eastAsia="zh-CN"/>
        </w:rPr>
        <w:t>274.97</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w:t>
      </w:r>
      <w:r>
        <w:rPr>
          <w:rFonts w:hint="eastAsia" w:ascii="仿宋_GB2312" w:eastAsia="仿宋_GB2312" w:cs="仿宋_GB2312"/>
          <w:kern w:val="0"/>
          <w:sz w:val="32"/>
          <w:szCs w:val="32"/>
          <w:highlight w:val="none"/>
          <w:lang w:eastAsia="zh-CN"/>
        </w:rPr>
        <w:t>增加</w:t>
      </w:r>
      <w:r>
        <w:rPr>
          <w:rFonts w:hint="eastAsia" w:ascii="仿宋_GB2312" w:eastAsia="仿宋_GB2312" w:cs="仿宋_GB2312"/>
          <w:kern w:val="0"/>
          <w:sz w:val="32"/>
          <w:szCs w:val="32"/>
          <w:highlight w:val="none"/>
          <w:lang w:val="en-US" w:eastAsia="zh-CN"/>
        </w:rPr>
        <w:t>10个二级预算单位</w:t>
      </w:r>
      <w:r>
        <w:rPr>
          <w:rFonts w:hint="eastAsia" w:ascii="仿宋_GB2312" w:eastAsia="仿宋_GB2312" w:cs="仿宋_GB2312"/>
          <w:bCs/>
          <w:kern w:val="0"/>
          <w:sz w:val="32"/>
          <w:szCs w:val="32"/>
          <w:highlight w:val="none"/>
          <w:lang w:val="en-US" w:eastAsia="zh-CN"/>
        </w:rPr>
        <w:t>相关经费以预拨形式未编入市本级预算</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10.</w:t>
      </w:r>
      <w:r>
        <w:rPr>
          <w:rFonts w:hint="eastAsia" w:ascii="仿宋_GB2312" w:eastAsia="仿宋_GB2312" w:cs="仿宋_GB2312"/>
          <w:bCs/>
          <w:kern w:val="0"/>
          <w:sz w:val="32"/>
          <w:szCs w:val="32"/>
          <w:highlight w:val="none"/>
          <w:lang w:eastAsia="zh-CN"/>
        </w:rPr>
        <w:t>住房保障支出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住房改革支出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住房公积金</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325.40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758.49</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完成年初预算的</w:t>
      </w:r>
      <w:r>
        <w:rPr>
          <w:rFonts w:hint="eastAsia" w:ascii="仿宋_GB2312" w:eastAsia="仿宋_GB2312" w:cs="仿宋_GB2312"/>
          <w:bCs/>
          <w:kern w:val="0"/>
          <w:sz w:val="32"/>
          <w:szCs w:val="32"/>
          <w:highlight w:val="none"/>
          <w:lang w:val="en-US" w:eastAsia="zh-CN"/>
        </w:rPr>
        <w:t>233.09</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的主要原因为：增加公积金；</w:t>
      </w:r>
      <w:r>
        <w:rPr>
          <w:rFonts w:hint="eastAsia" w:ascii="仿宋_GB2312" w:eastAsia="仿宋_GB2312" w:cs="仿宋_GB2312"/>
          <w:kern w:val="0"/>
          <w:sz w:val="32"/>
          <w:szCs w:val="32"/>
          <w:highlight w:val="none"/>
          <w:lang w:eastAsia="zh-CN"/>
        </w:rPr>
        <w:t>以及增加</w:t>
      </w:r>
      <w:r>
        <w:rPr>
          <w:rFonts w:hint="eastAsia" w:ascii="仿宋_GB2312" w:eastAsia="仿宋_GB2312" w:cs="仿宋_GB2312"/>
          <w:kern w:val="0"/>
          <w:sz w:val="32"/>
          <w:szCs w:val="32"/>
          <w:highlight w:val="none"/>
          <w:lang w:val="en-US" w:eastAsia="zh-CN"/>
        </w:rPr>
        <w:t>10个二级预算单位</w:t>
      </w:r>
      <w:r>
        <w:rPr>
          <w:rFonts w:hint="eastAsia" w:ascii="仿宋_GB2312" w:eastAsia="仿宋_GB2312" w:cs="仿宋_GB2312"/>
          <w:bCs/>
          <w:kern w:val="0"/>
          <w:sz w:val="32"/>
          <w:szCs w:val="32"/>
          <w:highlight w:val="none"/>
          <w:lang w:val="en-US" w:eastAsia="zh-CN"/>
        </w:rPr>
        <w:t>相关经费以预拨形式未编入市本级预算</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11.</w:t>
      </w:r>
      <w:r>
        <w:rPr>
          <w:rFonts w:hint="eastAsia" w:ascii="仿宋_GB2312" w:eastAsia="仿宋_GB2312" w:cs="仿宋_GB2312"/>
          <w:bCs/>
          <w:kern w:val="0"/>
          <w:sz w:val="32"/>
          <w:szCs w:val="32"/>
          <w:highlight w:val="none"/>
          <w:lang w:eastAsia="zh-CN"/>
        </w:rPr>
        <w:t>住房保障支出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住房改革支出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购房补贴</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3.50</w:t>
      </w:r>
      <w:r>
        <w:rPr>
          <w:rFonts w:hint="eastAsia" w:ascii="仿宋_GB2312" w:eastAsia="仿宋_GB2312" w:cs="仿宋_GB2312"/>
          <w:bCs/>
          <w:kern w:val="0"/>
          <w:sz w:val="32"/>
          <w:szCs w:val="32"/>
          <w:highlight w:val="none"/>
        </w:rPr>
        <w:t>万元。决算数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的主要原因为：财政下发购房补贴</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2020年度财政拨款基本支出11,842.76万元，其中：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人员经费9,923.30万元，主要包括：基本工资、津贴补贴、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公用经费1,919.47万元，主要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年度“三公”经费财政拨款支出预算为349.94万元，支出决算为260.92万元，完成预算的</w:t>
      </w:r>
      <w:r>
        <w:rPr>
          <w:rFonts w:hint="eastAsia" w:ascii="仿宋_GB2312" w:eastAsia="仿宋_GB2312" w:cs="仿宋_GB2312"/>
          <w:bCs/>
          <w:kern w:val="0"/>
          <w:sz w:val="32"/>
          <w:szCs w:val="32"/>
          <w:lang w:val="en-US" w:eastAsia="zh-CN"/>
        </w:rPr>
        <w:t>74.56</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%；公务用车购置及运行费支出决算为244.61万元，完成预算的</w:t>
      </w:r>
      <w:r>
        <w:rPr>
          <w:rFonts w:hint="eastAsia" w:ascii="仿宋_GB2312" w:eastAsia="仿宋_GB2312" w:cs="仿宋_GB2312"/>
          <w:bCs/>
          <w:kern w:val="0"/>
          <w:sz w:val="32"/>
          <w:szCs w:val="32"/>
          <w:lang w:val="en-US" w:eastAsia="zh-CN"/>
        </w:rPr>
        <w:t>75.02</w:t>
      </w:r>
      <w:r>
        <w:rPr>
          <w:rFonts w:hint="eastAsia" w:ascii="仿宋_GB2312" w:eastAsia="仿宋_GB2312" w:cs="仿宋_GB2312"/>
          <w:bCs/>
          <w:kern w:val="0"/>
          <w:sz w:val="32"/>
          <w:szCs w:val="32"/>
        </w:rPr>
        <w:t>%；公务接待费支出决算为16.31万元，完成预算的</w:t>
      </w:r>
      <w:r>
        <w:rPr>
          <w:rFonts w:hint="eastAsia" w:ascii="仿宋_GB2312" w:eastAsia="仿宋_GB2312" w:cs="仿宋_GB2312"/>
          <w:bCs/>
          <w:kern w:val="0"/>
          <w:sz w:val="32"/>
          <w:szCs w:val="32"/>
          <w:lang w:val="en-US" w:eastAsia="zh-CN"/>
        </w:rPr>
        <w:t>68.33</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147.79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130.64</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0.71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本年度无因公出国</w:t>
      </w:r>
      <w:r>
        <w:rPr>
          <w:rFonts w:hint="eastAsia" w:ascii="仿宋_GB2312" w:eastAsia="仿宋_GB2312" w:cs="仿宋_GB2312"/>
          <w:bCs/>
          <w:kern w:val="0"/>
          <w:sz w:val="32"/>
          <w:szCs w:val="32"/>
        </w:rPr>
        <w:t>；公务用车购置及运行费支出 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191.41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359.79</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5.7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53.72</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eastAsia="zh-CN"/>
        </w:rPr>
        <w:t>疫情影响本年度无因公出国</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 因是</w:t>
      </w:r>
      <w:r>
        <w:rPr>
          <w:rFonts w:hint="eastAsia" w:ascii="仿宋_GB2312" w:eastAsia="仿宋_GB2312" w:cs="仿宋_GB2312"/>
          <w:bCs/>
          <w:kern w:val="0"/>
          <w:sz w:val="32"/>
          <w:szCs w:val="32"/>
          <w:lang w:val="en-US" w:eastAsia="zh-CN"/>
        </w:rPr>
        <w:t>2020年度我市两级检察院作为全区法院、检察院人财物统一管理改革试点，县（区）检察院作为柳州市人民检察院二级预算单位，纳入柳州市财政局预算管理，本年度较上年增加10个二级预算单位</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2020年度我市两级检察院作为全区法院、检察院人财物统一管理改革试点，县（区）检察院作为柳州市人民检察院二级预算单位，纳入柳州市财政局预算管理，本年度较上年增加10个二级预算单位，各县区检察院本年度公务接待费较上年均有减少</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 支出决算244.61万元，占</w:t>
      </w:r>
      <w:r>
        <w:rPr>
          <w:rFonts w:hint="eastAsia" w:ascii="仿宋_GB2312" w:eastAsia="仿宋_GB2312" w:cs="仿宋_GB2312"/>
          <w:bCs/>
          <w:kern w:val="0"/>
          <w:sz w:val="32"/>
          <w:szCs w:val="32"/>
          <w:lang w:val="en-US" w:eastAsia="zh-CN"/>
        </w:rPr>
        <w:t>93.75</w:t>
      </w:r>
      <w:r>
        <w:rPr>
          <w:rFonts w:hint="eastAsia" w:ascii="仿宋_GB2312" w:eastAsia="仿宋_GB2312" w:cs="仿宋_GB2312"/>
          <w:bCs/>
          <w:kern w:val="0"/>
          <w:sz w:val="32"/>
          <w:szCs w:val="32"/>
        </w:rPr>
        <w:t>%；公务接待费支出决算16.31万元，占</w:t>
      </w:r>
      <w:r>
        <w:rPr>
          <w:rFonts w:hint="eastAsia" w:ascii="仿宋_GB2312" w:eastAsia="仿宋_GB2312" w:cs="仿宋_GB2312"/>
          <w:bCs/>
          <w:kern w:val="0"/>
          <w:sz w:val="32"/>
          <w:szCs w:val="32"/>
          <w:lang w:val="en-US" w:eastAsia="zh-CN"/>
        </w:rPr>
        <w:t>6.25</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w:t>
      </w:r>
      <w:r>
        <w:rPr>
          <w:rFonts w:hint="eastAsia" w:ascii="仿宋_GB2312" w:eastAsia="仿宋_GB2312" w:cs="仿宋_GB2312"/>
          <w:bCs/>
          <w:kern w:val="0"/>
          <w:sz w:val="32"/>
          <w:szCs w:val="32"/>
          <w:lang w:eastAsia="zh-CN"/>
        </w:rPr>
        <w:t>未安排</w:t>
      </w:r>
      <w:r>
        <w:rPr>
          <w:rFonts w:hint="eastAsia" w:ascii="仿宋_GB2312" w:eastAsia="仿宋_GB2312" w:cs="仿宋_GB2312"/>
          <w:bCs/>
          <w:kern w:val="0"/>
          <w:sz w:val="32"/>
          <w:szCs w:val="32"/>
        </w:rPr>
        <w:t>因公出国 （境）</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2.公务用车购置及运行费支出244.61万元。其中： 公务用车购置支出为130.84万元。公务用车运行支出113.78万元。主要用于</w:t>
      </w:r>
      <w:r>
        <w:rPr>
          <w:rFonts w:hint="eastAsia" w:ascii="仿宋_GB2312" w:eastAsia="仿宋_GB2312" w:cs="仿宋_GB2312"/>
          <w:bCs/>
          <w:kern w:val="0"/>
          <w:sz w:val="32"/>
          <w:szCs w:val="32"/>
          <w:lang w:eastAsia="zh-CN"/>
        </w:rPr>
        <w:t>购置检察业务用车</w:t>
      </w:r>
      <w:r>
        <w:rPr>
          <w:rFonts w:hint="eastAsia" w:ascii="仿宋_GB2312" w:eastAsia="仿宋_GB2312" w:cs="仿宋_GB2312"/>
          <w:bCs/>
          <w:kern w:val="0"/>
          <w:sz w:val="32"/>
          <w:szCs w:val="32"/>
          <w:lang w:val="en-US" w:eastAsia="zh-CN"/>
        </w:rPr>
        <w:t>9辆</w:t>
      </w:r>
      <w:r>
        <w:rPr>
          <w:rFonts w:hint="eastAsia" w:ascii="仿宋_GB2312" w:eastAsia="仿宋_GB2312" w:cs="仿宋_GB2312"/>
          <w:bCs/>
          <w:kern w:val="0"/>
          <w:sz w:val="32"/>
          <w:szCs w:val="32"/>
          <w:lang w:eastAsia="zh-CN"/>
        </w:rPr>
        <w:t>，以及</w:t>
      </w:r>
      <w:r>
        <w:rPr>
          <w:rFonts w:hint="eastAsia" w:ascii="仿宋_GB2312" w:hAnsi="宋体" w:eastAsia="仿宋_GB2312" w:cs="仿宋_GB2312"/>
          <w:b w:val="0"/>
          <w:kern w:val="0"/>
          <w:sz w:val="32"/>
          <w:szCs w:val="32"/>
          <w:lang w:val="en-US" w:eastAsia="zh-CN" w:bidi="ar"/>
        </w:rPr>
        <w:t>机要文件交换、市内因公出行以及开展办案业务所需车辆燃料费、维修费、过路过桥费、保险费等</w:t>
      </w:r>
      <w:r>
        <w:rPr>
          <w:rFonts w:hint="eastAsia" w:ascii="仿宋_GB2312" w:eastAsia="仿宋_GB2312" w:cs="仿宋_GB2312"/>
          <w:bCs/>
          <w:kern w:val="0"/>
          <w:sz w:val="32"/>
          <w:szCs w:val="32"/>
          <w:lang w:eastAsia="zh-CN"/>
        </w:rPr>
        <w:t>。20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年，机关所属单位开支财政拨款的公务用车保有量为</w:t>
      </w:r>
      <w:r>
        <w:rPr>
          <w:rFonts w:hint="eastAsia" w:ascii="仿宋_GB2312" w:eastAsia="仿宋_GB2312" w:cs="仿宋_GB2312"/>
          <w:bCs/>
          <w:kern w:val="0"/>
          <w:sz w:val="32"/>
          <w:szCs w:val="32"/>
          <w:lang w:val="en-US" w:eastAsia="zh-CN"/>
        </w:rPr>
        <w:t>71</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16.31</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16.31</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接待上级部门及各级单位对我院开展的执行公务、检察指导、考察调研等公务活动</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418</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1774</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本部门 2020年度</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政府基金预算</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2020年度我院无国有资本经营预算财政拨款支出。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根据财政预算管理要求，我部门组织对2020年度一般公共 预算项目支出全面开展绩效自评。其中，一级项目</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6806.37</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31.34</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绩效评价覆盖率较低的原因为：</w:t>
      </w:r>
      <w:r>
        <w:rPr>
          <w:rFonts w:hint="eastAsia" w:ascii="仿宋_GB2312" w:eastAsia="仿宋_GB2312" w:cs="仿宋_GB2312"/>
          <w:bCs/>
          <w:kern w:val="0"/>
          <w:sz w:val="32"/>
          <w:szCs w:val="32"/>
          <w:lang w:val="en-US" w:eastAsia="zh-CN"/>
        </w:rPr>
        <w:t>2020年度我市两级检察院作为全区法院、检察院人财物统一管理改革试点，县（区）检察院作为柳州市人民检察院二级预算单位，纳入柳州市财政局预算管理，</w:t>
      </w:r>
      <w:r>
        <w:rPr>
          <w:rFonts w:hint="eastAsia" w:ascii="仿宋_GB2312" w:eastAsia="仿宋_GB2312" w:cs="仿宋_GB2312"/>
          <w:bCs/>
          <w:kern w:val="0"/>
          <w:sz w:val="32"/>
          <w:szCs w:val="32"/>
        </w:rPr>
        <w:t>因是首次纳入市级预算管理，相关工作尚待理顺</w:t>
      </w:r>
      <w:r>
        <w:rPr>
          <w:rFonts w:hint="eastAsia" w:ascii="仿宋_GB2312" w:eastAsia="仿宋_GB2312" w:cs="仿宋_GB2312"/>
          <w:bCs/>
          <w:kern w:val="0"/>
          <w:sz w:val="32"/>
          <w:szCs w:val="32"/>
          <w:lang w:val="en-US" w:eastAsia="zh-CN"/>
        </w:rPr>
        <w:t>，2020年各县（区）检察院相关经费以预拨形式未编入市本级预算。所以未纳入本年度绩效管理。</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（一）机关运行经费支出情况。2020年度部门机关运行经费支出1,919.47万元，比 2019年增加</w:t>
      </w:r>
      <w:r>
        <w:rPr>
          <w:rFonts w:hint="eastAsia" w:ascii="仿宋_GB2312" w:eastAsia="仿宋_GB2312" w:cs="仿宋_GB2312"/>
          <w:kern w:val="0"/>
          <w:sz w:val="32"/>
          <w:szCs w:val="32"/>
          <w:lang w:val="en-US" w:eastAsia="zh-CN"/>
        </w:rPr>
        <w:t>1315.79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217.96</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为：</w:t>
      </w:r>
      <w:r>
        <w:rPr>
          <w:rFonts w:hint="eastAsia" w:ascii="仿宋_GB2312" w:eastAsia="仿宋_GB2312" w:cs="仿宋_GB2312"/>
          <w:bCs/>
          <w:kern w:val="0"/>
          <w:sz w:val="32"/>
          <w:szCs w:val="32"/>
          <w:lang w:val="en-US" w:eastAsia="zh-CN"/>
        </w:rPr>
        <w:t>2020年度我市两级检察院作为全区法院、检察院人财物统一管理改革试点，县（区）检察院作为柳州市人民检察院二级预算单位，纳入柳州市财政局预算管理，本年度较上年增加10个二级预算单位</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（二）政府采购支出情况。2020年度部门政府采购支出总额2,670.49万元，其中：货物支出788.51万元、工程支出1,490.46万元、服务支出391.51万元。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71</w:t>
      </w:r>
      <w:r>
        <w:rPr>
          <w:rFonts w:hint="eastAsia" w:ascii="仿宋_GB2312" w:eastAsia="仿宋_GB2312" w:cs="仿宋_GB2312"/>
          <w:kern w:val="0"/>
          <w:sz w:val="32"/>
          <w:szCs w:val="32"/>
        </w:rPr>
        <w:t>辆，其中：执法执勤用车</w:t>
      </w:r>
      <w:r>
        <w:rPr>
          <w:rFonts w:hint="eastAsia" w:ascii="仿宋_GB2312" w:eastAsia="仿宋_GB2312" w:cs="仿宋_GB2312"/>
          <w:kern w:val="0"/>
          <w:sz w:val="32"/>
          <w:szCs w:val="32"/>
          <w:lang w:val="en-US" w:eastAsia="zh-CN"/>
        </w:rPr>
        <w:t>47</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（本年度内购置车辆</w:t>
      </w:r>
      <w:r>
        <w:rPr>
          <w:rFonts w:hint="eastAsia" w:ascii="仿宋_GB2312" w:eastAsia="仿宋_GB2312" w:cs="仿宋_GB2312"/>
          <w:kern w:val="0"/>
          <w:sz w:val="32"/>
          <w:szCs w:val="32"/>
          <w:lang w:val="en-US" w:eastAsia="zh-CN"/>
        </w:rPr>
        <w:t>9辆）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特种专业技术用车</w:t>
      </w:r>
      <w:r>
        <w:rPr>
          <w:rFonts w:hint="eastAsia" w:ascii="仿宋_GB2312" w:eastAsia="仿宋_GB2312" w:cs="仿宋_GB2312"/>
          <w:kern w:val="0"/>
          <w:sz w:val="32"/>
          <w:szCs w:val="32"/>
          <w:lang w:val="en-US" w:eastAsia="zh-CN"/>
        </w:rPr>
        <w:t>4辆，</w:t>
      </w:r>
      <w:r>
        <w:rPr>
          <w:rFonts w:hint="eastAsia" w:ascii="仿宋_GB2312" w:eastAsia="仿宋_GB2312" w:cs="仿宋_GB2312"/>
          <w:kern w:val="0"/>
          <w:sz w:val="32"/>
          <w:szCs w:val="32"/>
          <w:lang w:eastAsia="zh-CN"/>
        </w:rPr>
        <w:t>其他</w:t>
      </w:r>
      <w:r>
        <w:rPr>
          <w:rFonts w:hint="eastAsia" w:ascii="仿宋_GB2312" w:eastAsia="仿宋_GB2312" w:cs="仿宋_GB2312"/>
          <w:kern w:val="0"/>
          <w:sz w:val="32"/>
          <w:szCs w:val="32"/>
        </w:rPr>
        <w:t>用</w:t>
      </w:r>
      <w:r>
        <w:rPr>
          <w:rFonts w:hint="eastAsia" w:ascii="仿宋_GB2312" w:eastAsia="仿宋_GB2312" w:cs="仿宋_GB2312"/>
          <w:kern w:val="0"/>
          <w:sz w:val="32"/>
          <w:szCs w:val="32"/>
          <w:lang w:eastAsia="zh-CN"/>
        </w:rPr>
        <w:t>车</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6A6662"/>
    <w:rsid w:val="05FE0589"/>
    <w:rsid w:val="0A216A16"/>
    <w:rsid w:val="0A4E680C"/>
    <w:rsid w:val="0C525A8F"/>
    <w:rsid w:val="0DC37310"/>
    <w:rsid w:val="0E074DDF"/>
    <w:rsid w:val="0F1A6A74"/>
    <w:rsid w:val="0F827006"/>
    <w:rsid w:val="124204B5"/>
    <w:rsid w:val="16B55B77"/>
    <w:rsid w:val="17AE7910"/>
    <w:rsid w:val="182962AB"/>
    <w:rsid w:val="19D073EB"/>
    <w:rsid w:val="1B9479DB"/>
    <w:rsid w:val="1CC31F67"/>
    <w:rsid w:val="1DAC5251"/>
    <w:rsid w:val="20EB2BEB"/>
    <w:rsid w:val="210D7BE0"/>
    <w:rsid w:val="22DD6E39"/>
    <w:rsid w:val="22DE6977"/>
    <w:rsid w:val="24D337DC"/>
    <w:rsid w:val="26460DBA"/>
    <w:rsid w:val="2AC91324"/>
    <w:rsid w:val="2B6F74EB"/>
    <w:rsid w:val="2C4219FE"/>
    <w:rsid w:val="33865500"/>
    <w:rsid w:val="34020F86"/>
    <w:rsid w:val="352C00B1"/>
    <w:rsid w:val="363D2386"/>
    <w:rsid w:val="378B4F2C"/>
    <w:rsid w:val="39A63F06"/>
    <w:rsid w:val="3AFC7B2C"/>
    <w:rsid w:val="3D6370ED"/>
    <w:rsid w:val="3ED1439F"/>
    <w:rsid w:val="43391B09"/>
    <w:rsid w:val="46697FFA"/>
    <w:rsid w:val="483141BA"/>
    <w:rsid w:val="48374EDC"/>
    <w:rsid w:val="4C256E3D"/>
    <w:rsid w:val="4CB52F0F"/>
    <w:rsid w:val="50A52B86"/>
    <w:rsid w:val="51546D3E"/>
    <w:rsid w:val="51987B81"/>
    <w:rsid w:val="521F0B97"/>
    <w:rsid w:val="532F1F9A"/>
    <w:rsid w:val="538D4985"/>
    <w:rsid w:val="53CC4D88"/>
    <w:rsid w:val="58C72A46"/>
    <w:rsid w:val="5CCA0C49"/>
    <w:rsid w:val="5CDB5401"/>
    <w:rsid w:val="5E995A3E"/>
    <w:rsid w:val="5E9B025C"/>
    <w:rsid w:val="5EB550C8"/>
    <w:rsid w:val="608214D2"/>
    <w:rsid w:val="611429A8"/>
    <w:rsid w:val="62163194"/>
    <w:rsid w:val="624D024D"/>
    <w:rsid w:val="648F16F8"/>
    <w:rsid w:val="650E086A"/>
    <w:rsid w:val="6626565A"/>
    <w:rsid w:val="66FA7355"/>
    <w:rsid w:val="6BAA0708"/>
    <w:rsid w:val="6C104892"/>
    <w:rsid w:val="6CA619EE"/>
    <w:rsid w:val="6E104390"/>
    <w:rsid w:val="6EAF710D"/>
    <w:rsid w:val="72BA0C1F"/>
    <w:rsid w:val="74075D3B"/>
    <w:rsid w:val="764C0DFE"/>
    <w:rsid w:val="78E5444D"/>
    <w:rsid w:val="792C1F1D"/>
    <w:rsid w:val="7A8939A6"/>
    <w:rsid w:val="7E83001A"/>
    <w:rsid w:val="7F27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styleId="8">
    <w:name w:val="page number"/>
    <w:basedOn w:val="6"/>
    <w:qFormat/>
    <w:uiPriority w:val="0"/>
  </w:style>
  <w:style w:type="character" w:customStyle="1" w:styleId="9">
    <w:name w:val="批注框文本 Char"/>
    <w:basedOn w:val="6"/>
    <w:link w:val="2"/>
    <w:qFormat/>
    <w:uiPriority w:val="0"/>
    <w:rPr>
      <w:kern w:val="2"/>
      <w:sz w:val="18"/>
      <w:szCs w:val="18"/>
    </w:rPr>
  </w:style>
  <w:style w:type="character" w:customStyle="1" w:styleId="10">
    <w:name w:val="font11"/>
    <w:basedOn w:val="6"/>
    <w:uiPriority w:val="0"/>
    <w:rPr>
      <w:rFonts w:hint="eastAsia" w:ascii="宋体" w:hAnsi="宋体" w:eastAsia="宋体" w:cs="宋体"/>
      <w:color w:val="000000"/>
      <w:sz w:val="22"/>
      <w:szCs w:val="22"/>
      <w:u w:val="none"/>
    </w:rPr>
  </w:style>
  <w:style w:type="character" w:customStyle="1" w:styleId="11">
    <w:name w:val="font01"/>
    <w:basedOn w:val="6"/>
    <w:uiPriority w:val="0"/>
    <w:rPr>
      <w:rFonts w:hint="eastAsia" w:ascii="宋体" w:hAnsi="宋体" w:eastAsia="宋体" w:cs="宋体"/>
      <w:color w:val="000000"/>
      <w:sz w:val="24"/>
      <w:szCs w:val="24"/>
      <w:u w:val="none"/>
    </w:rPr>
  </w:style>
  <w:style w:type="paragraph" w:customStyle="1" w:styleId="12">
    <w:name w:val="正文1"/>
    <w:basedOn w:val="13"/>
    <w:qFormat/>
    <w:uiPriority w:val="3"/>
    <w:pPr>
      <w:widowControl/>
      <w:jc w:val="both"/>
    </w:pPr>
    <w:rPr>
      <w:rFonts w:ascii="Times New Roman" w:hAnsi="Times New Roman" w:eastAsia="Times New Roman"/>
      <w:sz w:val="21"/>
    </w:rPr>
  </w:style>
  <w:style w:type="paragraph" w:customStyle="1" w:styleId="13">
    <w:name w:val="[Normal]"/>
    <w:qFormat/>
    <w:uiPriority w:val="6"/>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186</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荼</cp:lastModifiedBy>
  <cp:lastPrinted>2021-07-07T01:10:00Z</cp:lastPrinted>
  <dcterms:modified xsi:type="dcterms:W3CDTF">2021-08-03T07:44:49Z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E70F1FF6CC794DCE9416C19443ADB0A2</vt:lpwstr>
  </property>
</Properties>
</file>