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应急管理局</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柳州市应急管理局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柳州市应急管理局</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柳州市应急管理局</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柳州市应急管理局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eastAsia="仿宋_GB2312"/>
          <w:sz w:val="32"/>
          <w:szCs w:val="32"/>
        </w:rPr>
      </w:pPr>
      <w:r>
        <w:rPr>
          <w:rFonts w:hint="eastAsia" w:ascii="仿宋_GB2312" w:eastAsia="仿宋_GB2312"/>
          <w:sz w:val="32"/>
          <w:szCs w:val="32"/>
        </w:rPr>
        <w:t>（一）负责全市应急管理工作，指导各级各部门应对安全生产类、自然灾害类等突发事件和综合防灾减灾救灾工作。负责安全生产综合监督管理和工矿商贸行业安全生产监督管理工作。</w:t>
      </w:r>
    </w:p>
    <w:p>
      <w:pPr>
        <w:ind w:firstLine="646"/>
        <w:rPr>
          <w:rFonts w:hint="eastAsia" w:ascii="仿宋_GB2312" w:eastAsia="仿宋_GB2312"/>
          <w:sz w:val="32"/>
          <w:szCs w:val="32"/>
        </w:rPr>
      </w:pPr>
      <w:r>
        <w:rPr>
          <w:rFonts w:hint="eastAsia" w:ascii="仿宋_GB2312" w:eastAsia="仿宋_GB2312"/>
          <w:sz w:val="32"/>
          <w:szCs w:val="32"/>
        </w:rPr>
        <w:t>（二）拟订全市应急管理、安全生产等政策措施，组织编制全市应急体系建设、安全生产和综合防灾减灾规划，起草应急管理相关地方性法规和政府规章及规范性文件草案，组织制定部门地方规程和标准并监督实施。</w:t>
      </w:r>
    </w:p>
    <w:p>
      <w:pPr>
        <w:ind w:firstLine="646"/>
        <w:rPr>
          <w:rFonts w:hint="eastAsia" w:ascii="仿宋_GB2312" w:eastAsia="仿宋_GB2312"/>
          <w:sz w:val="32"/>
          <w:szCs w:val="32"/>
        </w:rPr>
      </w:pPr>
      <w:r>
        <w:rPr>
          <w:rFonts w:hint="eastAsia" w:ascii="仿宋_GB2312" w:eastAsia="仿宋_GB2312"/>
          <w:sz w:val="32"/>
          <w:szCs w:val="32"/>
        </w:rPr>
        <w:t>（三）指导全市应急预案体系建设，建立完善事故灾难和自然灾害分级应对制度，组织编制全市总体应急预案和安全生产类、自然灾害类专项预案，综合协调应急预案衔接工作，组织开展预案演练；检查指导市级有关部门和县区政府应急预案的制定和落实，推动应急避难场所、设施建设。</w:t>
      </w:r>
    </w:p>
    <w:p>
      <w:pPr>
        <w:ind w:firstLine="646"/>
        <w:rPr>
          <w:rFonts w:hint="eastAsia" w:ascii="仿宋_GB2312" w:eastAsia="仿宋_GB2312"/>
          <w:sz w:val="32"/>
          <w:szCs w:val="32"/>
        </w:rPr>
      </w:pPr>
      <w:r>
        <w:rPr>
          <w:rFonts w:hint="eastAsia" w:ascii="仿宋_GB2312" w:eastAsia="仿宋_GB2312"/>
          <w:sz w:val="32"/>
          <w:szCs w:val="32"/>
        </w:rPr>
        <w:t>（四）牵头建立统一的应急管理信息系统，负责全市应急管理信息传输渠道的规划和布局，建立监测预警和灾情报告制度，健全自然灾害信息资源获取和共享机制，依法统一发布灾情。</w:t>
      </w:r>
    </w:p>
    <w:p>
      <w:pPr>
        <w:ind w:firstLine="646"/>
        <w:rPr>
          <w:rFonts w:hint="eastAsia" w:ascii="仿宋_GB2312" w:eastAsia="仿宋_GB2312"/>
          <w:sz w:val="32"/>
          <w:szCs w:val="32"/>
        </w:rPr>
      </w:pPr>
      <w:r>
        <w:rPr>
          <w:rFonts w:hint="eastAsia" w:ascii="仿宋_GB2312" w:eastAsia="仿宋_GB2312"/>
          <w:sz w:val="32"/>
          <w:szCs w:val="32"/>
        </w:rPr>
        <w:t>（五）组织指导协调安全生产类、自然灾害类等突发事件应急救援，承担全市应对重大灾害指挥部工作，综合研判突发事件发展态势并提出应对建议，协助市委、市政府指定的负责同志组织重大灾害应急处置工作。</w:t>
      </w:r>
    </w:p>
    <w:p>
      <w:pPr>
        <w:ind w:firstLine="646"/>
        <w:rPr>
          <w:rFonts w:hint="eastAsia" w:ascii="仿宋_GB2312" w:eastAsia="仿宋_GB2312"/>
          <w:sz w:val="32"/>
          <w:szCs w:val="32"/>
        </w:rPr>
      </w:pPr>
      <w:r>
        <w:rPr>
          <w:rFonts w:hint="eastAsia" w:ascii="仿宋_GB2312" w:eastAsia="仿宋_GB2312"/>
          <w:sz w:val="32"/>
          <w:szCs w:val="32"/>
        </w:rPr>
        <w:t>（六）统一协调指挥各类应急专业队伍，建立应急协调联动机制，推进指挥平台对接，衔接解放军和武警部队参与应急救援工作。</w:t>
      </w:r>
    </w:p>
    <w:p>
      <w:pPr>
        <w:ind w:firstLine="646"/>
        <w:rPr>
          <w:rFonts w:hint="eastAsia" w:ascii="仿宋_GB2312" w:eastAsia="仿宋_GB2312"/>
          <w:sz w:val="32"/>
          <w:szCs w:val="32"/>
        </w:rPr>
      </w:pPr>
      <w:r>
        <w:rPr>
          <w:rFonts w:hint="eastAsia" w:ascii="仿宋_GB2312" w:eastAsia="仿宋_GB2312"/>
          <w:sz w:val="32"/>
          <w:szCs w:val="32"/>
        </w:rPr>
        <w:t>（七）统筹全市应急救援力量建设，负责消防、森林火灾扑救、抗洪抢险、地震和地质灾害救援、生产安全事故救援等专业应急救援力量建设，联系、配合国家、自治区管理的综合性应急救援队伍，指导县区及社会应急救援力量建设。</w:t>
      </w:r>
    </w:p>
    <w:p>
      <w:pPr>
        <w:ind w:firstLine="646"/>
        <w:rPr>
          <w:rFonts w:hint="eastAsia" w:ascii="仿宋_GB2312" w:eastAsia="仿宋_GB2312"/>
          <w:sz w:val="32"/>
          <w:szCs w:val="32"/>
        </w:rPr>
      </w:pPr>
      <w:r>
        <w:rPr>
          <w:rFonts w:hint="eastAsia" w:ascii="仿宋_GB2312" w:eastAsia="仿宋_GB2312"/>
          <w:sz w:val="32"/>
          <w:szCs w:val="32"/>
        </w:rPr>
        <w:t>（八）负责全市消防工作，指导县区消防监督、火灾预防、火灾扑救等工作。</w:t>
      </w:r>
    </w:p>
    <w:p>
      <w:pPr>
        <w:ind w:firstLine="646"/>
        <w:rPr>
          <w:rFonts w:hint="eastAsia" w:ascii="仿宋_GB2312" w:eastAsia="仿宋_GB2312"/>
          <w:sz w:val="32"/>
          <w:szCs w:val="32"/>
        </w:rPr>
      </w:pPr>
      <w:r>
        <w:rPr>
          <w:rFonts w:hint="eastAsia" w:ascii="仿宋_GB2312" w:eastAsia="仿宋_GB2312"/>
          <w:sz w:val="32"/>
          <w:szCs w:val="32"/>
        </w:rPr>
        <w:t>（九）指导协调全市森林山林火灾、水旱灾害、地震和地质灾害等防治工作，负责自然灾害综合监测预警工作，指导开展自然灾害综合风险评估工作。</w:t>
      </w:r>
    </w:p>
    <w:p>
      <w:pPr>
        <w:ind w:firstLine="646"/>
        <w:rPr>
          <w:rFonts w:hint="eastAsia" w:ascii="仿宋_GB2312" w:eastAsia="仿宋_GB2312"/>
          <w:sz w:val="32"/>
          <w:szCs w:val="32"/>
        </w:rPr>
      </w:pPr>
      <w:r>
        <w:rPr>
          <w:rFonts w:hint="eastAsia" w:ascii="仿宋_GB2312" w:eastAsia="仿宋_GB2312"/>
          <w:sz w:val="32"/>
          <w:szCs w:val="32"/>
        </w:rPr>
        <w:t>（十）组织协调全市灾害救助工作，组织指导灾情核查、损失评估、救灾捐赠工作，管理、分配国家、自治区下拨和市本级救灾款物并监督使用。</w:t>
      </w:r>
    </w:p>
    <w:p>
      <w:pPr>
        <w:ind w:firstLine="646"/>
        <w:rPr>
          <w:rFonts w:hint="eastAsia" w:ascii="仿宋_GB2312" w:eastAsia="仿宋_GB2312"/>
          <w:sz w:val="32"/>
          <w:szCs w:val="32"/>
        </w:rPr>
      </w:pPr>
      <w:r>
        <w:rPr>
          <w:rFonts w:hint="eastAsia" w:ascii="仿宋_GB2312" w:eastAsia="仿宋_GB2312"/>
          <w:sz w:val="32"/>
          <w:szCs w:val="32"/>
        </w:rPr>
        <w:t>（十一）依法行使市安全生产综合监督管理职权，指导协调、监督检查市直有关部门、驻柳单位和县区政府安全生产工作，组织开展安全生产巡查、考核工作。</w:t>
      </w:r>
    </w:p>
    <w:p>
      <w:pPr>
        <w:ind w:firstLine="646"/>
        <w:rPr>
          <w:rFonts w:hint="eastAsia" w:ascii="仿宋_GB2312" w:eastAsia="仿宋_GB2312"/>
          <w:sz w:val="32"/>
          <w:szCs w:val="32"/>
        </w:rPr>
      </w:pPr>
      <w:r>
        <w:rPr>
          <w:rFonts w:hint="eastAsia" w:ascii="仿宋_GB2312" w:eastAsia="仿宋_GB2312"/>
          <w:sz w:val="32"/>
          <w:szCs w:val="32"/>
        </w:rPr>
        <w:t>（十二）按照分级负责、属地管理原则，依法监督检查工矿商贸生产经营单位贯彻执行安全生产法律法规情况及其安全生产条件和有关设备(特种设备除外)、材料、劳动防护用品的安全生产管理工作。负责监督管理市本级工矿商贸行业企业安全生产工作。依法指导、监督安全生产准入制度。负责危险化学品安全监督管理综合工作和烟花爆竹安全生产监督管理工作。</w:t>
      </w:r>
    </w:p>
    <w:p>
      <w:pPr>
        <w:ind w:firstLine="646"/>
        <w:rPr>
          <w:rFonts w:hint="eastAsia" w:ascii="仿宋_GB2312" w:eastAsia="仿宋_GB2312"/>
          <w:sz w:val="32"/>
          <w:szCs w:val="32"/>
        </w:rPr>
      </w:pPr>
      <w:r>
        <w:rPr>
          <w:rFonts w:hint="eastAsia" w:ascii="仿宋_GB2312" w:eastAsia="仿宋_GB2312"/>
          <w:sz w:val="32"/>
          <w:szCs w:val="32"/>
        </w:rPr>
        <w:t>（十三）依法组织指导全市生产安全事故调查处理，监督事故查处和责任追究落实情况。组织开展自然灾害类突发事件的调查评估工作。</w:t>
      </w:r>
    </w:p>
    <w:p>
      <w:pPr>
        <w:ind w:firstLine="646"/>
        <w:rPr>
          <w:rFonts w:hint="eastAsia" w:ascii="仿宋_GB2312" w:eastAsia="仿宋_GB2312"/>
          <w:sz w:val="32"/>
          <w:szCs w:val="32"/>
        </w:rPr>
      </w:pPr>
      <w:r>
        <w:rPr>
          <w:rFonts w:hint="eastAsia" w:ascii="仿宋_GB2312" w:eastAsia="仿宋_GB2312"/>
          <w:sz w:val="32"/>
          <w:szCs w:val="32"/>
        </w:rPr>
        <w:t>（十四）拟订全市应急物资储备和应急救援装备规划并组织实施，会同市粮食和物资储备局等部门建立健全应急物资信息平台和调拨制度，在救灾时统一调度。</w:t>
      </w:r>
    </w:p>
    <w:p>
      <w:pPr>
        <w:ind w:firstLine="646"/>
        <w:rPr>
          <w:rFonts w:hint="eastAsia" w:ascii="仿宋_GB2312" w:eastAsia="仿宋_GB2312"/>
          <w:sz w:val="32"/>
          <w:szCs w:val="32"/>
        </w:rPr>
      </w:pPr>
      <w:r>
        <w:rPr>
          <w:rFonts w:hint="eastAsia" w:ascii="仿宋_GB2312" w:eastAsia="仿宋_GB2312"/>
          <w:sz w:val="32"/>
          <w:szCs w:val="32"/>
        </w:rPr>
        <w:t>（十五）负责全市应急管理、安全生产宣传教育和培训工作，组织指导应急管理、安全生产的科学技术研究、推广应用和信息化建设工作。</w:t>
      </w:r>
    </w:p>
    <w:p>
      <w:pPr>
        <w:ind w:firstLine="646"/>
        <w:rPr>
          <w:rFonts w:hint="eastAsia" w:ascii="仿宋_GB2312" w:eastAsia="仿宋_GB2312"/>
          <w:sz w:val="32"/>
          <w:szCs w:val="32"/>
        </w:rPr>
      </w:pPr>
      <w:r>
        <w:rPr>
          <w:rFonts w:hint="eastAsia" w:ascii="仿宋_GB2312" w:eastAsia="仿宋_GB2312"/>
          <w:sz w:val="32"/>
          <w:szCs w:val="32"/>
        </w:rPr>
        <w:t>（十六）指导监督全市防震减灾工作。</w:t>
      </w:r>
    </w:p>
    <w:p>
      <w:pPr>
        <w:ind w:firstLine="646"/>
        <w:rPr>
          <w:rFonts w:hint="eastAsia" w:ascii="仿宋_GB2312" w:eastAsia="仿宋_GB2312"/>
          <w:sz w:val="32"/>
          <w:szCs w:val="32"/>
        </w:rPr>
      </w:pPr>
      <w:r>
        <w:rPr>
          <w:rFonts w:hint="eastAsia" w:ascii="仿宋_GB2312" w:eastAsia="仿宋_GB2312"/>
          <w:sz w:val="32"/>
          <w:szCs w:val="32"/>
        </w:rPr>
        <w:t>（十七）开展应急管理和安全生产方面的对外交流与合作。</w:t>
      </w:r>
    </w:p>
    <w:p>
      <w:pPr>
        <w:ind w:firstLine="646"/>
        <w:rPr>
          <w:rFonts w:hint="eastAsia" w:ascii="仿宋_GB2312" w:eastAsia="仿宋_GB2312"/>
          <w:sz w:val="32"/>
          <w:szCs w:val="32"/>
        </w:rPr>
      </w:pPr>
      <w:r>
        <w:rPr>
          <w:rFonts w:hint="eastAsia" w:ascii="仿宋_GB2312" w:eastAsia="仿宋_GB2312"/>
          <w:sz w:val="32"/>
          <w:szCs w:val="32"/>
        </w:rPr>
        <w:t>（十八）完成市委、市政府交办的其他任务。</w:t>
      </w:r>
    </w:p>
    <w:p>
      <w:pPr>
        <w:ind w:firstLine="646"/>
        <w:rPr>
          <w:rFonts w:hint="eastAsia" w:ascii="仿宋_GB2312" w:eastAsia="仿宋_GB2312"/>
          <w:sz w:val="32"/>
          <w:szCs w:val="32"/>
        </w:rPr>
      </w:pPr>
      <w:r>
        <w:rPr>
          <w:rFonts w:hint="eastAsia" w:ascii="仿宋_GB2312" w:eastAsia="仿宋_GB2312"/>
          <w:sz w:val="32"/>
          <w:szCs w:val="32"/>
        </w:rPr>
        <w:t>（十九）职能转变。市应急管理局应加强、优化、统筹全市应急能力建设，构建统一领导、权责一致、权威高效的应急能力体系，推动形成统一指挥、专常兼备、反应敏捷、上下联动、平战结合的应急管理体制。一是坚持以防为主、防抗救结合，坚持常态减灾和非常态救灾相统一，努力实现从注重灾后救助向注重灾前预防转变，提高全市应急管理水平和防灾减灾救灾能力，防范化解重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大安全生产事故。</w:t>
      </w:r>
    </w:p>
    <w:p>
      <w:pPr>
        <w:ind w:firstLine="646"/>
        <w:rPr>
          <w:rFonts w:hint="eastAsia" w:ascii="仿宋_GB2312" w:eastAsia="仿宋_GB2312"/>
          <w:sz w:val="32"/>
          <w:szCs w:val="32"/>
        </w:rPr>
      </w:pPr>
      <w:r>
        <w:rPr>
          <w:rFonts w:hint="eastAsia" w:ascii="仿宋_GB2312" w:eastAsia="仿宋_GB2312"/>
          <w:sz w:val="32"/>
          <w:szCs w:val="32"/>
        </w:rPr>
        <w:t>（二十）有关职责分工。</w:t>
      </w:r>
    </w:p>
    <w:p>
      <w:pPr>
        <w:ind w:firstLine="646"/>
        <w:rPr>
          <w:rFonts w:hint="eastAsia" w:ascii="仿宋_GB2312" w:eastAsia="仿宋_GB2312"/>
          <w:sz w:val="32"/>
          <w:szCs w:val="32"/>
        </w:rPr>
      </w:pPr>
      <w:r>
        <w:rPr>
          <w:rFonts w:hint="eastAsia" w:ascii="仿宋_GB2312" w:eastAsia="仿宋_GB2312"/>
          <w:sz w:val="32"/>
          <w:szCs w:val="32"/>
        </w:rPr>
        <w:t>1．市自然资源和规划局、市水利局、市林业和园林局等部门在自然灾害防救方面的职责分工。</w:t>
      </w:r>
    </w:p>
    <w:p>
      <w:pPr>
        <w:ind w:firstLine="646"/>
        <w:rPr>
          <w:rFonts w:hint="eastAsia" w:ascii="仿宋_GB2312" w:eastAsia="仿宋_GB2312"/>
          <w:sz w:val="32"/>
          <w:szCs w:val="32"/>
        </w:rPr>
      </w:pPr>
      <w:r>
        <w:rPr>
          <w:rFonts w:hint="eastAsia" w:ascii="仿宋_GB2312" w:eastAsia="仿宋_GB2312"/>
          <w:sz w:val="32"/>
          <w:szCs w:val="32"/>
        </w:rPr>
        <w:t>（1）市应急管理局负责组织编制全市总体应急预案和安全生产类、自然灾害类专项预案，综合协调应急预案衔接工作，组织开展预案演练。按照分级负责的原则，指导自然灾害类应急救援。组织协调重大灾害应急救援工作，并按权限作出决定。协助市委、市政府指定的负责同志组织重大灾害应急处置工作。组织编制综合防灾减灾规划，组织协调相关部门森林山林火灾、水旱灾害、地震和地质灾害等防治工作。会同市自然资源和规划局、市水利局、市林业和园林局、市气象局等有关部门建立统一的应急管理信息平台，建立监测预警和灾情报告制度，健全自然灾害信息资源获取和共享机制，依法统一发布灾情。开展多灾种和灾害链综合监测预警，开展自然灾害综合风险评估。负责森林火情监测预警工作，发布森林山林火险、火灾信息。</w:t>
      </w:r>
    </w:p>
    <w:p>
      <w:pPr>
        <w:ind w:firstLine="646"/>
        <w:rPr>
          <w:rFonts w:hint="eastAsia" w:ascii="仿宋_GB2312" w:eastAsia="仿宋_GB2312"/>
          <w:sz w:val="32"/>
          <w:szCs w:val="32"/>
        </w:rPr>
      </w:pPr>
      <w:r>
        <w:rPr>
          <w:rFonts w:hint="eastAsia" w:ascii="仿宋_GB2312" w:eastAsia="仿宋_GB2312"/>
          <w:sz w:val="32"/>
          <w:szCs w:val="32"/>
        </w:rPr>
        <w:t>（2）市自然资源和规划局负责落实综合防灾减灾规划相关要求，组织编制地质灾害防治规划和防护规范并指导实施。组织开展地质灾害调查评价及隐患的普查、详查、排查。指导开展群测群防、专业监测和预报预警等工作，指导开展地质灾害工程治理工作。承担地质灾害应急救援的技术支撑工作。</w:t>
      </w:r>
    </w:p>
    <w:p>
      <w:pPr>
        <w:ind w:firstLine="646"/>
        <w:rPr>
          <w:rFonts w:hint="eastAsia" w:ascii="仿宋_GB2312" w:eastAsia="仿宋_GB2312"/>
          <w:sz w:val="32"/>
          <w:szCs w:val="32"/>
        </w:rPr>
      </w:pPr>
      <w:r>
        <w:rPr>
          <w:rFonts w:hint="eastAsia" w:ascii="仿宋_GB2312" w:eastAsia="仿宋_GB2312"/>
          <w:sz w:val="32"/>
          <w:szCs w:val="32"/>
        </w:rPr>
        <w:t>（3）市水利局负责落实综合防灾减灾规划相关要求，组织编制洪水干旱灾害防治规划和防护规范并指导实施。承担水情旱情监测预警和水旱台风灾害预防工作。组织编制重要江河湖泊和重要水工程的防御洪水抗御旱灾调度和应急水量调度方案，按程序报批并组织实施。承担防御洪水应急抢险的技术支撑工作。承担台风防御期间重要水工程调度工作。　　</w:t>
      </w:r>
    </w:p>
    <w:p>
      <w:pPr>
        <w:ind w:firstLine="646"/>
        <w:rPr>
          <w:rFonts w:hint="eastAsia" w:ascii="仿宋_GB2312" w:eastAsia="仿宋_GB2312"/>
          <w:sz w:val="32"/>
          <w:szCs w:val="32"/>
        </w:rPr>
      </w:pPr>
      <w:r>
        <w:rPr>
          <w:rFonts w:hint="eastAsia" w:ascii="仿宋_GB2312" w:eastAsia="仿宋_GB2312"/>
          <w:sz w:val="32"/>
          <w:szCs w:val="32"/>
        </w:rPr>
        <w:t>（4）市林业和园林局负责落实综合防灾减灾规划相关要求，组织编制森林山林火灾防治规划和防护规范并指导实施。指导开展防火巡护、火源管理、防火设施建设等工作。组织指导国有林场林区开展防火宣传教育、监测预警、督促检查等工作。</w:t>
      </w:r>
    </w:p>
    <w:p>
      <w:pPr>
        <w:ind w:firstLine="646"/>
        <w:rPr>
          <w:rFonts w:hint="eastAsia" w:ascii="仿宋_GB2312" w:eastAsia="仿宋_GB2312"/>
          <w:sz w:val="32"/>
          <w:szCs w:val="32"/>
        </w:rPr>
      </w:pPr>
      <w:r>
        <w:rPr>
          <w:rFonts w:hint="eastAsia" w:ascii="仿宋_GB2312" w:eastAsia="仿宋_GB2312"/>
          <w:sz w:val="32"/>
          <w:szCs w:val="32"/>
        </w:rPr>
        <w:t>（5）必要时市自然资源和规划局、市水利局、市林业和园林局等部门可以提请市应急管理局，以市应急指挥机构名义部署相关防治工作。</w:t>
      </w:r>
    </w:p>
    <w:p>
      <w:pPr>
        <w:ind w:firstLine="646"/>
        <w:rPr>
          <w:rFonts w:hint="eastAsia" w:ascii="仿宋_GB2312" w:eastAsia="仿宋_GB2312"/>
          <w:sz w:val="32"/>
          <w:szCs w:val="32"/>
        </w:rPr>
      </w:pPr>
      <w:r>
        <w:rPr>
          <w:rFonts w:hint="eastAsia" w:ascii="仿宋_GB2312" w:eastAsia="仿宋_GB2312"/>
          <w:sz w:val="32"/>
          <w:szCs w:val="32"/>
        </w:rPr>
        <w:t>2.与市粮食和物资储备局在柳州市救灾物资储备方面的职责分工。　</w:t>
      </w:r>
    </w:p>
    <w:p>
      <w:pPr>
        <w:ind w:firstLine="646"/>
        <w:rPr>
          <w:rFonts w:hint="eastAsia" w:ascii="仿宋_GB2312" w:eastAsia="仿宋_GB2312"/>
          <w:sz w:val="32"/>
          <w:szCs w:val="32"/>
        </w:rPr>
      </w:pPr>
      <w:r>
        <w:rPr>
          <w:rFonts w:hint="eastAsia" w:ascii="仿宋_GB2312" w:eastAsia="仿宋_GB2312"/>
          <w:sz w:val="32"/>
          <w:szCs w:val="32"/>
        </w:rPr>
        <w:t>（1）市应急管理局负责提出全市救灾物资的储备需求和动用决策，组织编制全市救灾物资储备规划和品种目录，会同市粮食和物资储备局等部门确定年度购置计划，根据需要下达动用指令。　　</w:t>
      </w:r>
    </w:p>
    <w:p>
      <w:pPr>
        <w:ind w:firstLine="640" w:firstLineChars="200"/>
        <w:rPr>
          <w:rFonts w:hint="eastAsia" w:ascii="仿宋_GB2312" w:eastAsia="仿宋_GB2312"/>
          <w:sz w:val="32"/>
          <w:szCs w:val="32"/>
        </w:rPr>
      </w:pPr>
      <w:r>
        <w:rPr>
          <w:rFonts w:hint="eastAsia" w:ascii="仿宋_GB2312" w:eastAsia="仿宋_GB2312"/>
          <w:sz w:val="32"/>
          <w:szCs w:val="32"/>
        </w:rPr>
        <w:t>（2）市粮食和物资储备局根据全市救灾物资储备规划、品种目录和年度购置计划，负责全市救灾物资的收储、轮换和日常管理，根据市应急管理局的动用指令按程序组织调出。　</w:t>
      </w:r>
    </w:p>
    <w:p>
      <w:pPr>
        <w:ind w:firstLine="640" w:firstLineChars="200"/>
        <w:rPr>
          <w:rFonts w:hint="eastAsia"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center"/>
        <w:rPr>
          <w:rFonts w:hint="eastAsia" w:ascii="仿宋_GB2312" w:hAnsi="Times New Roman" w:eastAsia="仿宋_GB2312" w:cs="仿宋_GB2312"/>
          <w:kern w:val="0"/>
          <w:sz w:val="31"/>
          <w:szCs w:val="31"/>
          <w:lang w:val="en-US" w:eastAsia="zh-CN" w:bidi="ar"/>
        </w:rPr>
      </w:pPr>
      <w:r>
        <w:rPr>
          <w:rStyle w:val="8"/>
          <w:rFonts w:hint="eastAsia" w:ascii="仿宋_GB2312" w:hAnsi="Helvetica" w:eastAsia="仿宋_GB2312" w:cs="仿宋_GB2312"/>
          <w:b/>
          <w:bCs/>
          <w:i w:val="0"/>
          <w:iCs w:val="0"/>
          <w:caps w:val="0"/>
          <w:color w:val="333333"/>
          <w:spacing w:val="0"/>
          <w:sz w:val="31"/>
          <w:szCs w:val="31"/>
          <w:shd w:val="clear" w:fill="FFFFFF"/>
          <w:lang w:val="en-US" w:eastAsia="zh-CN"/>
        </w:rPr>
        <w:t xml:space="preserve">                  </w:t>
      </w:r>
      <w:r>
        <w:rPr>
          <w:rStyle w:val="8"/>
          <w:rFonts w:ascii="仿宋_GB2312" w:hAnsi="Helvetica" w:eastAsia="仿宋_GB2312" w:cs="仿宋_GB2312"/>
          <w:b/>
          <w:bCs/>
          <w:i w:val="0"/>
          <w:iCs w:val="0"/>
          <w:caps w:val="0"/>
          <w:color w:val="333333"/>
          <w:spacing w:val="0"/>
          <w:sz w:val="31"/>
          <w:szCs w:val="31"/>
          <w:shd w:val="clear" w:fill="FFFFFF"/>
        </w:rPr>
        <w:t>机构和人员情况表</w:t>
      </w:r>
      <w:r>
        <w:rPr>
          <w:rFonts w:hint="eastAsia" w:ascii="仿宋_GB2312" w:hAnsi="Helvetica" w:eastAsia="仿宋_GB2312" w:cs="仿宋_GB2312"/>
          <w:i w:val="0"/>
          <w:iCs w:val="0"/>
          <w:caps w:val="0"/>
          <w:color w:val="333333"/>
          <w:spacing w:val="0"/>
          <w:sz w:val="31"/>
          <w:szCs w:val="31"/>
          <w:shd w:val="clear" w:fill="FFFFFF"/>
        </w:rPr>
        <w:t>                   </w:t>
      </w:r>
    </w:p>
    <w:p>
      <w:pPr>
        <w:tabs>
          <w:tab w:val="left" w:pos="6744"/>
        </w:tabs>
        <w:bidi w:val="0"/>
        <w:jc w:val="left"/>
        <w:rPr>
          <w:rFonts w:hint="eastAsia" w:ascii="仿宋_GB2312" w:hAnsi="Times New Roman" w:eastAsia="仿宋_GB2312" w:cs="仿宋_GB2312"/>
          <w:kern w:val="0"/>
          <w:sz w:val="31"/>
          <w:szCs w:val="31"/>
          <w:lang w:val="en-US" w:eastAsia="zh-CN" w:bidi="ar"/>
        </w:rPr>
      </w:pPr>
      <w:r>
        <w:rPr>
          <w:rFonts w:hint="eastAsia" w:ascii="仿宋_GB2312" w:hAnsi="Times New Roman" w:eastAsia="仿宋_GB2312" w:cs="仿宋_GB2312"/>
          <w:kern w:val="0"/>
          <w:sz w:val="31"/>
          <w:szCs w:val="31"/>
          <w:lang w:val="en-US" w:eastAsia="zh-CN" w:bidi="ar"/>
        </w:rPr>
        <w:tab/>
      </w:r>
      <w:r>
        <w:rPr>
          <w:rFonts w:hint="eastAsia" w:ascii="仿宋_GB2312" w:hAnsi="Times New Roman" w:eastAsia="仿宋_GB2312" w:cs="仿宋_GB2312"/>
          <w:kern w:val="0"/>
          <w:sz w:val="31"/>
          <w:szCs w:val="31"/>
          <w:lang w:val="en-US" w:eastAsia="zh-CN" w:bidi="ar"/>
        </w:rPr>
        <w:t>单位：人</w:t>
      </w:r>
    </w:p>
    <w:tbl>
      <w:tblPr>
        <w:tblStyle w:val="6"/>
        <w:tblpPr w:leftFromText="180" w:rightFromText="180" w:vertAnchor="text" w:horzAnchor="page" w:tblpX="1919" w:tblpY="69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55"/>
        <w:gridCol w:w="1305"/>
        <w:gridCol w:w="600"/>
        <w:gridCol w:w="750"/>
        <w:gridCol w:w="555"/>
        <w:gridCol w:w="540"/>
        <w:gridCol w:w="615"/>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 w:hRule="atLeast"/>
        </w:trPr>
        <w:tc>
          <w:tcPr>
            <w:tcW w:w="2955" w:type="dxa"/>
            <w:tcBorders>
              <w:top w:val="single" w:color="auto" w:sz="6" w:space="0"/>
              <w:left w:val="single" w:color="auto" w:sz="6" w:space="0"/>
              <w:bottom w:val="single" w:color="auto" w:sz="6" w:space="0"/>
              <w:right w:val="single" w:color="auto" w:sz="6" w:space="0"/>
            </w:tcBorders>
            <w:shd w:val="clear" w:color="auto" w:fill="auto"/>
            <w:tcMar>
              <w:top w:w="15" w:type="dxa"/>
              <w:left w:w="30"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单位名称</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单位性质</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编制人数</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实有在职人数</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离休</w:t>
            </w:r>
            <w:r>
              <w:rPr>
                <w:rFonts w:hint="eastAsia" w:ascii="仿宋_GB2312" w:eastAsia="仿宋_GB2312" w:cs="仿宋_GB2312"/>
                <w:sz w:val="31"/>
                <w:szCs w:val="31"/>
              </w:rPr>
              <w:br w:type="textWrapping"/>
            </w:r>
            <w:r>
              <w:rPr>
                <w:rFonts w:hint="eastAsia" w:ascii="仿宋_GB2312" w:eastAsia="仿宋_GB2312" w:cs="仿宋_GB2312"/>
                <w:sz w:val="31"/>
                <w:szCs w:val="31"/>
              </w:rPr>
              <w:t>  人数</w:t>
            </w:r>
          </w:p>
        </w:tc>
        <w:tc>
          <w:tcPr>
            <w:tcW w:w="540" w:type="dxa"/>
            <w:tcBorders>
              <w:top w:val="single" w:color="auto" w:sz="6" w:space="0"/>
              <w:left w:val="single" w:color="auto" w:sz="6" w:space="0"/>
              <w:bottom w:val="single" w:color="auto" w:sz="6" w:space="0"/>
              <w:right w:val="single" w:color="auto" w:sz="6" w:space="0"/>
            </w:tcBorders>
            <w:shd w:val="clear" w:color="auto" w:fill="auto"/>
            <w:tcMar>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退休</w:t>
            </w:r>
            <w:r>
              <w:rPr>
                <w:rFonts w:hint="eastAsia" w:ascii="仿宋_GB2312" w:eastAsia="仿宋_GB2312" w:cs="仿宋_GB2312"/>
                <w:sz w:val="31"/>
                <w:szCs w:val="31"/>
              </w:rPr>
              <w:br w:type="textWrapping"/>
            </w:r>
            <w:r>
              <w:rPr>
                <w:rFonts w:hint="eastAsia" w:ascii="仿宋_GB2312" w:eastAsia="仿宋_GB2312" w:cs="仿宋_GB2312"/>
                <w:sz w:val="31"/>
                <w:szCs w:val="31"/>
              </w:rPr>
              <w:t>  人数</w:t>
            </w:r>
          </w:p>
        </w:tc>
        <w:tc>
          <w:tcPr>
            <w:tcW w:w="61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聘用人数</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遗属</w:t>
            </w:r>
            <w:r>
              <w:rPr>
                <w:rFonts w:hint="eastAsia" w:ascii="仿宋_GB2312" w:eastAsia="仿宋_GB2312" w:cs="仿宋_GB2312"/>
                <w:sz w:val="31"/>
                <w:szCs w:val="31"/>
              </w:rPr>
              <w:br w:type="textWrapping"/>
            </w:r>
            <w:r>
              <w:rPr>
                <w:rFonts w:hint="eastAsia" w:ascii="仿宋_GB2312" w:eastAsia="仿宋_GB2312" w:cs="仿宋_GB2312"/>
                <w:sz w:val="31"/>
                <w:szCs w:val="31"/>
              </w:rPr>
              <w:t>  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 w:hRule="atLeast"/>
        </w:trPr>
        <w:tc>
          <w:tcPr>
            <w:tcW w:w="2955" w:type="dxa"/>
            <w:tcBorders>
              <w:top w:val="single" w:color="auto" w:sz="6" w:space="0"/>
              <w:left w:val="single" w:color="auto" w:sz="6" w:space="0"/>
              <w:bottom w:val="single" w:color="auto" w:sz="6" w:space="0"/>
              <w:right w:val="single" w:color="auto" w:sz="6" w:space="0"/>
            </w:tcBorders>
            <w:shd w:val="clear" w:color="auto" w:fill="auto"/>
            <w:tcMar>
              <w:top w:w="15" w:type="dxa"/>
              <w:left w:w="30"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合计</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hint="default" w:ascii="Times New Roman" w:hAnsi="Times New Roman" w:eastAsia="宋体" w:cs="Times New Roman"/>
                <w:kern w:val="0"/>
                <w:sz w:val="24"/>
                <w:szCs w:val="24"/>
                <w:lang w:val="en-US" w:eastAsia="zh-CN" w:bidi="ar"/>
              </w:rPr>
            </w:pPr>
            <w:r>
              <w:rPr>
                <w:rFonts w:hint="eastAsia" w:ascii="仿宋_GB2312" w:eastAsia="仿宋_GB2312" w:cs="仿宋_GB2312"/>
                <w:sz w:val="31"/>
                <w:szCs w:val="31"/>
                <w:lang w:val="en-US" w:eastAsia="zh-CN"/>
              </w:rPr>
              <w:t>106</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hint="default" w:ascii="Times New Roman" w:hAnsi="Times New Roman" w:eastAsia="宋体" w:cs="Times New Roman"/>
                <w:kern w:val="0"/>
                <w:sz w:val="24"/>
                <w:szCs w:val="24"/>
                <w:lang w:val="en-US" w:eastAsia="zh-CN" w:bidi="ar"/>
              </w:rPr>
            </w:pPr>
            <w:r>
              <w:rPr>
                <w:rFonts w:hint="eastAsia" w:ascii="仿宋_GB2312" w:eastAsia="仿宋_GB2312" w:cs="仿宋_GB2312"/>
                <w:sz w:val="31"/>
                <w:szCs w:val="31"/>
                <w:lang w:val="en-US" w:eastAsia="zh-CN"/>
              </w:rPr>
              <w:t>91</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ascii="Times New Roman" w:hAnsi="Times New Roman" w:eastAsia="宋体" w:cs="Times New Roman"/>
                <w:kern w:val="0"/>
                <w:sz w:val="24"/>
                <w:szCs w:val="24"/>
                <w:lang w:val="en-US" w:eastAsia="zh-CN" w:bidi="ar"/>
              </w:rPr>
            </w:pPr>
            <w:r>
              <w:rPr>
                <w:rFonts w:hint="eastAsia" w:ascii="仿宋_GB2312" w:eastAsia="仿宋_GB2312" w:cs="仿宋_GB2312"/>
                <w:sz w:val="31"/>
                <w:szCs w:val="31"/>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hint="default" w:ascii="Times New Roman" w:hAnsi="Times New Roman" w:eastAsia="宋体" w:cs="Times New Roman"/>
                <w:kern w:val="0"/>
                <w:sz w:val="24"/>
                <w:szCs w:val="24"/>
                <w:lang w:val="en-US" w:eastAsia="zh-CN" w:bidi="ar"/>
              </w:rPr>
            </w:pPr>
            <w:r>
              <w:rPr>
                <w:rFonts w:hint="eastAsia" w:ascii="仿宋_GB2312" w:eastAsia="仿宋_GB2312" w:cs="仿宋_GB2312"/>
                <w:sz w:val="31"/>
                <w:szCs w:val="31"/>
                <w:lang w:val="en-US" w:eastAsia="zh-CN"/>
              </w:rPr>
              <w:t>29</w:t>
            </w:r>
          </w:p>
        </w:tc>
        <w:tc>
          <w:tcPr>
            <w:tcW w:w="61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hint="default" w:ascii="Times New Roman" w:hAnsi="Times New Roman" w:eastAsia="宋体" w:cs="Times New Roman"/>
                <w:kern w:val="0"/>
                <w:sz w:val="24"/>
                <w:szCs w:val="24"/>
                <w:lang w:val="en-US" w:eastAsia="zh-CN" w:bidi="ar"/>
              </w:rPr>
            </w:pPr>
            <w:r>
              <w:rPr>
                <w:rFonts w:hint="eastAsia" w:ascii="仿宋_GB2312" w:eastAsia="仿宋_GB2312" w:cs="仿宋_GB2312"/>
                <w:sz w:val="31"/>
                <w:szCs w:val="31"/>
                <w:lang w:val="en-US" w:eastAsia="zh-CN"/>
              </w:rPr>
              <w:t>15</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3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ascii="Times New Roman" w:hAnsi="Times New Roman" w:eastAsia="宋体" w:cs="Times New Roman"/>
                <w:kern w:val="0"/>
                <w:sz w:val="24"/>
                <w:szCs w:val="24"/>
                <w:lang w:val="en-US" w:eastAsia="zh-CN" w:bidi="ar"/>
              </w:rPr>
            </w:pPr>
            <w:r>
              <w:rPr>
                <w:rFonts w:hint="eastAsia" w:ascii="仿宋_GB2312" w:eastAsia="仿宋_GB2312" w:cs="仿宋_GB2312"/>
                <w:sz w:val="31"/>
                <w:szCs w:val="3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2955" w:type="dxa"/>
            <w:tcBorders>
              <w:top w:val="single" w:color="auto" w:sz="6" w:space="0"/>
              <w:left w:val="single" w:color="auto" w:sz="6" w:space="0"/>
              <w:bottom w:val="single" w:color="auto" w:sz="6" w:space="0"/>
              <w:right w:val="single" w:color="auto" w:sz="6" w:space="0"/>
            </w:tcBorders>
            <w:shd w:val="clear" w:color="auto" w:fill="auto"/>
            <w:tcMar>
              <w:top w:w="15" w:type="dxa"/>
              <w:left w:w="30"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rPr>
                <w:rFonts w:hint="eastAsia" w:ascii="仿宋_GB2312" w:eastAsia="仿宋_GB2312" w:cs="仿宋_GB2312"/>
                <w:sz w:val="31"/>
                <w:szCs w:val="31"/>
                <w:lang w:eastAsia="zh-CN"/>
              </w:rPr>
            </w:pPr>
            <w:r>
              <w:rPr>
                <w:rFonts w:hint="eastAsia" w:ascii="仿宋_GB2312" w:eastAsia="仿宋_GB2312" w:cs="仿宋_GB2312"/>
                <w:sz w:val="31"/>
                <w:szCs w:val="31"/>
                <w:lang w:eastAsia="zh-CN"/>
              </w:rPr>
              <w:t>柳州市应急管理局</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rPr>
                <w:rFonts w:hint="eastAsia" w:ascii="仿宋_GB2312" w:eastAsia="仿宋_GB2312" w:cs="仿宋_GB2312"/>
                <w:sz w:val="31"/>
                <w:szCs w:val="31"/>
                <w:lang w:eastAsia="zh-CN"/>
              </w:rPr>
            </w:pPr>
            <w:r>
              <w:rPr>
                <w:rFonts w:hint="eastAsia" w:ascii="仿宋_GB2312" w:eastAsia="仿宋_GB2312" w:cs="仿宋_GB2312"/>
                <w:sz w:val="31"/>
                <w:szCs w:val="31"/>
                <w:lang w:eastAsia="zh-CN"/>
              </w:rPr>
              <w:t>行政单位</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rPr>
                <w:rFonts w:hint="default" w:eastAsia="宋体"/>
                <w:lang w:val="en-US" w:eastAsia="zh-CN"/>
              </w:rPr>
            </w:pPr>
            <w:r>
              <w:rPr>
                <w:rFonts w:hint="eastAsia" w:ascii="仿宋_GB2312" w:eastAsia="仿宋_GB2312" w:cs="仿宋_GB2312"/>
                <w:sz w:val="31"/>
                <w:szCs w:val="31"/>
                <w:lang w:val="en-US" w:eastAsia="zh-CN"/>
              </w:rPr>
              <w:t>106</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rPr>
                <w:rFonts w:hint="default" w:eastAsia="宋体"/>
                <w:lang w:val="en-US" w:eastAsia="zh-CN"/>
              </w:rPr>
            </w:pPr>
            <w:r>
              <w:rPr>
                <w:rFonts w:hint="eastAsia" w:ascii="仿宋_GB2312" w:eastAsia="仿宋_GB2312" w:cs="仿宋_GB2312"/>
                <w:sz w:val="31"/>
                <w:szCs w:val="31"/>
                <w:lang w:val="en-US" w:eastAsia="zh-CN"/>
              </w:rPr>
              <w:t>91</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rPr>
                <w:rFonts w:hint="default" w:eastAsia="宋体"/>
                <w:lang w:val="en-US" w:eastAsia="zh-CN"/>
              </w:rPr>
            </w:pPr>
            <w:r>
              <w:rPr>
                <w:rFonts w:hint="eastAsia" w:ascii="仿宋_GB2312" w:eastAsia="仿宋_GB2312" w:cs="仿宋_GB2312"/>
                <w:sz w:val="31"/>
                <w:szCs w:val="31"/>
                <w:lang w:val="en-US" w:eastAsia="zh-CN"/>
              </w:rPr>
              <w:t>29</w:t>
            </w:r>
          </w:p>
        </w:tc>
        <w:tc>
          <w:tcPr>
            <w:tcW w:w="61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rPr>
                <w:rFonts w:hint="default" w:eastAsia="宋体"/>
                <w:lang w:val="en-US" w:eastAsia="zh-CN"/>
              </w:rPr>
            </w:pPr>
            <w:r>
              <w:rPr>
                <w:rFonts w:hint="eastAsia" w:ascii="仿宋_GB2312" w:eastAsia="仿宋_GB2312" w:cs="仿宋_GB2312"/>
                <w:sz w:val="31"/>
                <w:szCs w:val="31"/>
                <w:lang w:val="en-US" w:eastAsia="zh-CN"/>
              </w:rPr>
              <w:t>15</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3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0</w:t>
            </w:r>
          </w:p>
        </w:tc>
      </w:tr>
    </w:tbl>
    <w:p>
      <w:pPr>
        <w:ind w:firstLine="645"/>
        <w:rPr>
          <w:rFonts w:ascii="仿宋_GB2312" w:eastAsia="仿宋_GB2312"/>
          <w:sz w:val="32"/>
          <w:szCs w:val="32"/>
        </w:rPr>
      </w:pPr>
      <w:r>
        <w:rPr>
          <w:rFonts w:hint="eastAsia" w:ascii="仿宋_GB2312" w:hAnsi="Helvetica" w:eastAsia="仿宋_GB2312" w:cs="仿宋_GB2312"/>
          <w:i w:val="0"/>
          <w:iCs w:val="0"/>
          <w:caps w:val="0"/>
          <w:color w:val="333333"/>
          <w:spacing w:val="0"/>
          <w:sz w:val="31"/>
          <w:szCs w:val="31"/>
          <w:shd w:val="clear" w:fill="FFFFFF"/>
        </w:rPr>
        <w:t> </w:t>
      </w:r>
      <w:r>
        <w:rPr>
          <w:rFonts w:hint="eastAsia" w:ascii="仿宋_GB2312" w:hAnsi="Helvetica" w:eastAsia="仿宋_GB2312" w:cs="仿宋_GB2312"/>
          <w:i w:val="0"/>
          <w:iCs w:val="0"/>
          <w:caps w:val="0"/>
          <w:color w:val="333333"/>
          <w:spacing w:val="0"/>
          <w:sz w:val="31"/>
          <w:szCs w:val="31"/>
          <w:shd w:val="clear" w:fill="FFFFFF"/>
          <w:lang w:val="en-US" w:eastAsia="zh-CN"/>
        </w:rPr>
        <w:t xml:space="preserve">                                    </w:t>
      </w:r>
    </w:p>
    <w:p>
      <w:pPr>
        <w:jc w:val="both"/>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柳州市应急管理局</w:t>
      </w:r>
      <w:r>
        <w:rPr>
          <w:rFonts w:hint="eastAsia" w:ascii="仿宋_GB2312" w:eastAsia="仿宋_GB2312"/>
          <w:b/>
          <w:sz w:val="32"/>
          <w:szCs w:val="32"/>
        </w:rPr>
        <w:t>2020年部门决算报表</w:t>
      </w:r>
    </w:p>
    <w:p>
      <w:pPr>
        <w:ind w:firstLine="960" w:firstLineChars="300"/>
        <w:jc w:val="left"/>
        <w:rPr>
          <w:rFonts w:hint="eastAsia" w:eastAsia="宋体"/>
          <w:lang w:eastAsia="zh-CN"/>
        </w:rPr>
      </w:pPr>
      <w:r>
        <w:rPr>
          <w:rFonts w:hint="eastAsia" w:ascii="仿宋_GB2312" w:hAnsi="黑体" w:eastAsia="仿宋_GB2312"/>
          <w:sz w:val="32"/>
          <w:szCs w:val="32"/>
          <w:lang w:eastAsia="zh-CN"/>
        </w:rPr>
        <w:t>见附件。</w:t>
      </w:r>
    </w:p>
    <w:p/>
    <w:p>
      <w:pPr>
        <w:spacing w:line="580" w:lineRule="exact"/>
        <w:rPr>
          <w:rFonts w:hint="eastAsia" w:ascii="仿宋_GB2312" w:eastAsia="仿宋_GB2312"/>
          <w:b/>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柳州市应急管理局</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4602.17</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4428.27</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1254.4万元、1137.9万元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37.47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34.58%。</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4602.17</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4514.61</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98.1%</w:t>
      </w:r>
      <w:r>
        <w:rPr>
          <w:rFonts w:hint="eastAsia" w:ascii="仿宋_GB2312" w:eastAsia="仿宋_GB2312" w:cs="仿宋_GB2312"/>
          <w:bCs/>
          <w:kern w:val="0"/>
          <w:sz w:val="32"/>
          <w:szCs w:val="32"/>
        </w:rPr>
        <w:t> ；政府基金预算财政拨款收入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29.86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0.65%，年初结转结余57.7万元，占比1.25%</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4428.27</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2197.47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49.62</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2230.8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50.38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w:t>
      </w:r>
      <w:r>
        <w:rPr>
          <w:rFonts w:hint="eastAsia" w:ascii="仿宋_GB2312" w:eastAsia="仿宋_GB2312" w:cs="仿宋_GB2312"/>
          <w:bCs/>
          <w:kern w:val="0"/>
          <w:sz w:val="32"/>
          <w:szCs w:val="32"/>
          <w:lang w:val="en-US" w:eastAsia="zh-CN"/>
        </w:rPr>
        <w:t>4572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4426.09</w:t>
      </w:r>
      <w:r>
        <w:rPr>
          <w:rFonts w:hint="eastAsia" w:ascii="仿宋_GB2312" w:eastAsia="仿宋_GB2312" w:cs="仿宋_GB2312"/>
          <w:bCs/>
          <w:kern w:val="0"/>
          <w:sz w:val="32"/>
          <w:szCs w:val="32"/>
        </w:rPr>
        <w:t>万元。与 2019 年相比，财政拨款收、支总计各增加</w:t>
      </w:r>
      <w:r>
        <w:rPr>
          <w:rFonts w:hint="eastAsia" w:ascii="仿宋_GB2312" w:eastAsia="仿宋_GB2312" w:cs="仿宋_GB2312"/>
          <w:bCs/>
          <w:kern w:val="0"/>
          <w:sz w:val="32"/>
          <w:szCs w:val="32"/>
          <w:lang w:val="en-US" w:eastAsia="zh-CN"/>
        </w:rPr>
        <w:t>1375.25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1286.72万元</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43.02%、40.99</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hint="eastAsia" w:ascii="仿宋_GB2312" w:eastAsia="仿宋_GB2312" w:cs="仿宋_GB2312"/>
          <w:bCs/>
          <w:kern w:val="0"/>
          <w:sz w:val="32"/>
          <w:szCs w:val="32"/>
          <w:lang w:val="en-US" w:eastAsia="zh-CN"/>
        </w:rPr>
        <w:t>4426.09</w:t>
      </w:r>
      <w:r>
        <w:rPr>
          <w:rFonts w:hint="eastAsia" w:ascii="仿宋_GB2312" w:eastAsia="仿宋_GB2312" w:cs="仿宋_GB2312"/>
          <w:bCs/>
          <w:kern w:val="0"/>
          <w:sz w:val="32"/>
          <w:szCs w:val="32"/>
        </w:rPr>
        <w:t xml:space="preserve"> 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1286.72万元</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lang w:val="en-US" w:eastAsia="zh-CN"/>
        </w:rPr>
        <w:t>40.99</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4426.09</w:t>
      </w:r>
      <w:r>
        <w:rPr>
          <w:rFonts w:hint="eastAsia" w:ascii="仿宋_GB2312" w:eastAsia="仿宋_GB2312" w:cs="仿宋_GB2312"/>
          <w:bCs/>
          <w:kern w:val="0"/>
          <w:sz w:val="32"/>
          <w:szCs w:val="32"/>
        </w:rPr>
        <w:t xml:space="preserve"> 万元，主要用于以下方面：社会保障和就业支出</w:t>
      </w:r>
      <w:r>
        <w:rPr>
          <w:rFonts w:hint="eastAsia" w:ascii="仿宋_GB2312" w:eastAsia="仿宋_GB2312" w:cs="仿宋_GB2312"/>
          <w:bCs/>
          <w:kern w:val="0"/>
          <w:sz w:val="32"/>
          <w:szCs w:val="32"/>
          <w:lang w:val="en-US" w:eastAsia="zh-CN"/>
        </w:rPr>
        <w:t>323.04</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7.3</w:t>
      </w:r>
      <w:r>
        <w:rPr>
          <w:rFonts w:hint="eastAsia" w:ascii="仿宋_GB2312" w:eastAsia="仿宋_GB2312" w:cs="仿宋_GB2312"/>
          <w:bCs/>
          <w:kern w:val="0"/>
          <w:sz w:val="32"/>
          <w:szCs w:val="32"/>
        </w:rPr>
        <w:t>%；卫生健康支出</w:t>
      </w:r>
      <w:r>
        <w:rPr>
          <w:rFonts w:hint="eastAsia" w:ascii="仿宋_GB2312" w:eastAsia="仿宋_GB2312" w:cs="仿宋_GB2312"/>
          <w:bCs/>
          <w:kern w:val="0"/>
          <w:sz w:val="32"/>
          <w:szCs w:val="32"/>
          <w:lang w:val="en-US" w:eastAsia="zh-CN"/>
        </w:rPr>
        <w:t>213.05</w:t>
      </w:r>
      <w:r>
        <w:rPr>
          <w:rFonts w:hint="eastAsia" w:ascii="仿宋_GB2312" w:eastAsia="仿宋_GB2312" w:cs="仿宋_GB2312"/>
          <w:bCs/>
          <w:kern w:val="0"/>
          <w:sz w:val="32"/>
          <w:szCs w:val="32"/>
        </w:rPr>
        <w:t xml:space="preserve"> 万元，占</w:t>
      </w:r>
      <w:r>
        <w:rPr>
          <w:rFonts w:hint="eastAsia" w:ascii="仿宋_GB2312" w:eastAsia="仿宋_GB2312" w:cs="仿宋_GB2312"/>
          <w:bCs/>
          <w:kern w:val="0"/>
          <w:sz w:val="32"/>
          <w:szCs w:val="32"/>
          <w:lang w:val="en-US" w:eastAsia="zh-CN"/>
        </w:rPr>
        <w:t>4.81</w:t>
      </w:r>
      <w:r>
        <w:rPr>
          <w:rFonts w:hint="eastAsia" w:ascii="仿宋_GB2312" w:eastAsia="仿宋_GB2312" w:cs="仿宋_GB2312"/>
          <w:bCs/>
          <w:kern w:val="0"/>
          <w:sz w:val="32"/>
          <w:szCs w:val="32"/>
        </w:rPr>
        <w:t>%；城乡社区支出</w:t>
      </w:r>
      <w:r>
        <w:rPr>
          <w:rFonts w:hint="eastAsia" w:ascii="仿宋_GB2312" w:eastAsia="仿宋_GB2312" w:cs="仿宋_GB2312"/>
          <w:bCs/>
          <w:kern w:val="0"/>
          <w:sz w:val="32"/>
          <w:szCs w:val="32"/>
          <w:lang w:val="en-US" w:eastAsia="zh-CN"/>
        </w:rPr>
        <w:t>204.59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4.62</w:t>
      </w:r>
      <w:r>
        <w:rPr>
          <w:rFonts w:hint="eastAsia" w:ascii="仿宋_GB2312" w:eastAsia="仿宋_GB2312" w:cs="仿宋_GB2312"/>
          <w:bCs/>
          <w:kern w:val="0"/>
          <w:sz w:val="32"/>
          <w:szCs w:val="32"/>
        </w:rPr>
        <w:t>%；农林水支出</w:t>
      </w:r>
      <w:r>
        <w:rPr>
          <w:rFonts w:hint="eastAsia" w:ascii="仿宋_GB2312" w:eastAsia="仿宋_GB2312" w:cs="仿宋_GB2312"/>
          <w:bCs/>
          <w:kern w:val="0"/>
          <w:sz w:val="32"/>
          <w:szCs w:val="32"/>
          <w:lang w:val="en-US" w:eastAsia="zh-CN"/>
        </w:rPr>
        <w:t>35.46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0.8</w:t>
      </w:r>
      <w:r>
        <w:rPr>
          <w:rFonts w:hint="eastAsia" w:ascii="仿宋_GB2312" w:eastAsia="仿宋_GB2312" w:cs="仿宋_GB2312"/>
          <w:bCs/>
          <w:kern w:val="0"/>
          <w:sz w:val="32"/>
          <w:szCs w:val="32"/>
        </w:rPr>
        <w:t>%；商业服务业等支出</w:t>
      </w:r>
      <w:r>
        <w:rPr>
          <w:rFonts w:hint="eastAsia" w:ascii="仿宋_GB2312" w:eastAsia="仿宋_GB2312" w:cs="仿宋_GB2312"/>
          <w:bCs/>
          <w:kern w:val="0"/>
          <w:sz w:val="32"/>
          <w:szCs w:val="32"/>
          <w:lang w:val="en-US" w:eastAsia="zh-CN"/>
        </w:rPr>
        <w:t>19.28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0.43</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142.70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3.22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;灾害防治及应急管理支出3489.85万元，占78.82%；</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3227.89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4426.09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137.12</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在职人员工资、社保、公积金等基本支出，智慧城市以及自然灾害资金等项目支出</w:t>
      </w:r>
      <w:r>
        <w:rPr>
          <w:rFonts w:hint="eastAsia" w:ascii="仿宋_GB2312" w:eastAsia="仿宋_GB2312" w:cs="仿宋_GB2312"/>
          <w:bCs/>
          <w:kern w:val="0"/>
          <w:sz w:val="32"/>
          <w:szCs w:val="32"/>
        </w:rPr>
        <w:t xml:space="preserve">；二是部分支出按规定，通过使用以前年度财政拨款结转资金解决。其中：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1.社会保障和就业支出（类）行政事业单位养老支出（款）</w:t>
      </w:r>
      <w:r>
        <w:rPr>
          <w:rFonts w:hint="eastAsia" w:ascii="仿宋_GB2312" w:eastAsia="仿宋_GB2312" w:cs="仿宋_GB2312"/>
          <w:bCs/>
          <w:kern w:val="0"/>
          <w:sz w:val="32"/>
          <w:szCs w:val="32"/>
          <w:lang w:eastAsia="zh-CN"/>
        </w:rPr>
        <w:t>行政单位离退休</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lang w:val="en-US" w:eastAsia="zh-CN"/>
        </w:rPr>
        <w:t>30.05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50.87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169.28</w:t>
      </w:r>
      <w:r>
        <w:rPr>
          <w:rFonts w:hint="eastAsia" w:ascii="仿宋_GB2312" w:eastAsia="仿宋_GB2312" w:cs="仿宋_GB2312"/>
          <w:bCs/>
          <w:kern w:val="0"/>
          <w:sz w:val="32"/>
          <w:szCs w:val="32"/>
        </w:rPr>
        <w:t>%。决算数大于预算数的主要原因是因</w:t>
      </w:r>
      <w:r>
        <w:rPr>
          <w:rFonts w:hint="eastAsia" w:ascii="仿宋_GB2312" w:eastAsia="仿宋_GB2312" w:cs="仿宋_GB2312"/>
          <w:bCs/>
          <w:kern w:val="0"/>
          <w:sz w:val="32"/>
          <w:szCs w:val="32"/>
          <w:lang w:eastAsia="zh-CN"/>
        </w:rPr>
        <w:t>新增退休人员</w:t>
      </w:r>
      <w:r>
        <w:rPr>
          <w:rFonts w:hint="eastAsia" w:ascii="仿宋_GB2312" w:eastAsia="仿宋_GB2312" w:cs="仿宋_GB2312"/>
          <w:bCs/>
          <w:kern w:val="0"/>
          <w:sz w:val="32"/>
          <w:szCs w:val="32"/>
        </w:rPr>
        <w:t>，故</w:t>
      </w:r>
      <w:r>
        <w:rPr>
          <w:rFonts w:hint="eastAsia" w:ascii="仿宋_GB2312" w:eastAsia="仿宋_GB2312" w:cs="仿宋_GB2312"/>
          <w:bCs/>
          <w:kern w:val="0"/>
          <w:sz w:val="32"/>
          <w:szCs w:val="32"/>
          <w:lang w:eastAsia="zh-CN"/>
        </w:rPr>
        <w:t>行政单位离退休</w:t>
      </w:r>
      <w:r>
        <w:rPr>
          <w:rFonts w:hint="eastAsia" w:ascii="仿宋_GB2312" w:eastAsia="仿宋_GB2312" w:cs="仿宋_GB2312"/>
          <w:bCs/>
          <w:kern w:val="0"/>
          <w:sz w:val="32"/>
          <w:szCs w:val="32"/>
        </w:rPr>
        <w:t>金额与年初预算不一致。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社会保障和就业支出（类）行政事业单位养老支出（款）机关事业单位基本养老保险缴费支出（项）。 年初预算为</w:t>
      </w:r>
      <w:r>
        <w:rPr>
          <w:rFonts w:hint="eastAsia" w:ascii="仿宋_GB2312" w:eastAsia="仿宋_GB2312" w:cs="仿宋_GB2312"/>
          <w:bCs/>
          <w:kern w:val="0"/>
          <w:sz w:val="32"/>
          <w:szCs w:val="32"/>
          <w:lang w:val="en-US" w:eastAsia="zh-CN"/>
        </w:rPr>
        <w:t>167.21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188.69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112.85</w:t>
      </w:r>
      <w:r>
        <w:rPr>
          <w:rFonts w:hint="eastAsia" w:ascii="仿宋_GB2312" w:eastAsia="仿宋_GB2312" w:cs="仿宋_GB2312"/>
          <w:bCs/>
          <w:kern w:val="0"/>
          <w:sz w:val="32"/>
          <w:szCs w:val="32"/>
        </w:rPr>
        <w:t>%。决算数大于预算数的主要原因是因在职人员工资变动，故养老保险金额与年初预算不一致。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 社会保障和就业（类）行政事业单位养老支出（款）机关事业单位职业年金缴费支出（项）。年初预算为</w:t>
      </w:r>
      <w:r>
        <w:rPr>
          <w:rFonts w:hint="eastAsia" w:ascii="仿宋_GB2312" w:eastAsia="仿宋_GB2312" w:cs="仿宋_GB2312"/>
          <w:bCs/>
          <w:kern w:val="0"/>
          <w:sz w:val="32"/>
          <w:szCs w:val="32"/>
          <w:lang w:val="en-US" w:eastAsia="zh-CN"/>
        </w:rPr>
        <w:t>83.60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83.60</w:t>
      </w:r>
      <w:r>
        <w:rPr>
          <w:rFonts w:hint="eastAsia" w:ascii="仿宋_GB2312" w:eastAsia="仿宋_GB2312" w:cs="仿宋_GB2312"/>
          <w:bCs/>
          <w:kern w:val="0"/>
          <w:sz w:val="32"/>
          <w:szCs w:val="32"/>
        </w:rPr>
        <w:t>万元，完成年初预算的100 %。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.卫生健康支出（类）行政事业单位医疗（款）行政单位医疗（项）。年初预算为</w:t>
      </w:r>
      <w:r>
        <w:rPr>
          <w:rFonts w:hint="eastAsia" w:ascii="仿宋_GB2312" w:eastAsia="仿宋_GB2312" w:cs="仿宋_GB2312"/>
          <w:bCs/>
          <w:kern w:val="0"/>
          <w:sz w:val="32"/>
          <w:szCs w:val="32"/>
          <w:lang w:val="en-US" w:eastAsia="zh-CN"/>
        </w:rPr>
        <w:t>75.75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92.54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112.17</w:t>
      </w:r>
      <w:r>
        <w:rPr>
          <w:rFonts w:hint="eastAsia" w:ascii="仿宋_GB2312" w:eastAsia="仿宋_GB2312" w:cs="仿宋_GB2312"/>
          <w:bCs/>
          <w:kern w:val="0"/>
          <w:sz w:val="32"/>
          <w:szCs w:val="32"/>
        </w:rPr>
        <w:t>%。决算数大于预算数的主要原因是在职人员工资变动，故职工基本医疗金额与年初预算不一致。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卫生健康支出（类）行政事业单位医疗（款）</w:t>
      </w:r>
      <w:r>
        <w:rPr>
          <w:rFonts w:hint="eastAsia" w:ascii="仿宋_GB2312" w:eastAsia="仿宋_GB2312" w:cs="仿宋_GB2312"/>
          <w:bCs/>
          <w:kern w:val="0"/>
          <w:sz w:val="32"/>
          <w:szCs w:val="32"/>
          <w:lang w:eastAsia="zh-CN"/>
        </w:rPr>
        <w:t>事业</w:t>
      </w:r>
      <w:r>
        <w:rPr>
          <w:rFonts w:hint="eastAsia" w:ascii="仿宋_GB2312" w:eastAsia="仿宋_GB2312" w:cs="仿宋_GB2312"/>
          <w:bCs/>
          <w:kern w:val="0"/>
          <w:sz w:val="32"/>
          <w:szCs w:val="32"/>
        </w:rPr>
        <w:t>单位医疗（项）。年初预算为</w:t>
      </w:r>
      <w:r>
        <w:rPr>
          <w:rFonts w:hint="eastAsia" w:ascii="仿宋_GB2312" w:eastAsia="仿宋_GB2312" w:cs="仿宋_GB2312"/>
          <w:bCs/>
          <w:kern w:val="0"/>
          <w:sz w:val="32"/>
          <w:szCs w:val="32"/>
          <w:lang w:val="en-US" w:eastAsia="zh-CN"/>
        </w:rPr>
        <w:t>2.67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4.21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157.68</w:t>
      </w:r>
      <w:r>
        <w:rPr>
          <w:rFonts w:hint="eastAsia" w:ascii="仿宋_GB2312" w:eastAsia="仿宋_GB2312" w:cs="仿宋_GB2312"/>
          <w:bCs/>
          <w:kern w:val="0"/>
          <w:sz w:val="32"/>
          <w:szCs w:val="32"/>
        </w:rPr>
        <w:t>%。决算数大于预算数的主要原因是在职人员工资变动，故职工基本医疗金额与年初预算不一致。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公务员医疗补助</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66.88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116.31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173.91</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在职人员工资变动，且补缴上年公务员医疗补助费，故职工公务员医疗金额与年初预算不一致。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7.城乡社区支出（类）城乡社区规划与管理（款）城乡社区规划与管理（项）。年初预算为0万元，支出决算为30万元，完成年初预算的100%。决算数大于预算数的主要原因是年中追加应急管理专项规划编制费。</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8.城乡社区支出（类）城乡社区公共设施（款）其他城乡社区公共设施支出（项）。年初预算为0万元，支出决算为174.59万元，完成年初预算的100%。决算数大于预算数的主要原因是年中追加智慧城市专项支出。</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9.农林水支出（类）水利（款）  防汛（项）。年初预算为48.16万元，支出决算为35.46万元，完成年初预算的73.63%。决算数小于预算数的主要原因因汛期险情少出动防洪船的次数减少，所以购买防洪船用油减少。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10.商业服务业等支出（类）商业流通事务（款）行政运行（项）。年初预算为0万元，支出决算为19.28万元，完成年初预算的100%。决算数大于预算数的主要原因为年中追加人员经费。</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11.住房保障支出（类）住房改革支出（款）住房公积金（项）。年初预算为125.40万元，支出决算为141.97万元，完成年初预算的113.21%。决算数大于预算数的主要原因是在职人员工资变动，故住房公积金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12.住房保障支出（类）住房改革支出（款）购房补贴（项）。年初预算为0万元，支出决算为0.73万元，完成年初预算的100%。决算数大于预算数的主要原因是在职人员追加购房补贴，故购房补贴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13.灾害防治及应急管理支出（类）应急管理事务（款）行政运行（项）。年初预算为310.9万元，支出决算为349.56万元，完成年初预算的112.43%。决算数大于预算数的主要原因是在职人员工资变动，故职工基本基本工资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14.灾害防治及应急管理支出（类）应急管理事务（款）一般行政管理事务（项）。年初预算为2万元，支出决算为1.87万元，完成年初预算的93.5%。决算数小于预算数的主要原因是购买办公设备经费未使用完毕，故一般行政管理事务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15.灾害防治及应急管理支出（类）应急管理事务（款）安全监管（项）。年初预算为636.46万元，支出决算为680.28万元，完成年初预算的106.88%。决算数大于预算数的主要原因是年中追加应急管理普法宣传、安全生产专项等经费。</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16.灾害防治及应急管理支出（类）应急管理事务（款）应急管理（项）。年初预算为80万元，支出决算为75.86万元，完成年初预算的94.83%。决算数小于预算数的主要原因是柳州市应急指挥中心专项工作经费、购买办公设备经费等未使用完毕，故应急管理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17.灾害防治及应急管理支出（类）应急管理事务（款）事业运行（项）。年初预算为44.42万元，支出决算为59.88万元，完成年初预算的100%。决算数大于预算数的主要原因是2020年在职人员工资调整，故事业运行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18.</w:t>
      </w:r>
      <w:r>
        <w:rPr>
          <w:rFonts w:hint="eastAsia" w:ascii="仿宋_GB2312" w:eastAsia="仿宋_GB2312" w:cs="仿宋_GB2312"/>
          <w:bCs/>
          <w:kern w:val="0"/>
          <w:sz w:val="32"/>
          <w:szCs w:val="32"/>
          <w:lang w:eastAsia="zh-CN"/>
        </w:rPr>
        <w:t>灾害防治及应急管理支出（类）应急管理事务（款）其他应急管理支出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45.66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60.78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133.11</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追加聘用人员经费，故其他应急管理支出金额与年初预算不一致。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19.</w:t>
      </w:r>
      <w:r>
        <w:rPr>
          <w:rFonts w:hint="eastAsia" w:ascii="仿宋_GB2312" w:eastAsia="仿宋_GB2312" w:cs="仿宋_GB2312"/>
          <w:bCs/>
          <w:kern w:val="0"/>
          <w:sz w:val="32"/>
          <w:szCs w:val="32"/>
          <w:lang w:eastAsia="zh-CN"/>
        </w:rPr>
        <w:t>灾害防治及应急管理支出（类）</w:t>
      </w:r>
      <w:r>
        <w:rPr>
          <w:rFonts w:hint="eastAsia" w:ascii="仿宋_GB2312" w:eastAsia="仿宋_GB2312" w:cs="仿宋_GB2312"/>
          <w:bCs/>
          <w:kern w:val="0"/>
          <w:sz w:val="32"/>
          <w:szCs w:val="32"/>
          <w:lang w:val="en-US" w:eastAsia="zh-CN"/>
        </w:rPr>
        <w:t>森林消防</w:t>
      </w:r>
      <w:r>
        <w:rPr>
          <w:rFonts w:hint="eastAsia" w:ascii="仿宋_GB2312" w:eastAsia="仿宋_GB2312" w:cs="仿宋_GB2312"/>
          <w:bCs/>
          <w:kern w:val="0"/>
          <w:sz w:val="32"/>
          <w:szCs w:val="32"/>
          <w:lang w:eastAsia="zh-CN"/>
        </w:rPr>
        <w:t>事务（款）森林消防应急救援</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35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34.77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99.34</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森林防火物质储备库建设经费未使用完毕，故森林消防应急救援金额与年初预算不一致。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lang w:eastAsia="zh-CN"/>
        </w:rPr>
        <w:t>灾害防治及应急管理支出（类）</w:t>
      </w:r>
      <w:r>
        <w:rPr>
          <w:rFonts w:hint="eastAsia" w:ascii="仿宋_GB2312" w:eastAsia="仿宋_GB2312" w:cs="仿宋_GB2312"/>
          <w:bCs/>
          <w:kern w:val="0"/>
          <w:sz w:val="32"/>
          <w:szCs w:val="32"/>
          <w:lang w:val="en-US" w:eastAsia="zh-CN"/>
        </w:rPr>
        <w:t>森林消防</w:t>
      </w:r>
      <w:r>
        <w:rPr>
          <w:rFonts w:hint="eastAsia" w:ascii="仿宋_GB2312" w:eastAsia="仿宋_GB2312" w:cs="仿宋_GB2312"/>
          <w:bCs/>
          <w:kern w:val="0"/>
          <w:sz w:val="32"/>
          <w:szCs w:val="32"/>
          <w:lang w:eastAsia="zh-CN"/>
        </w:rPr>
        <w:t>事务（款）其他森林消防事务支出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21.</w:t>
      </w:r>
      <w:r>
        <w:rPr>
          <w:rFonts w:hint="default" w:ascii="仿宋_GB2312" w:eastAsia="仿宋_GB2312" w:cs="仿宋_GB2312"/>
          <w:bCs/>
          <w:kern w:val="0"/>
          <w:sz w:val="32"/>
          <w:szCs w:val="32"/>
          <w:lang w:val="en-US" w:eastAsia="zh-CN"/>
        </w:rPr>
        <w:t>灾害防治及应急管理支出</w:t>
      </w:r>
      <w:r>
        <w:rPr>
          <w:rFonts w:hint="eastAsia" w:ascii="仿宋_GB2312" w:eastAsia="仿宋_GB2312" w:cs="仿宋_GB2312"/>
          <w:bCs/>
          <w:kern w:val="0"/>
          <w:sz w:val="32"/>
          <w:szCs w:val="32"/>
          <w:lang w:val="en-US" w:eastAsia="zh-CN"/>
        </w:rPr>
        <w:t>（类）地震事务（款）行政运行（项）。年初预算为94.42万元，支出决算为94.29万元，完成年初预算的99.86%。决算数小于预算数的主要原因是地震背景场项目经费未使用完毕，故行政运行金额与年初预算不一致。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22.灾害防治及应急管理支出（类）地震事务（款）一般行政管理事务（项）。年初预算为17.70万元，支出决算为12.25万元，完成年初预算的69.21%。决算数小于预算数的主要原因是地震台站看护费未使用完毕，故一般行政管理事务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23.</w:t>
      </w:r>
      <w:r>
        <w:rPr>
          <w:rFonts w:hint="default" w:ascii="仿宋_GB2312" w:eastAsia="仿宋_GB2312" w:cs="仿宋_GB2312"/>
          <w:bCs/>
          <w:kern w:val="0"/>
          <w:sz w:val="32"/>
          <w:szCs w:val="32"/>
          <w:lang w:val="en-US" w:eastAsia="zh-CN"/>
        </w:rPr>
        <w:t>灾害防治及应急管理支出</w:t>
      </w:r>
      <w:r>
        <w:rPr>
          <w:rFonts w:hint="eastAsia" w:ascii="仿宋_GB2312" w:eastAsia="仿宋_GB2312" w:cs="仿宋_GB2312"/>
          <w:bCs/>
          <w:kern w:val="0"/>
          <w:sz w:val="32"/>
          <w:szCs w:val="32"/>
          <w:lang w:val="en-US" w:eastAsia="zh-CN"/>
        </w:rPr>
        <w:t>（类）地震事务（款）地震监测（项）。年初预算为24.73万元，支出决算为24.07万元，完成年初预算的97.33%。决算数小于预算数的主要原因是地震台站需修理次数较少，地震台站维修管理费未使用完毕，故地震监测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24.</w:t>
      </w:r>
      <w:r>
        <w:rPr>
          <w:rFonts w:hint="default" w:ascii="仿宋_GB2312" w:eastAsia="仿宋_GB2312" w:cs="仿宋_GB2312"/>
          <w:bCs/>
          <w:kern w:val="0"/>
          <w:sz w:val="32"/>
          <w:szCs w:val="32"/>
          <w:lang w:val="en-US" w:eastAsia="zh-CN"/>
        </w:rPr>
        <w:t>灾害防治及应急管理支出</w:t>
      </w:r>
      <w:r>
        <w:rPr>
          <w:rFonts w:hint="eastAsia" w:ascii="仿宋_GB2312" w:eastAsia="仿宋_GB2312" w:cs="仿宋_GB2312"/>
          <w:bCs/>
          <w:kern w:val="0"/>
          <w:sz w:val="32"/>
          <w:szCs w:val="32"/>
          <w:lang w:val="en-US" w:eastAsia="zh-CN"/>
        </w:rPr>
        <w:t>（类）地震事务（款）地震灾害预防（项）。年初预算为23.16万元，支出决算为15.63万元，完成年初预算的67.49%。决算数小于预算数的主要原因是2020年无需支付地震台站数据光纤费，故地震灾害预防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25.灾害防治及应急管理支出（类）地震事务（款）地震应急救援（项）。年初预算为2万元，支出决算为2万元，完成年初预算的100%。</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26.</w:t>
      </w:r>
      <w:r>
        <w:rPr>
          <w:rFonts w:hint="default" w:ascii="仿宋_GB2312" w:eastAsia="仿宋_GB2312" w:cs="仿宋_GB2312"/>
          <w:bCs/>
          <w:kern w:val="0"/>
          <w:sz w:val="32"/>
          <w:szCs w:val="32"/>
          <w:lang w:val="en-US" w:eastAsia="zh-CN"/>
        </w:rPr>
        <w:t>灾害防治及应急管理支出</w:t>
      </w:r>
      <w:r>
        <w:rPr>
          <w:rFonts w:hint="eastAsia" w:ascii="仿宋_GB2312" w:eastAsia="仿宋_GB2312" w:cs="仿宋_GB2312"/>
          <w:bCs/>
          <w:kern w:val="0"/>
          <w:sz w:val="32"/>
          <w:szCs w:val="32"/>
          <w:lang w:val="en-US" w:eastAsia="zh-CN"/>
        </w:rPr>
        <w:t>（类）地震事务（款）地震环境探察（项）。年初预算为3.02万元，支出决算为3.02万元，完成年初预算的100%。</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27.灾害防治及应急管理支出（类）地震事务（款）防震减灾信息管理（项）。年初预算为26.74万元，支出决算为29.84万元，完成年初预算的111.59%。决算数大于预算数的主要原因是申请结转上年应急指挥中心项目经费，故防震减灾信息管理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28.灾害防治及应急管理支出（类）地震事务（款）防震减灾基础管理（项）。年初预算为7.75万元，支出决算为6.42万元，完成年初预算的82.84%。决算数小于预算数的主要原因是应急指挥中心运行维护费未使用完毕，故防震减灾信息基础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29.灾害防治及应急管理支出（类）地震事务（款）其他地震事务支出（项）。年初预算为39.05万元，支出决算为35.37万元，完成年初预算的90.58%。决算数小于预算数的主要原因是聘用人员经费未使用完毕，故其他地震事务支出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30.灾害防治及应急管理支出（类）自然灾害救灾及恢复重建支出（款）地方自然灾害生活补助（项）。年初预算为0万元，支出决算为1.47万元，完成年初预算的100%。决算数大于预算数的主要原因是申请结转上年救灾工作项目经费，故地方自然灾害生活补助金额与年初预算不一致。</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default" w:ascii="仿宋_GB2312" w:eastAsia="仿宋_GB2312" w:cs="仿宋_GB2312"/>
          <w:bCs/>
          <w:kern w:val="0"/>
          <w:sz w:val="32"/>
          <w:szCs w:val="32"/>
          <w:lang w:val="en-US" w:eastAsia="zh-CN"/>
        </w:rPr>
        <w:t>3</w:t>
      </w:r>
      <w:r>
        <w:rPr>
          <w:rFonts w:hint="eastAsia" w:ascii="仿宋_GB2312" w:eastAsia="仿宋_GB2312" w:cs="仿宋_GB2312"/>
          <w:bCs/>
          <w:kern w:val="0"/>
          <w:sz w:val="32"/>
          <w:szCs w:val="32"/>
          <w:lang w:val="en-US" w:eastAsia="zh-CN"/>
        </w:rPr>
        <w:t>1</w:t>
      </w:r>
      <w:r>
        <w:rPr>
          <w:rFonts w:hint="default" w:ascii="仿宋_GB2312" w:eastAsia="仿宋_GB2312" w:cs="仿宋_GB2312"/>
          <w:bCs/>
          <w:kern w:val="0"/>
          <w:sz w:val="32"/>
          <w:szCs w:val="32"/>
          <w:lang w:val="en-US" w:eastAsia="zh-CN"/>
        </w:rPr>
        <w:t>.灾害防治及应急管理支出（类）自然灾害救灾及恢复重建支出（款）其他自然灾害救灾及恢复重建支出（项）。年初预算为0万元，支出决算为</w:t>
      </w:r>
      <w:r>
        <w:rPr>
          <w:rFonts w:hint="eastAsia" w:ascii="仿宋_GB2312" w:eastAsia="仿宋_GB2312" w:cs="仿宋_GB2312"/>
          <w:bCs/>
          <w:kern w:val="0"/>
          <w:sz w:val="32"/>
          <w:szCs w:val="32"/>
          <w:lang w:val="en-US" w:eastAsia="zh-CN"/>
        </w:rPr>
        <w:t>425.32</w:t>
      </w:r>
      <w:r>
        <w:rPr>
          <w:rFonts w:hint="default" w:ascii="仿宋_GB2312" w:eastAsia="仿宋_GB2312" w:cs="仿宋_GB2312"/>
          <w:bCs/>
          <w:kern w:val="0"/>
          <w:sz w:val="32"/>
          <w:szCs w:val="32"/>
          <w:lang w:val="en-US" w:eastAsia="zh-CN"/>
        </w:rPr>
        <w:t>万元，完成年初预算的100%。决算数大于预算数的主要原因是</w:t>
      </w:r>
      <w:r>
        <w:rPr>
          <w:rFonts w:hint="eastAsia" w:ascii="仿宋_GB2312" w:eastAsia="仿宋_GB2312" w:cs="仿宋_GB2312"/>
          <w:bCs/>
          <w:kern w:val="0"/>
          <w:sz w:val="32"/>
          <w:szCs w:val="32"/>
          <w:lang w:val="en-US" w:eastAsia="zh-CN"/>
        </w:rPr>
        <w:t>新增自然灾害救灾</w:t>
      </w:r>
      <w:r>
        <w:rPr>
          <w:rFonts w:hint="default" w:ascii="仿宋_GB2312" w:eastAsia="仿宋_GB2312" w:cs="仿宋_GB2312"/>
          <w:bCs/>
          <w:kern w:val="0"/>
          <w:sz w:val="32"/>
          <w:szCs w:val="32"/>
          <w:lang w:val="en-US" w:eastAsia="zh-CN"/>
        </w:rPr>
        <w:t>项目经费，故其他自然灾害救灾及恢复重建支出金额与年初预算不一致。</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32.灾害防治及应急管理支出（类）其他灾害防治及应急管理支出（款）其他灾害防治及应急管理支出（项）。年初预算为410万元，支出决算为533.51万元，完成年初预算的130.12%。决算数大于预算数的主要原因是追加北部三县农房保险经费，故其他灾害防治及应急管理支出金额与年初预算不一致。</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2195.29</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1972.29</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223</w:t>
      </w:r>
      <w:r>
        <w:rPr>
          <w:rFonts w:hint="eastAsia" w:ascii="仿宋_GB2312" w:eastAsia="仿宋_GB2312" w:cs="仿宋_GB2312"/>
          <w:bCs/>
          <w:kern w:val="0"/>
          <w:sz w:val="32"/>
          <w:szCs w:val="32"/>
        </w:rPr>
        <w:t>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7.02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7.23</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102.99</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3.84</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96</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3.39</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112.25</w:t>
      </w:r>
      <w:r>
        <w:rPr>
          <w:rFonts w:hint="eastAsia" w:ascii="仿宋_GB2312" w:eastAsia="仿宋_GB2312" w:cs="仿宋_GB2312"/>
          <w:bCs/>
          <w:kern w:val="0"/>
          <w:sz w:val="32"/>
          <w:szCs w:val="32"/>
        </w:rPr>
        <w:t>%。2020年度“三公”经费支出决算数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外单位来我部门考察学习次数增加。</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5.73</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44.21</w:t>
      </w:r>
      <w:r>
        <w:rPr>
          <w:rFonts w:hint="eastAsia" w:ascii="仿宋_GB2312" w:eastAsia="仿宋_GB2312" w:cs="仿宋_GB2312"/>
          <w:bCs/>
          <w:kern w:val="0"/>
          <w:sz w:val="32"/>
          <w:szCs w:val="32"/>
        </w:rPr>
        <w:t>%，其中：因公出国（境）费支出决 算减少</w:t>
      </w: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0.49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14.63</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0.78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29.89</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w:t>
      </w:r>
      <w:r>
        <w:rPr>
          <w:rFonts w:hint="eastAsia" w:ascii="仿宋_GB2312" w:eastAsia="仿宋_GB2312" w:cs="仿宋_GB2312"/>
          <w:bCs/>
          <w:kern w:val="0"/>
          <w:sz w:val="32"/>
          <w:szCs w:val="32"/>
          <w:lang w:val="en-US" w:eastAsia="zh-CN"/>
        </w:rPr>
        <w:t>2020年未有因公出国事务，故未发生因公出国费用</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公车使用年限较长，维修次数增加</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的主要原因是2020年有较多外市单位来我部门考察交流。</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 支出决算</w:t>
      </w:r>
      <w:r>
        <w:rPr>
          <w:rFonts w:hint="eastAsia" w:ascii="仿宋_GB2312" w:eastAsia="仿宋_GB2312" w:cs="仿宋_GB2312"/>
          <w:bCs/>
          <w:kern w:val="0"/>
          <w:sz w:val="32"/>
          <w:szCs w:val="32"/>
          <w:lang w:val="en-US" w:eastAsia="zh-CN"/>
        </w:rPr>
        <w:t>3.84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53.11</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3.39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46.89</w:t>
      </w:r>
      <w:r>
        <w:rPr>
          <w:rFonts w:hint="eastAsia" w:ascii="仿宋_GB2312" w:eastAsia="仿宋_GB2312" w:cs="仿宋_GB2312"/>
          <w:bCs/>
          <w:kern w:val="0"/>
          <w:sz w:val="32"/>
          <w:szCs w:val="32"/>
        </w:rPr>
        <w:t xml:space="preserve">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3.84</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3.84</w:t>
      </w:r>
      <w:r>
        <w:rPr>
          <w:rFonts w:hint="eastAsia" w:ascii="仿宋_GB2312" w:eastAsia="仿宋_GB2312" w:cs="仿宋_GB2312"/>
          <w:bCs/>
          <w:kern w:val="0"/>
          <w:sz w:val="32"/>
          <w:szCs w:val="32"/>
        </w:rPr>
        <w:t>万元。主要用于公车维修</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加油</w:t>
      </w:r>
      <w:r>
        <w:rPr>
          <w:rFonts w:hint="eastAsia" w:ascii="仿宋_GB2312" w:eastAsia="仿宋_GB2312" w:cs="仿宋_GB2312"/>
          <w:bCs/>
          <w:kern w:val="0"/>
          <w:sz w:val="32"/>
          <w:szCs w:val="32"/>
          <w:lang w:eastAsia="zh-CN"/>
        </w:rPr>
        <w:t>、保险</w:t>
      </w:r>
      <w:r>
        <w:rPr>
          <w:rFonts w:hint="eastAsia" w:ascii="仿宋_GB2312" w:eastAsia="仿宋_GB2312" w:cs="仿宋_GB2312"/>
          <w:bCs/>
          <w:kern w:val="0"/>
          <w:sz w:val="32"/>
          <w:szCs w:val="32"/>
        </w:rPr>
        <w:t>等支出。2020年，机关所属单位开支财政拨款的公务用车保有量为</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3.39</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3.39</w:t>
      </w:r>
      <w:r>
        <w:rPr>
          <w:rFonts w:hint="eastAsia" w:ascii="仿宋_GB2312" w:eastAsia="仿宋_GB2312" w:cs="仿宋_GB2312"/>
          <w:bCs/>
          <w:kern w:val="0"/>
          <w:sz w:val="32"/>
          <w:szCs w:val="32"/>
        </w:rPr>
        <w:t>万元。主要用于接待外市单位来我单位考察交流。2020 年共接待国内来访团组</w:t>
      </w:r>
      <w:r>
        <w:rPr>
          <w:rFonts w:hint="eastAsia" w:ascii="仿宋_GB2312" w:eastAsia="仿宋_GB2312" w:cs="仿宋_GB2312"/>
          <w:bCs/>
          <w:kern w:val="0"/>
          <w:sz w:val="32"/>
          <w:szCs w:val="32"/>
          <w:lang w:val="en-US" w:eastAsia="zh-CN"/>
        </w:rPr>
        <w:t>30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129</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 2019 年相比，收、支总计各增加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2020年度国有资本经营预算财政拨款本年支出万元，为0支出。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根据财政预算管理要求，我部门组织对2020年度一般公共预算项目支出全面开展绩效自评。其中，一级项目</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522.9</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我部门根据年初设定的绩效目标，北部三县农房火灾统一保险项目自评得分为</w:t>
      </w:r>
      <w:r>
        <w:rPr>
          <w:rFonts w:hint="eastAsia" w:ascii="仿宋_GB2312" w:eastAsia="仿宋_GB2312" w:cs="仿宋_GB2312"/>
          <w:kern w:val="0"/>
          <w:sz w:val="32"/>
          <w:szCs w:val="32"/>
          <w:lang w:val="en-US" w:eastAsia="zh-CN"/>
        </w:rPr>
        <w:t>95.43</w:t>
      </w:r>
      <w:r>
        <w:rPr>
          <w:rFonts w:hint="eastAsia" w:ascii="仿宋_GB2312" w:eastAsia="仿宋_GB2312" w:cs="仿宋_GB2312"/>
          <w:kern w:val="0"/>
          <w:sz w:val="32"/>
          <w:szCs w:val="32"/>
        </w:rPr>
        <w:t>分。发现的主要问题及原因：一是受损农房理赔；二是按时支付保费。下一步改进措施：一是</w:t>
      </w:r>
      <w:r>
        <w:rPr>
          <w:rFonts w:hint="eastAsia" w:ascii="仿宋_GB2312" w:eastAsia="仿宋_GB2312" w:cs="仿宋_GB2312"/>
          <w:kern w:val="0"/>
          <w:sz w:val="32"/>
          <w:szCs w:val="32"/>
          <w:lang w:eastAsia="zh-CN"/>
        </w:rPr>
        <w:t>变更预算金额，尽早招标</w:t>
      </w:r>
      <w:r>
        <w:rPr>
          <w:rFonts w:hint="eastAsia" w:ascii="仿宋_GB2312" w:eastAsia="仿宋_GB2312" w:cs="仿宋_GB2312"/>
          <w:kern w:val="0"/>
          <w:sz w:val="32"/>
          <w:szCs w:val="32"/>
        </w:rPr>
        <w:t>。北部三县农房火灾统一保险项目自评得分为</w:t>
      </w:r>
      <w:r>
        <w:rPr>
          <w:rFonts w:hint="eastAsia" w:ascii="仿宋_GB2312" w:eastAsia="仿宋_GB2312" w:cs="仿宋_GB2312"/>
          <w:kern w:val="0"/>
          <w:sz w:val="32"/>
          <w:szCs w:val="32"/>
          <w:lang w:val="en-US" w:eastAsia="zh-CN"/>
        </w:rPr>
        <w:t>95.43</w:t>
      </w:r>
      <w:r>
        <w:rPr>
          <w:rFonts w:hint="eastAsia" w:ascii="仿宋_GB2312" w:eastAsia="仿宋_GB2312" w:cs="仿宋_GB2312"/>
          <w:kern w:val="0"/>
          <w:sz w:val="32"/>
          <w:szCs w:val="32"/>
        </w:rPr>
        <w:t>分。发现的主要问题及原因：一是因合同于12月29日签订，承保公司正加紧理赔；二是因原保费较低，导致2次采购流标，经追加预算，第三次招标完成。。下一步改进措施：一是变更预算金额，尽早招标。</w:t>
      </w:r>
      <w:bookmarkStart w:id="0" w:name="_GoBack"/>
      <w:bookmarkEnd w:id="0"/>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219.70</w:t>
      </w:r>
      <w:r>
        <w:rPr>
          <w:rFonts w:hint="eastAsia" w:ascii="仿宋_GB2312" w:eastAsia="仿宋_GB2312" w:cs="仿宋_GB2312"/>
          <w:kern w:val="0"/>
          <w:sz w:val="32"/>
          <w:szCs w:val="32"/>
        </w:rPr>
        <w:t>万元，比 2019年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0.41</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下降</w:t>
      </w:r>
      <w:r>
        <w:rPr>
          <w:rFonts w:hint="eastAsia" w:ascii="仿宋_GB2312" w:eastAsia="仿宋_GB2312" w:cs="仿宋_GB2312"/>
          <w:kern w:val="0"/>
          <w:sz w:val="32"/>
          <w:szCs w:val="32"/>
          <w:lang w:val="en-US" w:eastAsia="zh-CN"/>
        </w:rPr>
        <w:t>0.19</w:t>
      </w:r>
      <w:r>
        <w:rPr>
          <w:rFonts w:hint="eastAsia" w:ascii="仿宋_GB2312" w:eastAsia="仿宋_GB2312" w:cs="仿宋_GB2312"/>
          <w:kern w:val="0"/>
          <w:sz w:val="32"/>
          <w:szCs w:val="32"/>
        </w:rPr>
        <w:t xml:space="preserve"> %，减</w:t>
      </w:r>
      <w:r>
        <w:rPr>
          <w:rFonts w:hint="eastAsia" w:ascii="仿宋_GB2312" w:eastAsia="仿宋_GB2312" w:cs="仿宋_GB2312"/>
          <w:kern w:val="0"/>
          <w:sz w:val="32"/>
          <w:szCs w:val="32"/>
          <w:lang w:eastAsia="zh-CN"/>
        </w:rPr>
        <w:t>少</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为日常办公经费减少</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637.83</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20.23</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617.6</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应急保障</w:t>
      </w:r>
      <w:r>
        <w:rPr>
          <w:rFonts w:hint="eastAsia" w:ascii="仿宋_GB2312" w:eastAsia="仿宋_GB2312" w:cs="仿宋_GB2312"/>
          <w:kern w:val="0"/>
          <w:sz w:val="32"/>
          <w:szCs w:val="32"/>
        </w:rPr>
        <w:t>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 xml:space="preserve"> 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r>
        <w:rPr>
          <w:rFonts w:hint="eastAsia" w:ascii="仿宋_GB2312" w:eastAsia="仿宋_GB2312"/>
          <w:bCs/>
          <w:sz w:val="32"/>
          <w:szCs w:val="32"/>
          <w:lang w:eastAsia="zh-CN"/>
        </w:rPr>
        <w:t>。</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165ED1"/>
    <w:rsid w:val="006C1367"/>
    <w:rsid w:val="00715385"/>
    <w:rsid w:val="00F66C5B"/>
    <w:rsid w:val="03D976CC"/>
    <w:rsid w:val="059E384F"/>
    <w:rsid w:val="05EB37A1"/>
    <w:rsid w:val="080F1CB7"/>
    <w:rsid w:val="0B513D35"/>
    <w:rsid w:val="0E074DDF"/>
    <w:rsid w:val="124204B5"/>
    <w:rsid w:val="147D54CE"/>
    <w:rsid w:val="153941A5"/>
    <w:rsid w:val="182962AB"/>
    <w:rsid w:val="19317836"/>
    <w:rsid w:val="19D073EB"/>
    <w:rsid w:val="1CC31F67"/>
    <w:rsid w:val="1FB95920"/>
    <w:rsid w:val="245437E8"/>
    <w:rsid w:val="24D337DC"/>
    <w:rsid w:val="25AB7133"/>
    <w:rsid w:val="26460DBA"/>
    <w:rsid w:val="2A2A4782"/>
    <w:rsid w:val="2B6F74EB"/>
    <w:rsid w:val="2C4219FE"/>
    <w:rsid w:val="30346F8F"/>
    <w:rsid w:val="315665B2"/>
    <w:rsid w:val="32CA2271"/>
    <w:rsid w:val="34020F86"/>
    <w:rsid w:val="34F92952"/>
    <w:rsid w:val="35795D94"/>
    <w:rsid w:val="39A63F06"/>
    <w:rsid w:val="3AAC065D"/>
    <w:rsid w:val="3B3B76E4"/>
    <w:rsid w:val="3ED1439F"/>
    <w:rsid w:val="3ED81372"/>
    <w:rsid w:val="47231D11"/>
    <w:rsid w:val="48374EDC"/>
    <w:rsid w:val="49434BC5"/>
    <w:rsid w:val="4C256E3D"/>
    <w:rsid w:val="4CB52F0F"/>
    <w:rsid w:val="532F1F9A"/>
    <w:rsid w:val="5606513A"/>
    <w:rsid w:val="56DB1548"/>
    <w:rsid w:val="575B50D7"/>
    <w:rsid w:val="5E995A3E"/>
    <w:rsid w:val="62163194"/>
    <w:rsid w:val="624D024D"/>
    <w:rsid w:val="63091840"/>
    <w:rsid w:val="650E086A"/>
    <w:rsid w:val="6BAA0708"/>
    <w:rsid w:val="6DBE37CA"/>
    <w:rsid w:val="70065946"/>
    <w:rsid w:val="70C44AF9"/>
    <w:rsid w:val="748D55C6"/>
    <w:rsid w:val="7A6B57BA"/>
    <w:rsid w:val="7AD81EB2"/>
    <w:rsid w:val="7B950FAD"/>
    <w:rsid w:val="7DB27194"/>
    <w:rsid w:val="7EA33599"/>
    <w:rsid w:val="7EB95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批注框文本 Char"/>
    <w:basedOn w:val="7"/>
    <w:link w:val="2"/>
    <w:qFormat/>
    <w:uiPriority w:val="0"/>
    <w:rPr>
      <w:kern w:val="2"/>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TotalTime>
  <ScaleCrop>false</ScaleCrop>
  <LinksUpToDate>false</LinksUpToDate>
  <CharactersWithSpaces>8540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YX</cp:lastModifiedBy>
  <cp:lastPrinted>2021-07-07T01:10:00Z</cp:lastPrinted>
  <dcterms:modified xsi:type="dcterms:W3CDTF">2021-07-28T07:36:09Z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C7A71718889D4866B6CDE6676B22F7AF</vt:lpwstr>
  </property>
</Properties>
</file>