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kern w:val="0"/>
          <w:sz w:val="32"/>
          <w:szCs w:val="32"/>
        </w:rPr>
      </w:pPr>
    </w:p>
    <w:p>
      <w:pPr>
        <w:rPr>
          <w:rFonts w:hint="default" w:ascii="Times New Roman" w:hAnsi="Times New Roman" w:eastAsia="黑体" w:cs="Times New Roman"/>
          <w:kern w:val="0"/>
          <w:sz w:val="72"/>
          <w:szCs w:val="72"/>
        </w:rPr>
      </w:pPr>
    </w:p>
    <w:p>
      <w:pPr>
        <w:rPr>
          <w:rFonts w:hint="default" w:ascii="Times New Roman" w:hAnsi="Times New Roman" w:eastAsia="黑体" w:cs="Times New Roman"/>
          <w:kern w:val="0"/>
          <w:sz w:val="72"/>
          <w:szCs w:val="72"/>
        </w:rPr>
      </w:pPr>
    </w:p>
    <w:p>
      <w:pPr>
        <w:jc w:val="center"/>
        <w:rPr>
          <w:rFonts w:hint="default" w:ascii="Times New Roman" w:hAnsi="Times New Roman" w:eastAsia="黑体" w:cs="Times New Roman"/>
          <w:bCs/>
          <w:color w:val="000000"/>
          <w:sz w:val="52"/>
          <w:szCs w:val="52"/>
          <w:u w:val="none"/>
          <w:lang w:eastAsia="zh-CN"/>
        </w:rPr>
      </w:pPr>
      <w:r>
        <w:rPr>
          <w:rFonts w:hint="default" w:ascii="Times New Roman" w:hAnsi="Times New Roman" w:eastAsia="黑体" w:cs="Times New Roman"/>
          <w:kern w:val="0"/>
          <w:sz w:val="52"/>
          <w:szCs w:val="52"/>
          <w:lang w:eastAsia="zh-CN"/>
        </w:rPr>
        <w:t>柳州市</w:t>
      </w:r>
      <w:r>
        <w:rPr>
          <w:rFonts w:hint="default" w:ascii="Times New Roman" w:hAnsi="Times New Roman" w:eastAsia="黑体" w:cs="Times New Roman"/>
          <w:bCs/>
          <w:color w:val="000000"/>
          <w:sz w:val="52"/>
          <w:szCs w:val="52"/>
          <w:u w:val="none"/>
          <w:lang w:eastAsia="zh-CN"/>
        </w:rPr>
        <w:t>行政审批局</w:t>
      </w:r>
    </w:p>
    <w:p>
      <w:pPr>
        <w:jc w:val="center"/>
        <w:rPr>
          <w:rFonts w:hint="default" w:ascii="Times New Roman" w:hAnsi="Times New Roman" w:eastAsia="黑体" w:cs="Times New Roman"/>
          <w:kern w:val="0"/>
          <w:sz w:val="52"/>
          <w:szCs w:val="52"/>
        </w:rPr>
      </w:pPr>
      <w:r>
        <w:rPr>
          <w:rFonts w:hint="default" w:ascii="Times New Roman" w:hAnsi="Times New Roman" w:eastAsia="黑体" w:cs="Times New Roman"/>
          <w:kern w:val="0"/>
          <w:sz w:val="52"/>
          <w:szCs w:val="52"/>
          <w:lang w:val="en-US" w:eastAsia="zh-CN"/>
        </w:rPr>
        <w:t>2019</w:t>
      </w:r>
      <w:r>
        <w:rPr>
          <w:rFonts w:hint="default" w:ascii="Times New Roman" w:hAnsi="Times New Roman" w:eastAsia="黑体" w:cs="Times New Roman"/>
          <w:kern w:val="0"/>
          <w:sz w:val="52"/>
          <w:szCs w:val="52"/>
        </w:rPr>
        <w:t>年</w:t>
      </w:r>
      <w:r>
        <w:rPr>
          <w:rFonts w:hint="default" w:ascii="Times New Roman" w:hAnsi="Times New Roman" w:eastAsia="黑体" w:cs="Times New Roman"/>
          <w:kern w:val="0"/>
          <w:sz w:val="52"/>
          <w:szCs w:val="52"/>
          <w:lang w:eastAsia="zh-CN"/>
        </w:rPr>
        <w:t>度</w:t>
      </w:r>
      <w:r>
        <w:rPr>
          <w:rFonts w:hint="default" w:ascii="Times New Roman" w:hAnsi="Times New Roman" w:eastAsia="黑体" w:cs="Times New Roman"/>
          <w:kern w:val="0"/>
          <w:sz w:val="52"/>
          <w:szCs w:val="52"/>
        </w:rPr>
        <w:t>部门决算</w:t>
      </w:r>
    </w:p>
    <w:p>
      <w:pPr>
        <w:rPr>
          <w:rFonts w:hint="default" w:ascii="Times New Roman" w:hAnsi="Times New Roman" w:eastAsia="ArialUnicodeMS" w:cs="Times New Roman"/>
          <w:kern w:val="0"/>
          <w:sz w:val="84"/>
          <w:szCs w:val="84"/>
        </w:rPr>
      </w:pPr>
    </w:p>
    <w:p>
      <w:pPr>
        <w:rPr>
          <w:rFonts w:hint="default" w:ascii="Times New Roman" w:hAnsi="Times New Roman" w:eastAsia="ArialUnicodeMS" w:cs="Times New Roman"/>
          <w:kern w:val="0"/>
          <w:sz w:val="84"/>
          <w:szCs w:val="84"/>
          <w:lang w:eastAsia="zh-CN"/>
        </w:rPr>
      </w:pPr>
      <w:bookmarkStart w:id="0" w:name="_GoBack"/>
      <w:bookmarkEnd w:id="0"/>
    </w:p>
    <w:p>
      <w:pPr>
        <w:rPr>
          <w:rFonts w:hint="default" w:ascii="Times New Roman" w:hAnsi="Times New Roman" w:eastAsia="ArialUnicodeMS" w:cs="Times New Roman"/>
          <w:kern w:val="0"/>
          <w:sz w:val="84"/>
          <w:szCs w:val="84"/>
          <w:lang w:eastAsia="zh-CN"/>
        </w:rPr>
      </w:pPr>
    </w:p>
    <w:p>
      <w:pPr>
        <w:rPr>
          <w:rFonts w:hint="default" w:ascii="Times New Roman" w:hAnsi="Times New Roman" w:eastAsia="ArialUnicodeMS" w:cs="Times New Roman"/>
          <w:kern w:val="0"/>
          <w:sz w:val="84"/>
          <w:szCs w:val="84"/>
          <w:lang w:eastAsia="zh-CN"/>
        </w:rPr>
      </w:pPr>
    </w:p>
    <w:p>
      <w:pPr>
        <w:rPr>
          <w:rFonts w:hint="default" w:ascii="Times New Roman" w:hAnsi="Times New Roman" w:eastAsia="ArialUnicodeMS" w:cs="Times New Roman"/>
          <w:kern w:val="0"/>
          <w:sz w:val="84"/>
          <w:szCs w:val="84"/>
        </w:rPr>
      </w:pPr>
    </w:p>
    <w:p>
      <w:pPr>
        <w:rPr>
          <w:rFonts w:hint="default" w:ascii="Times New Roman" w:hAnsi="Times New Roman" w:eastAsia="ArialUnicodeMS" w:cs="Times New Roman"/>
          <w:kern w:val="0"/>
          <w:sz w:val="84"/>
          <w:szCs w:val="84"/>
        </w:rPr>
      </w:pPr>
    </w:p>
    <w:p>
      <w:pPr>
        <w:rPr>
          <w:rFonts w:hint="default" w:ascii="Times New Roman" w:hAnsi="Times New Roman" w:eastAsia="ArialUnicodeMS" w:cs="Times New Roman"/>
          <w:kern w:val="0"/>
          <w:sz w:val="84"/>
          <w:szCs w:val="84"/>
        </w:rPr>
      </w:pPr>
    </w:p>
    <w:p>
      <w:pPr>
        <w:jc w:val="center"/>
        <w:rPr>
          <w:rFonts w:hint="default" w:ascii="Times New Roman" w:hAnsi="Times New Roman" w:eastAsia="黑体" w:cs="Times New Roman"/>
          <w:kern w:val="0"/>
          <w:sz w:val="44"/>
          <w:szCs w:val="44"/>
        </w:rPr>
      </w:pPr>
    </w:p>
    <w:p>
      <w:pPr>
        <w:ind w:firstLine="646"/>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目    录</w:t>
      </w:r>
    </w:p>
    <w:p>
      <w:pPr>
        <w:ind w:firstLine="645"/>
        <w:rPr>
          <w:rFonts w:hint="default" w:ascii="Times New Roman" w:hAnsi="Times New Roman" w:eastAsia="仿宋_GB2312" w:cs="Times New Roman"/>
          <w:b/>
          <w:sz w:val="32"/>
          <w:szCs w:val="32"/>
        </w:rPr>
      </w:pPr>
    </w:p>
    <w:p>
      <w:pPr>
        <w:ind w:firstLine="645"/>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第一部分：</w:t>
      </w:r>
      <w:r>
        <w:rPr>
          <w:rFonts w:hint="default" w:ascii="Times New Roman" w:hAnsi="Times New Roman" w:eastAsia="仿宋_GB2312" w:cs="Times New Roman"/>
          <w:b/>
          <w:bCs/>
          <w:color w:val="000000"/>
          <w:sz w:val="32"/>
          <w:szCs w:val="32"/>
          <w:u w:val="none"/>
          <w:lang w:eastAsia="zh-CN"/>
        </w:rPr>
        <w:t>柳州市行政审批局</w:t>
      </w:r>
      <w:r>
        <w:rPr>
          <w:rFonts w:hint="default" w:ascii="Times New Roman" w:hAnsi="Times New Roman" w:eastAsia="仿宋_GB2312" w:cs="Times New Roman"/>
          <w:b/>
          <w:sz w:val="32"/>
          <w:szCs w:val="32"/>
        </w:rPr>
        <w:t>概况</w:t>
      </w:r>
    </w:p>
    <w:p>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一、主要职能</w:t>
      </w:r>
    </w:p>
    <w:p>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二、部门决算单位构成</w:t>
      </w:r>
    </w:p>
    <w:p>
      <w:pPr>
        <w:ind w:firstLine="645"/>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第二部分：</w:t>
      </w:r>
      <w:r>
        <w:rPr>
          <w:rFonts w:hint="default" w:ascii="Times New Roman" w:hAnsi="Times New Roman" w:eastAsia="仿宋_GB2312" w:cs="Times New Roman"/>
          <w:b/>
          <w:bCs/>
          <w:color w:val="000000"/>
          <w:sz w:val="32"/>
          <w:szCs w:val="32"/>
          <w:u w:val="none"/>
          <w:lang w:eastAsia="zh-CN"/>
        </w:rPr>
        <w:t>柳州市行政审批局</w:t>
      </w:r>
      <w:r>
        <w:rPr>
          <w:rFonts w:hint="default" w:ascii="Times New Roman" w:hAnsi="Times New Roman" w:eastAsia="仿宋_GB2312" w:cs="Times New Roman"/>
          <w:b/>
          <w:sz w:val="32"/>
          <w:szCs w:val="32"/>
          <w:lang w:eastAsia="zh-CN"/>
        </w:rPr>
        <w:t>201</w:t>
      </w:r>
      <w:r>
        <w:rPr>
          <w:rFonts w:hint="default" w:ascii="Times New Roman" w:hAnsi="Times New Roman" w:eastAsia="仿宋_GB2312" w:cs="Times New Roman"/>
          <w:b/>
          <w:sz w:val="32"/>
          <w:szCs w:val="32"/>
          <w:lang w:val="en-US" w:eastAsia="zh-CN"/>
        </w:rPr>
        <w:t>9</w:t>
      </w:r>
      <w:r>
        <w:rPr>
          <w:rFonts w:hint="default" w:ascii="Times New Roman" w:hAnsi="Times New Roman" w:eastAsia="仿宋_GB2312" w:cs="Times New Roman"/>
          <w:b/>
          <w:sz w:val="32"/>
          <w:szCs w:val="32"/>
        </w:rPr>
        <w:t>年部门决算报表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表一：收入支出决算总表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表二：收入决算表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表三：支出决算表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表四：财政拨款收入支出决算总表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表五：一般公共预算财政拨款支出决算表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表六：一般公共预算财政拨款基本支出决算表</w:t>
      </w:r>
    </w:p>
    <w:p>
      <w:pPr>
        <w:ind w:left="645"/>
        <w:rPr>
          <w:rFonts w:hint="default" w:ascii="Times New Roman" w:hAnsi="Times New Roman" w:eastAsia="仿宋_GB2312" w:cs="Times New Roman"/>
          <w:w w:val="90"/>
          <w:sz w:val="32"/>
          <w:szCs w:val="32"/>
        </w:rPr>
      </w:pPr>
      <w:r>
        <w:rPr>
          <w:rFonts w:hint="default" w:ascii="Times New Roman" w:hAnsi="Times New Roman" w:eastAsia="仿宋_GB2312" w:cs="Times New Roman"/>
          <w:sz w:val="32"/>
          <w:szCs w:val="32"/>
        </w:rPr>
        <w:t>表七：</w:t>
      </w:r>
      <w:r>
        <w:rPr>
          <w:rFonts w:hint="default" w:ascii="Times New Roman" w:hAnsi="Times New Roman" w:eastAsia="仿宋_GB2312" w:cs="Times New Roman"/>
          <w:w w:val="90"/>
          <w:sz w:val="32"/>
          <w:szCs w:val="32"/>
        </w:rPr>
        <w:t>一般公共预算财政拨款安排的“三公”经费支出决算表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表八：政府性基金预算财政拨款收入支出决算表</w:t>
      </w:r>
    </w:p>
    <w:p>
      <w:pPr>
        <w:ind w:firstLine="645"/>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第三部分：</w:t>
      </w:r>
      <w:r>
        <w:rPr>
          <w:rFonts w:hint="default" w:ascii="Times New Roman" w:hAnsi="Times New Roman" w:eastAsia="仿宋_GB2312" w:cs="Times New Roman"/>
          <w:b/>
          <w:bCs/>
          <w:color w:val="000000"/>
          <w:sz w:val="32"/>
          <w:szCs w:val="32"/>
          <w:u w:val="none"/>
          <w:lang w:eastAsia="zh-CN"/>
        </w:rPr>
        <w:t>柳州市行政审批局</w:t>
      </w:r>
      <w:r>
        <w:rPr>
          <w:rFonts w:hint="default" w:ascii="Times New Roman" w:hAnsi="Times New Roman" w:eastAsia="仿宋_GB2312" w:cs="Times New Roman"/>
          <w:b/>
          <w:sz w:val="32"/>
          <w:szCs w:val="32"/>
          <w:lang w:eastAsia="zh-CN"/>
        </w:rPr>
        <w:t>201</w:t>
      </w:r>
      <w:r>
        <w:rPr>
          <w:rFonts w:hint="default" w:ascii="Times New Roman" w:hAnsi="Times New Roman" w:eastAsia="仿宋_GB2312" w:cs="Times New Roman"/>
          <w:b/>
          <w:sz w:val="32"/>
          <w:szCs w:val="32"/>
          <w:lang w:val="en-US" w:eastAsia="zh-CN"/>
        </w:rPr>
        <w:t>9</w:t>
      </w:r>
      <w:r>
        <w:rPr>
          <w:rFonts w:hint="default" w:ascii="Times New Roman" w:hAnsi="Times New Roman" w:eastAsia="仿宋_GB2312" w:cs="Times New Roman"/>
          <w:b/>
          <w:sz w:val="32"/>
          <w:szCs w:val="32"/>
        </w:rPr>
        <w:t>年度部门决算情况说明</w:t>
      </w:r>
    </w:p>
    <w:p>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kern w:val="0"/>
          <w:sz w:val="32"/>
          <w:szCs w:val="32"/>
          <w:lang w:eastAsia="zh-CN"/>
        </w:rPr>
        <w:t>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年度收入支出决算总体情况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w:t>
      </w:r>
      <w:r>
        <w:rPr>
          <w:rFonts w:hint="default" w:ascii="Times New Roman" w:hAnsi="Times New Roman" w:eastAsia="仿宋_GB2312" w:cs="Times New Roman"/>
          <w:kern w:val="0"/>
          <w:sz w:val="32"/>
          <w:szCs w:val="32"/>
          <w:lang w:eastAsia="zh-CN"/>
        </w:rPr>
        <w:t>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kern w:val="0"/>
          <w:sz w:val="32"/>
          <w:szCs w:val="32"/>
          <w:lang w:val="en-US" w:eastAsia="zh-CN"/>
        </w:rPr>
        <w:t>收入</w:t>
      </w:r>
      <w:r>
        <w:rPr>
          <w:rFonts w:hint="default" w:ascii="Times New Roman" w:hAnsi="Times New Roman" w:eastAsia="仿宋_GB2312" w:cs="Times New Roman"/>
          <w:kern w:val="0"/>
          <w:sz w:val="32"/>
          <w:szCs w:val="32"/>
        </w:rPr>
        <w:t>决算情况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kern w:val="0"/>
          <w:sz w:val="32"/>
          <w:szCs w:val="32"/>
          <w:lang w:eastAsia="zh-CN"/>
        </w:rPr>
        <w:t>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kern w:val="0"/>
          <w:sz w:val="32"/>
          <w:szCs w:val="32"/>
          <w:lang w:val="en-US" w:eastAsia="zh-CN"/>
        </w:rPr>
        <w:t>支出</w:t>
      </w:r>
      <w:r>
        <w:rPr>
          <w:rFonts w:hint="default" w:ascii="Times New Roman" w:hAnsi="Times New Roman" w:eastAsia="仿宋_GB2312" w:cs="Times New Roman"/>
          <w:kern w:val="0"/>
          <w:sz w:val="32"/>
          <w:szCs w:val="32"/>
        </w:rPr>
        <w:t>决算情况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四、201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kern w:val="0"/>
          <w:sz w:val="32"/>
          <w:szCs w:val="32"/>
          <w:lang w:eastAsia="zh-CN"/>
        </w:rPr>
        <w:t>财政拨款收入支出决算情况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五、201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kern w:val="0"/>
          <w:sz w:val="32"/>
          <w:szCs w:val="32"/>
          <w:lang w:eastAsia="zh-CN"/>
        </w:rPr>
        <w:t>一般公共预算财政拨款支出决算情况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六、201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kern w:val="0"/>
          <w:sz w:val="32"/>
          <w:szCs w:val="32"/>
          <w:lang w:eastAsia="zh-CN"/>
        </w:rPr>
        <w:t>一般公共预算财政拨款基本支出决算情况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七、201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kern w:val="0"/>
          <w:sz w:val="32"/>
          <w:szCs w:val="32"/>
          <w:lang w:eastAsia="zh-CN"/>
        </w:rPr>
        <w:t>一般公共预算财政拨款“三公”经费支出决算情况</w:t>
      </w:r>
    </w:p>
    <w:p>
      <w:pPr>
        <w:autoSpaceDE w:val="0"/>
        <w:autoSpaceDN w:val="0"/>
        <w:adjustRightInd w:val="0"/>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kern w:val="0"/>
          <w:sz w:val="32"/>
          <w:szCs w:val="32"/>
          <w:lang w:eastAsia="zh-CN"/>
        </w:rPr>
        <w:t>八、201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bCs/>
          <w:kern w:val="0"/>
          <w:sz w:val="32"/>
          <w:szCs w:val="32"/>
        </w:rPr>
        <w:t>年度政府性基金预算财政拨款收入支出决算情况</w:t>
      </w:r>
    </w:p>
    <w:p>
      <w:pPr>
        <w:autoSpaceDE w:val="0"/>
        <w:autoSpaceDN w:val="0"/>
        <w:adjustRightInd w:val="0"/>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eastAsia="zh-CN"/>
        </w:rPr>
        <w:t>九、</w:t>
      </w:r>
      <w:r>
        <w:rPr>
          <w:rFonts w:hint="default" w:ascii="Times New Roman" w:hAnsi="Times New Roman" w:eastAsia="仿宋_GB2312" w:cs="Times New Roman"/>
          <w:kern w:val="0"/>
          <w:sz w:val="32"/>
          <w:szCs w:val="32"/>
          <w:lang w:eastAsia="zh-CN"/>
        </w:rPr>
        <w:t>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bCs/>
          <w:kern w:val="0"/>
          <w:sz w:val="32"/>
          <w:szCs w:val="32"/>
        </w:rPr>
        <w:t>年度预算绩效情况说明</w:t>
      </w:r>
    </w:p>
    <w:p>
      <w:pPr>
        <w:autoSpaceDE w:val="0"/>
        <w:autoSpaceDN w:val="0"/>
        <w:adjustRightInd w:val="0"/>
        <w:ind w:firstLine="640" w:firstLineChars="200"/>
        <w:jc w:val="left"/>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Cs/>
          <w:kern w:val="0"/>
          <w:sz w:val="32"/>
          <w:szCs w:val="32"/>
          <w:lang w:eastAsia="zh-CN"/>
        </w:rPr>
        <w:t>十、</w:t>
      </w:r>
      <w:r>
        <w:rPr>
          <w:rFonts w:hint="default" w:ascii="Times New Roman" w:hAnsi="Times New Roman" w:eastAsia="仿宋_GB2312" w:cs="Times New Roman"/>
          <w:bCs/>
          <w:kern w:val="0"/>
          <w:sz w:val="32"/>
          <w:szCs w:val="32"/>
        </w:rPr>
        <w:t>其他重要事项的情况说明</w:t>
      </w:r>
    </w:p>
    <w:p>
      <w:pPr>
        <w:ind w:firstLine="645"/>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eastAsia="zh-CN"/>
        </w:rPr>
        <w:t>四</w:t>
      </w:r>
      <w:r>
        <w:rPr>
          <w:rFonts w:hint="default" w:ascii="Times New Roman" w:hAnsi="Times New Roman" w:eastAsia="仿宋_GB2312" w:cs="Times New Roman"/>
          <w:b/>
          <w:sz w:val="32"/>
          <w:szCs w:val="32"/>
        </w:rPr>
        <w:t>部分：</w:t>
      </w:r>
      <w:r>
        <w:rPr>
          <w:rFonts w:hint="default" w:ascii="Times New Roman" w:hAnsi="Times New Roman" w:eastAsia="仿宋_GB2312" w:cs="Times New Roman"/>
          <w:b/>
          <w:sz w:val="32"/>
          <w:szCs w:val="32"/>
          <w:lang w:eastAsia="zh-CN"/>
        </w:rPr>
        <w:t>名词解释</w:t>
      </w:r>
    </w:p>
    <w:p>
      <w:pPr>
        <w:ind w:firstLine="646"/>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val="0"/>
          <w:bCs/>
          <w:kern w:val="0"/>
          <w:sz w:val="32"/>
          <w:szCs w:val="32"/>
        </w:rPr>
        <w:br w:type="page"/>
      </w:r>
      <w:r>
        <w:rPr>
          <w:rFonts w:hint="default" w:ascii="Times New Roman" w:hAnsi="Times New Roman" w:eastAsia="仿宋_GB2312" w:cs="Times New Roman"/>
          <w:b/>
          <w:sz w:val="32"/>
          <w:szCs w:val="32"/>
        </w:rPr>
        <w:t>第一部分：</w:t>
      </w:r>
      <w:r>
        <w:rPr>
          <w:rFonts w:hint="default" w:ascii="Times New Roman" w:hAnsi="Times New Roman" w:eastAsia="仿宋_GB2312" w:cs="Times New Roman"/>
          <w:b/>
          <w:bCs/>
          <w:color w:val="000000"/>
          <w:sz w:val="32"/>
          <w:szCs w:val="32"/>
          <w:u w:val="none"/>
          <w:lang w:eastAsia="zh-CN"/>
        </w:rPr>
        <w:t>柳州市行政审批局</w:t>
      </w:r>
      <w:r>
        <w:rPr>
          <w:rFonts w:hint="default" w:ascii="Times New Roman" w:hAnsi="Times New Roman" w:eastAsia="仿宋_GB2312" w:cs="Times New Roman"/>
          <w:b/>
          <w:sz w:val="32"/>
          <w:szCs w:val="32"/>
        </w:rPr>
        <w:t>概况</w:t>
      </w:r>
    </w:p>
    <w:p>
      <w:pPr>
        <w:ind w:firstLine="646"/>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一、主要职能</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贯彻执行国家、自治区和柳州市有关行政管理体制、行政审批制度改革等方面的法律法规、方针政策，拟订行政审批各项规章制度和管理办法，并组织实施。负责规范全市行政审批和政务服务行为，建立和完善相应工作机制。负责对行政审批、政务服务事项进行流程再造、环节优化、压缩时限，并对办理情况进行跟踪督办，协调解决进入政务服务中心事项办理中出现的相关问题。承办市直部门、事业单位划入的涉及投资建设、市场服务、食药卫健、安全质量、基建项目、市政公用、环保城管、交通运输、社会事务、涉农事务等方面的行政审批事项和相关勘验工作，并承担相应的法律责任。负责实施行政审批相关的行政事业性收费。负责统筹推进全市行政审批制度改革。负责协调推进行政许可事项的清理、规范、管理等工作，规范行政审批行为，推进审批服务便民化。负责市本级行政权力运行流程工作的协调、推进、指导和监督。负责审核并督促落实取消下放审批事项的事中事后监管措施。建立和完善全市政务服务体系。负责全市政务服务平台的建设和管理。负责进驻政务服务中心的市直部门、双重管理部门及中区直驻柳部门设置的窗口行政审批、政务服务工作的规范、管理和监督。负责对市政务服务中心各分中心的运行进行指导和监督。负责对实施行政审批涉及的中介服务行为进行监督。贯彻执行国家、自治区有关政务公开、政府信息公开相关法律法规和方针政策。参与起草全市政务公开、政府信息公开政策规定。推进、指导、协调、监督全市政务公开、政府信息公开工作。贯彻执行国家、自治区有关公共资源交易相关法律法规和方针政策。组织拟订柳州市公共资源交易监管相关规章制度和管理办法。组织拟订公共资源交易规则和操作规程。牵头整合建立统一规范的公共资源交易平台。协调、监督全市公共资源交易工作。会同有关部门建设和管理全市统一的公共资源交易综合评标、评审专家库，推进公共资源交易信用体系建设。负责全市行政审批、政务服务、公共资源交易体系信息化建设。负责对进入市政务服务平台、公共资源交易平台的行政审批、公共资源交易活动及其他政务服务等事项的投诉举报的承办、转办和督办工作，配合有关部门查处违法、违规、违纪问题。完成市委、市政府交办的其他任务。与各行政主管部门的职责分工：行政审批职责划转后，由市行政审批局统一负责市级职责范围内的行政审批事项的依法受理、审查、审批及决定送达，并承担相应的法律责任。原承担行政审批的行政主管部门不再承担审批的具体事务，主要工作职能转变为拟订并实施行业发展规划、行政审批标准以及监管标准，推动行业发展，加强行业事中事后监管，提高公共服务有效供给等。国务院、自治区明确下放（调整）的行政审批事项由市行政审批局承接。取消的行政审批事项后续监管工作由各行政主管部门负责。</w:t>
      </w:r>
    </w:p>
    <w:p>
      <w:pPr>
        <w:ind w:firstLine="646"/>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二、部门决算单位构成</w:t>
      </w:r>
    </w:p>
    <w:p>
      <w:pPr>
        <w:ind w:firstLine="64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主管部门：柳州市行政审批局</w:t>
      </w:r>
    </w:p>
    <w:p>
      <w:pPr>
        <w:ind w:firstLine="64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二层单位：柳州市行政审批服务中心</w:t>
      </w:r>
    </w:p>
    <w:p>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柳州市公共资源交易服务中心</w:t>
      </w:r>
    </w:p>
    <w:p>
      <w:pPr>
        <w:ind w:firstLine="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第二部分：</w:t>
      </w:r>
      <w:r>
        <w:rPr>
          <w:rFonts w:hint="default" w:ascii="Times New Roman" w:hAnsi="Times New Roman" w:eastAsia="仿宋_GB2312" w:cs="Times New Roman"/>
          <w:b/>
          <w:bCs/>
          <w:color w:val="000000"/>
          <w:sz w:val="32"/>
          <w:szCs w:val="32"/>
          <w:u w:val="none"/>
          <w:lang w:eastAsia="zh-CN"/>
        </w:rPr>
        <w:t>柳州市行政审批局</w:t>
      </w:r>
      <w:r>
        <w:rPr>
          <w:rFonts w:hint="default" w:ascii="Times New Roman" w:hAnsi="Times New Roman" w:eastAsia="仿宋_GB2312" w:cs="Times New Roman"/>
          <w:b/>
          <w:sz w:val="32"/>
          <w:szCs w:val="32"/>
          <w:u w:val="none"/>
          <w:lang w:eastAsia="zh-CN"/>
        </w:rPr>
        <w:t>2</w:t>
      </w:r>
      <w:r>
        <w:rPr>
          <w:rFonts w:hint="default" w:ascii="Times New Roman" w:hAnsi="Times New Roman" w:eastAsia="仿宋_GB2312" w:cs="Times New Roman"/>
          <w:b/>
          <w:sz w:val="32"/>
          <w:szCs w:val="32"/>
          <w:lang w:eastAsia="zh-CN"/>
        </w:rPr>
        <w:t>01</w:t>
      </w:r>
      <w:r>
        <w:rPr>
          <w:rFonts w:hint="default" w:ascii="Times New Roman" w:hAnsi="Times New Roman" w:eastAsia="仿宋_GB2312" w:cs="Times New Roman"/>
          <w:b/>
          <w:sz w:val="32"/>
          <w:szCs w:val="32"/>
          <w:lang w:val="en-US" w:eastAsia="zh-CN"/>
        </w:rPr>
        <w:t>9</w:t>
      </w:r>
      <w:r>
        <w:rPr>
          <w:rFonts w:hint="default" w:ascii="Times New Roman" w:hAnsi="Times New Roman" w:eastAsia="仿宋_GB2312" w:cs="Times New Roman"/>
          <w:b/>
          <w:sz w:val="32"/>
          <w:szCs w:val="32"/>
        </w:rPr>
        <w:t>年部门决算报表</w:t>
      </w:r>
    </w:p>
    <w:p>
      <w:pPr>
        <w:rPr>
          <w:rFonts w:hint="default" w:ascii="Times New Roman" w:hAnsi="Times New Roman" w:cs="Times New Roman"/>
        </w:rPr>
      </w:pPr>
      <w:r>
        <w:rPr>
          <w:rFonts w:hint="default" w:ascii="Times New Roman" w:hAnsi="Times New Roman" w:eastAsia="仿宋_GB2312" w:cs="Times New Roman"/>
          <w:sz w:val="32"/>
          <w:szCs w:val="32"/>
          <w:lang w:val="en-US" w:eastAsia="zh-CN"/>
        </w:rPr>
        <w:t xml:space="preserve">    </w:t>
      </w:r>
    </w:p>
    <w:tbl>
      <w:tblPr>
        <w:tblStyle w:val="5"/>
        <w:tblW w:w="8720" w:type="dxa"/>
        <w:jc w:val="center"/>
        <w:tblLayout w:type="fixed"/>
        <w:tblCellMar>
          <w:top w:w="0" w:type="dxa"/>
          <w:left w:w="108" w:type="dxa"/>
          <w:bottom w:w="0" w:type="dxa"/>
          <w:right w:w="108" w:type="dxa"/>
        </w:tblCellMar>
      </w:tblPr>
      <w:tblGrid>
        <w:gridCol w:w="2895"/>
        <w:gridCol w:w="1085"/>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表一：收入支出决算总表</w:t>
            </w:r>
          </w:p>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0"/>
                <w:szCs w:val="20"/>
              </w:rPr>
              <w:t>单位：万元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b/>
                <w:bCs/>
                <w:color w:val="000000"/>
                <w:kern w:val="0"/>
                <w:sz w:val="20"/>
                <w:szCs w:val="20"/>
              </w:rPr>
            </w:pPr>
            <w:r>
              <w:rPr>
                <w:rFonts w:hint="eastAsia" w:ascii="宋体" w:hAnsi="宋体" w:cs="宋体"/>
                <w:b/>
                <w:bCs/>
                <w:color w:val="000000"/>
                <w:kern w:val="0"/>
                <w:sz w:val="20"/>
                <w:szCs w:val="20"/>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决算数</w:t>
            </w:r>
          </w:p>
        </w:tc>
      </w:tr>
      <w:tr>
        <w:tblPrEx>
          <w:tblCellMar>
            <w:top w:w="0" w:type="dxa"/>
            <w:left w:w="108" w:type="dxa"/>
            <w:bottom w:w="0" w:type="dxa"/>
            <w:right w:w="108" w:type="dxa"/>
          </w:tblCellMar>
        </w:tblPrEx>
        <w:trPr>
          <w:trHeight w:val="9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一、</w:t>
            </w:r>
            <w:r>
              <w:rPr>
                <w:rFonts w:hint="eastAsia" w:ascii="宋体" w:hAnsi="宋体" w:cs="宋体"/>
                <w:color w:val="000000"/>
                <w:kern w:val="0"/>
                <w:sz w:val="20"/>
                <w:szCs w:val="20"/>
                <w:lang w:eastAsia="zh-CN"/>
              </w:rPr>
              <w:t>一般公共预算财政拨款收入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5340.67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一、一般公共服务支出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4662.39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二、</w:t>
            </w:r>
            <w:r>
              <w:rPr>
                <w:rFonts w:hint="eastAsia" w:ascii="宋体" w:hAnsi="宋体" w:cs="宋体"/>
                <w:color w:val="000000"/>
                <w:kern w:val="0"/>
                <w:sz w:val="20"/>
                <w:szCs w:val="20"/>
                <w:lang w:eastAsia="zh-CN"/>
              </w:rPr>
              <w:t>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二、外交支出</w:t>
            </w:r>
          </w:p>
        </w:tc>
        <w:tc>
          <w:tcPr>
            <w:tcW w:w="1617" w:type="dxa"/>
            <w:gridSpan w:val="2"/>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lang w:eastAsia="zh-CN"/>
              </w:rPr>
              <w:t>三</w:t>
            </w:r>
            <w:r>
              <w:rPr>
                <w:rFonts w:hint="eastAsia" w:ascii="宋体" w:hAnsi="宋体" w:cs="宋体"/>
                <w:color w:val="000000"/>
                <w:kern w:val="0"/>
                <w:sz w:val="20"/>
                <w:szCs w:val="20"/>
              </w:rPr>
              <w:t>、</w:t>
            </w:r>
            <w:r>
              <w:rPr>
                <w:rFonts w:hint="eastAsia" w:ascii="宋体" w:hAnsi="宋体" w:cs="宋体"/>
                <w:color w:val="000000"/>
                <w:kern w:val="0"/>
                <w:sz w:val="20"/>
                <w:szCs w:val="20"/>
                <w:lang w:eastAsia="zh-CN"/>
              </w:rPr>
              <w:t>上级补助</w:t>
            </w:r>
            <w:r>
              <w:rPr>
                <w:rFonts w:hint="eastAsia" w:ascii="宋体" w:hAnsi="宋体" w:cs="宋体"/>
                <w:color w:val="000000"/>
                <w:kern w:val="0"/>
                <w:sz w:val="20"/>
                <w:szCs w:val="20"/>
              </w:rPr>
              <w:t>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三、教育支出</w:t>
            </w:r>
          </w:p>
        </w:tc>
        <w:tc>
          <w:tcPr>
            <w:tcW w:w="1617" w:type="dxa"/>
            <w:gridSpan w:val="2"/>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lang w:eastAsia="zh-CN"/>
              </w:rPr>
              <w:t>四</w:t>
            </w:r>
            <w:r>
              <w:rPr>
                <w:rFonts w:hint="eastAsia" w:ascii="宋体" w:hAnsi="宋体" w:cs="宋体"/>
                <w:color w:val="000000"/>
                <w:kern w:val="0"/>
                <w:sz w:val="20"/>
                <w:szCs w:val="20"/>
              </w:rPr>
              <w:t>、</w:t>
            </w:r>
            <w:r>
              <w:rPr>
                <w:rFonts w:hint="eastAsia" w:ascii="宋体" w:hAnsi="宋体" w:cs="宋体"/>
                <w:color w:val="000000"/>
                <w:kern w:val="0"/>
                <w:sz w:val="20"/>
                <w:szCs w:val="20"/>
                <w:lang w:eastAsia="zh-CN"/>
              </w:rPr>
              <w:t>事业</w:t>
            </w:r>
            <w:r>
              <w:rPr>
                <w:rFonts w:hint="eastAsia" w:ascii="宋体" w:hAnsi="宋体" w:cs="宋体"/>
                <w:color w:val="000000"/>
                <w:kern w:val="0"/>
                <w:sz w:val="20"/>
                <w:szCs w:val="20"/>
              </w:rPr>
              <w:t>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四、科学技术支出</w:t>
            </w:r>
          </w:p>
        </w:tc>
        <w:tc>
          <w:tcPr>
            <w:tcW w:w="1617" w:type="dxa"/>
            <w:gridSpan w:val="2"/>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lang w:eastAsia="zh-CN"/>
              </w:rPr>
              <w:t>五</w:t>
            </w:r>
            <w:r>
              <w:rPr>
                <w:rFonts w:hint="eastAsia" w:ascii="宋体" w:hAnsi="宋体" w:cs="宋体"/>
                <w:color w:val="000000"/>
                <w:kern w:val="0"/>
                <w:sz w:val="20"/>
                <w:szCs w:val="20"/>
              </w:rPr>
              <w:t>、</w:t>
            </w:r>
            <w:r>
              <w:rPr>
                <w:rFonts w:hint="eastAsia" w:ascii="宋体" w:hAnsi="宋体" w:cs="宋体"/>
                <w:color w:val="000000"/>
                <w:kern w:val="0"/>
                <w:sz w:val="20"/>
                <w:szCs w:val="20"/>
                <w:lang w:eastAsia="zh-CN"/>
              </w:rPr>
              <w:t>经营</w:t>
            </w:r>
            <w:r>
              <w:rPr>
                <w:rFonts w:hint="eastAsia" w:ascii="宋体" w:hAnsi="宋体" w:cs="宋体"/>
                <w:color w:val="000000"/>
                <w:kern w:val="0"/>
                <w:sz w:val="20"/>
                <w:szCs w:val="20"/>
              </w:rPr>
              <w:t>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五、文化</w:t>
            </w:r>
            <w:r>
              <w:rPr>
                <w:rFonts w:hint="eastAsia" w:ascii="宋体" w:hAnsi="宋体" w:cs="宋体"/>
                <w:color w:val="000000"/>
                <w:kern w:val="0"/>
                <w:sz w:val="20"/>
                <w:szCs w:val="20"/>
                <w:lang w:eastAsia="zh-CN"/>
              </w:rPr>
              <w:t>旅游体育</w:t>
            </w:r>
            <w:r>
              <w:rPr>
                <w:rFonts w:hint="eastAsia" w:ascii="宋体" w:hAnsi="宋体" w:cs="宋体"/>
                <w:color w:val="000000"/>
                <w:kern w:val="0"/>
                <w:sz w:val="20"/>
                <w:szCs w:val="20"/>
              </w:rPr>
              <w:t>与传媒支出</w:t>
            </w:r>
          </w:p>
        </w:tc>
        <w:tc>
          <w:tcPr>
            <w:tcW w:w="1617" w:type="dxa"/>
            <w:gridSpan w:val="2"/>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六、科学技术支出</w:t>
            </w:r>
          </w:p>
        </w:tc>
        <w:tc>
          <w:tcPr>
            <w:tcW w:w="1617" w:type="dxa"/>
            <w:gridSpan w:val="2"/>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lang w:eastAsia="zh-CN"/>
              </w:rPr>
              <w:t>七</w:t>
            </w:r>
            <w:r>
              <w:rPr>
                <w:rFonts w:hint="eastAsia" w:ascii="宋体" w:hAnsi="宋体" w:cs="宋体"/>
                <w:color w:val="000000"/>
                <w:kern w:val="0"/>
                <w:sz w:val="20"/>
                <w:szCs w:val="20"/>
              </w:rPr>
              <w:t>、其他收入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0.06 </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七、文化旅游体育与传媒支出</w:t>
            </w:r>
          </w:p>
        </w:tc>
        <w:tc>
          <w:tcPr>
            <w:tcW w:w="1617" w:type="dxa"/>
            <w:gridSpan w:val="2"/>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86"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八、社会保障和就业支出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271.66 </w:t>
            </w:r>
          </w:p>
        </w:tc>
      </w:tr>
      <w:tr>
        <w:tblPrEx>
          <w:tblCellMar>
            <w:top w:w="0" w:type="dxa"/>
            <w:left w:w="108" w:type="dxa"/>
            <w:bottom w:w="0" w:type="dxa"/>
            <w:right w:w="108" w:type="dxa"/>
          </w:tblCellMar>
        </w:tblPrEx>
        <w:trPr>
          <w:trHeight w:val="248"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108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31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九、卫生健康支出</w:t>
            </w:r>
          </w:p>
        </w:tc>
        <w:tc>
          <w:tcPr>
            <w:tcW w:w="161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172.32 </w:t>
            </w:r>
          </w:p>
        </w:tc>
      </w:tr>
      <w:tr>
        <w:tblPrEx>
          <w:tblCellMar>
            <w:top w:w="0" w:type="dxa"/>
            <w:left w:w="108" w:type="dxa"/>
            <w:bottom w:w="0" w:type="dxa"/>
            <w:right w:w="108" w:type="dxa"/>
          </w:tblCellMar>
        </w:tblPrEx>
        <w:trPr>
          <w:trHeight w:val="353"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108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31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十、节能环保支出</w:t>
            </w:r>
          </w:p>
        </w:tc>
        <w:tc>
          <w:tcPr>
            <w:tcW w:w="161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08"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108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31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十一、城乡社区支出</w:t>
            </w:r>
          </w:p>
        </w:tc>
        <w:tc>
          <w:tcPr>
            <w:tcW w:w="161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278"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108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31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十二、农林水支出</w:t>
            </w:r>
          </w:p>
        </w:tc>
        <w:tc>
          <w:tcPr>
            <w:tcW w:w="161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53"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108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31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十三、交通运输支出</w:t>
            </w:r>
          </w:p>
        </w:tc>
        <w:tc>
          <w:tcPr>
            <w:tcW w:w="161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278"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108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31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十四、资源勘探信息等支出</w:t>
            </w:r>
          </w:p>
        </w:tc>
        <w:tc>
          <w:tcPr>
            <w:tcW w:w="161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169.14 </w:t>
            </w:r>
          </w:p>
        </w:tc>
      </w:tr>
      <w:tr>
        <w:tblPrEx>
          <w:tblCellMar>
            <w:top w:w="0" w:type="dxa"/>
            <w:left w:w="108" w:type="dxa"/>
            <w:bottom w:w="0" w:type="dxa"/>
            <w:right w:w="108" w:type="dxa"/>
          </w:tblCellMar>
        </w:tblPrEx>
        <w:trPr>
          <w:trHeight w:val="278"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108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31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十五、商业服务业等支出</w:t>
            </w:r>
          </w:p>
        </w:tc>
        <w:tc>
          <w:tcPr>
            <w:tcW w:w="161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08"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108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31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十六、金融支出</w:t>
            </w:r>
          </w:p>
        </w:tc>
        <w:tc>
          <w:tcPr>
            <w:tcW w:w="161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83"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108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31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十七、援助其他地区支出</w:t>
            </w:r>
          </w:p>
        </w:tc>
        <w:tc>
          <w:tcPr>
            <w:tcW w:w="161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38"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108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31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161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53"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108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31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十九、住房保障支出</w:t>
            </w:r>
          </w:p>
        </w:tc>
        <w:tc>
          <w:tcPr>
            <w:tcW w:w="161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199.06 </w:t>
            </w:r>
          </w:p>
        </w:tc>
      </w:tr>
      <w:tr>
        <w:tblPrEx>
          <w:tblCellMar>
            <w:top w:w="0" w:type="dxa"/>
            <w:left w:w="108" w:type="dxa"/>
            <w:bottom w:w="0" w:type="dxa"/>
            <w:right w:w="108" w:type="dxa"/>
          </w:tblCellMar>
        </w:tblPrEx>
        <w:trPr>
          <w:trHeight w:val="323"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108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31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二十、粮油物资储备支出</w:t>
            </w:r>
          </w:p>
        </w:tc>
        <w:tc>
          <w:tcPr>
            <w:tcW w:w="161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53"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108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31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161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263"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108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31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二十二、其他支出</w:t>
            </w:r>
          </w:p>
        </w:tc>
        <w:tc>
          <w:tcPr>
            <w:tcW w:w="161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98"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108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c>
          <w:tcPr>
            <w:tcW w:w="31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二十三、债务还本支出</w:t>
            </w:r>
          </w:p>
        </w:tc>
        <w:tc>
          <w:tcPr>
            <w:tcW w:w="161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0"/>
                <w:szCs w:val="20"/>
              </w:rPr>
            </w:pP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0"/>
                <w:szCs w:val="20"/>
              </w:rPr>
            </w:pP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color w:val="000000"/>
                <w:kern w:val="0"/>
                <w:sz w:val="20"/>
                <w:szCs w:val="20"/>
              </w:rPr>
            </w:pPr>
            <w:r>
              <w:rPr>
                <w:rFonts w:hint="eastAsia" w:ascii="宋体" w:hAnsi="宋体" w:eastAsia="宋体" w:cs="宋体"/>
                <w:i w:val="0"/>
                <w:color w:val="000000"/>
                <w:kern w:val="0"/>
                <w:sz w:val="20"/>
                <w:szCs w:val="20"/>
                <w:u w:val="none"/>
                <w:lang w:val="en-US" w:eastAsia="zh-CN" w:bidi="ar"/>
              </w:rPr>
              <w:t>二十四、债务付息支出</w:t>
            </w:r>
          </w:p>
        </w:tc>
        <w:tc>
          <w:tcPr>
            <w:tcW w:w="1617" w:type="dxa"/>
            <w:gridSpan w:val="2"/>
            <w:tcBorders>
              <w:top w:val="nil"/>
              <w:left w:val="nil"/>
              <w:bottom w:val="single" w:color="auto" w:sz="4" w:space="0"/>
              <w:right w:val="single" w:color="auto" w:sz="4" w:space="0"/>
            </w:tcBorders>
            <w:vAlign w:val="center"/>
          </w:tcPr>
          <w:p>
            <w:pPr>
              <w:jc w:val="center"/>
              <w:rPr>
                <w:rFonts w:ascii="宋体" w:hAnsi="宋体" w:cs="宋体"/>
                <w:b/>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本年收入合计</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b/>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5340.73 </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eastAsia="宋体" w:cs="宋体"/>
                <w:b/>
                <w:color w:val="000000"/>
                <w:kern w:val="0"/>
                <w:sz w:val="20"/>
                <w:szCs w:val="20"/>
                <w:lang w:val="en-US" w:eastAsia="zh-CN" w:bidi="ar-SA"/>
              </w:rPr>
            </w:pPr>
            <w:r>
              <w:rPr>
                <w:rFonts w:hint="eastAsia" w:ascii="宋体" w:hAnsi="宋体" w:cs="宋体"/>
                <w:b/>
                <w:color w:val="000000"/>
                <w:kern w:val="0"/>
                <w:sz w:val="20"/>
                <w:szCs w:val="20"/>
              </w:rPr>
              <w:t>本年支出合计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b/>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5474.57 </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用事业基金弥补收支差额</w:t>
            </w:r>
          </w:p>
        </w:tc>
        <w:tc>
          <w:tcPr>
            <w:tcW w:w="1085" w:type="dxa"/>
            <w:tcBorders>
              <w:top w:val="single" w:color="auto" w:sz="4" w:space="0"/>
              <w:left w:val="nil"/>
              <w:bottom w:val="single" w:color="auto" w:sz="4" w:space="0"/>
              <w:right w:val="single" w:color="auto" w:sz="4" w:space="0"/>
            </w:tcBorders>
            <w:vAlign w:val="center"/>
          </w:tcPr>
          <w:p>
            <w:pPr>
              <w:jc w:val="center"/>
              <w:rPr>
                <w:rFonts w:ascii="宋体" w:hAnsi="宋体" w:cs="宋体"/>
                <w:b/>
                <w:color w:val="000000"/>
                <w:kern w:val="0"/>
                <w:sz w:val="20"/>
                <w:szCs w:val="20"/>
              </w:rPr>
            </w:pPr>
          </w:p>
        </w:tc>
        <w:tc>
          <w:tcPr>
            <w:tcW w:w="31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结余分配</w:t>
            </w:r>
          </w:p>
        </w:tc>
        <w:tc>
          <w:tcPr>
            <w:tcW w:w="161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b/>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年</w:t>
            </w:r>
            <w:r>
              <w:rPr>
                <w:rFonts w:hint="eastAsia" w:ascii="宋体" w:hAnsi="宋体" w:cs="宋体"/>
                <w:color w:val="000000"/>
                <w:kern w:val="0"/>
                <w:sz w:val="20"/>
                <w:szCs w:val="20"/>
                <w:lang w:eastAsia="zh-CN"/>
              </w:rPr>
              <w:t>初</w:t>
            </w:r>
            <w:r>
              <w:rPr>
                <w:rFonts w:hint="eastAsia" w:ascii="宋体" w:hAnsi="宋体" w:cs="宋体"/>
                <w:color w:val="000000"/>
                <w:kern w:val="0"/>
                <w:sz w:val="20"/>
                <w:szCs w:val="20"/>
              </w:rPr>
              <w:t>结转</w:t>
            </w:r>
            <w:r>
              <w:rPr>
                <w:rFonts w:hint="eastAsia" w:ascii="宋体" w:hAnsi="宋体" w:cs="宋体"/>
                <w:color w:val="000000"/>
                <w:kern w:val="0"/>
                <w:sz w:val="20"/>
                <w:szCs w:val="20"/>
                <w:lang w:eastAsia="zh-CN"/>
              </w:rPr>
              <w:t>和结余</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b/>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614.85 </w:t>
            </w:r>
          </w:p>
        </w:tc>
        <w:tc>
          <w:tcPr>
            <w:tcW w:w="31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年末结转与结余</w:t>
            </w:r>
          </w:p>
        </w:tc>
        <w:tc>
          <w:tcPr>
            <w:tcW w:w="161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b/>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481.01 </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收入总计</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b/>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5955.58 </w:t>
            </w:r>
          </w:p>
        </w:tc>
        <w:tc>
          <w:tcPr>
            <w:tcW w:w="312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支出总计</w:t>
            </w:r>
          </w:p>
        </w:tc>
        <w:tc>
          <w:tcPr>
            <w:tcW w:w="161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b/>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5955.58 </w:t>
            </w:r>
          </w:p>
        </w:tc>
      </w:tr>
    </w:tbl>
    <w:p>
      <w:pPr>
        <w:rPr>
          <w:rFonts w:hint="eastAsia"/>
          <w:sz w:val="20"/>
          <w:szCs w:val="20"/>
          <w:lang w:eastAsia="zh-CN"/>
        </w:rPr>
      </w:pPr>
    </w:p>
    <w:p>
      <w:pPr>
        <w:rPr>
          <w:rFonts w:hint="eastAsia"/>
          <w:lang w:eastAsia="zh-CN"/>
        </w:rPr>
        <w:sectPr>
          <w:footerReference r:id="rId3" w:type="default"/>
          <w:footerReference r:id="rId4" w:type="even"/>
          <w:pgSz w:w="11906" w:h="16838"/>
          <w:pgMar w:top="1440" w:right="1797" w:bottom="1440" w:left="1377" w:header="851" w:footer="992" w:gutter="0"/>
          <w:pgNumType w:fmt="numberInDash"/>
          <w:cols w:space="720" w:num="1"/>
          <w:docGrid w:type="lines" w:linePitch="312" w:charSpace="0"/>
        </w:sectPr>
      </w:pPr>
      <w:r>
        <w:rPr>
          <w:rFonts w:hint="eastAsia"/>
          <w:sz w:val="20"/>
          <w:szCs w:val="20"/>
          <w:lang w:eastAsia="zh-CN"/>
        </w:rPr>
        <w:t>注：本表反映部门本年度的总收支和年末结转结余情况。</w:t>
      </w:r>
    </w:p>
    <w:p>
      <w:pPr>
        <w:rPr>
          <w:rFonts w:hint="eastAsia"/>
          <w:lang w:eastAsia="zh-CN"/>
        </w:rPr>
      </w:pPr>
    </w:p>
    <w:p>
      <w:pPr>
        <w:jc w:val="center"/>
        <w:rPr>
          <w:rFonts w:hint="eastAsia"/>
        </w:rPr>
      </w:pPr>
      <w:r>
        <w:rPr>
          <w:rFonts w:hint="eastAsia" w:ascii="方正小标宋简体" w:hAnsi="宋体" w:eastAsia="方正小标宋简体" w:cs="宋体"/>
          <w:kern w:val="0"/>
          <w:sz w:val="36"/>
          <w:szCs w:val="36"/>
        </w:rPr>
        <w:t>表二：收入决算表</w:t>
      </w:r>
    </w:p>
    <w:p>
      <w:pPr>
        <w:jc w:val="right"/>
        <w:rPr>
          <w:rFonts w:hint="eastAsia"/>
          <w:sz w:val="22"/>
          <w:szCs w:val="22"/>
        </w:rPr>
      </w:pPr>
      <w:r>
        <w:rPr>
          <w:rFonts w:hint="eastAsia"/>
          <w:sz w:val="20"/>
          <w:szCs w:val="20"/>
        </w:rPr>
        <w:t xml:space="preserve">单位：万元    </w:t>
      </w:r>
      <w:r>
        <w:rPr>
          <w:rFonts w:hint="eastAsia"/>
          <w:sz w:val="22"/>
          <w:szCs w:val="22"/>
        </w:rPr>
        <w:t xml:space="preserve">                 </w:t>
      </w:r>
    </w:p>
    <w:tbl>
      <w:tblPr>
        <w:tblStyle w:val="5"/>
        <w:tblW w:w="14140" w:type="dxa"/>
        <w:jc w:val="center"/>
        <w:tblLayout w:type="fixed"/>
        <w:tblCellMar>
          <w:top w:w="0" w:type="dxa"/>
          <w:left w:w="108" w:type="dxa"/>
          <w:bottom w:w="0" w:type="dxa"/>
          <w:right w:w="108" w:type="dxa"/>
        </w:tblCellMar>
      </w:tblPr>
      <w:tblGrid>
        <w:gridCol w:w="1138"/>
        <w:gridCol w:w="2222"/>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vAlign w:val="top"/>
          </w:tcPr>
          <w:p>
            <w:pPr>
              <w:widowControl/>
              <w:jc w:val="center"/>
              <w:rPr>
                <w:rFonts w:ascii="宋体" w:hAnsi="宋体" w:cs="Arial"/>
                <w:b/>
                <w:bCs/>
                <w:color w:val="000000"/>
                <w:kern w:val="0"/>
                <w:sz w:val="20"/>
                <w:szCs w:val="20"/>
              </w:rPr>
            </w:pPr>
            <w:r>
              <w:rPr>
                <w:rFonts w:hint="eastAsia" w:ascii="宋体" w:hAnsi="宋体" w:cs="Arial"/>
                <w:b/>
                <w:bCs/>
                <w:kern w:val="0"/>
                <w:sz w:val="20"/>
                <w:szCs w:val="20"/>
                <w:lang w:eastAsia="zh-CN"/>
              </w:rPr>
              <w:t>支出功能</w:t>
            </w:r>
            <w:r>
              <w:rPr>
                <w:rFonts w:hint="eastAsia" w:ascii="宋体" w:hAnsi="宋体" w:cs="Arial"/>
                <w:b/>
                <w:bCs/>
                <w:kern w:val="0"/>
                <w:sz w:val="20"/>
                <w:szCs w:val="20"/>
              </w:rPr>
              <w:t>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上级补助收入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kern w:val="0"/>
                <w:sz w:val="20"/>
                <w:szCs w:val="20"/>
              </w:rPr>
              <w:t>事业收入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kern w:val="0"/>
                <w:sz w:val="20"/>
                <w:szCs w:val="20"/>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kern w:val="0"/>
                <w:sz w:val="20"/>
                <w:szCs w:val="20"/>
              </w:rPr>
              <w:t>其他收入</w:t>
            </w:r>
          </w:p>
        </w:tc>
      </w:tr>
      <w:tr>
        <w:tblPrEx>
          <w:tblCellMar>
            <w:top w:w="0" w:type="dxa"/>
            <w:left w:w="108" w:type="dxa"/>
            <w:bottom w:w="0" w:type="dxa"/>
            <w:right w:w="108" w:type="dxa"/>
          </w:tblCellMar>
        </w:tblPrEx>
        <w:trPr>
          <w:trHeight w:val="288" w:hRule="atLeast"/>
          <w:jc w:val="center"/>
        </w:trPr>
        <w:tc>
          <w:tcPr>
            <w:tcW w:w="1138" w:type="dxa"/>
            <w:tcBorders>
              <w:top w:val="nil"/>
              <w:left w:val="single" w:color="auto" w:sz="4" w:space="0"/>
              <w:bottom w:val="single" w:color="auto" w:sz="4" w:space="0"/>
              <w:right w:val="single" w:color="auto" w:sz="4" w:space="0"/>
            </w:tcBorders>
            <w:vAlign w:val="top"/>
          </w:tcPr>
          <w:p>
            <w:pPr>
              <w:widowControl/>
              <w:jc w:val="left"/>
              <w:rPr>
                <w:rFonts w:ascii="宋体" w:hAnsi="宋体" w:cs="Arial"/>
                <w:b/>
                <w:bCs/>
                <w:kern w:val="0"/>
                <w:sz w:val="20"/>
                <w:szCs w:val="20"/>
              </w:rPr>
            </w:pPr>
            <w:r>
              <w:rPr>
                <w:rFonts w:hint="eastAsia" w:ascii="宋体" w:hAnsi="宋体" w:cs="Arial"/>
                <w:b/>
                <w:bCs/>
                <w:kern w:val="0"/>
                <w:sz w:val="20"/>
                <w:szCs w:val="20"/>
                <w:lang w:eastAsia="zh-CN"/>
              </w:rPr>
              <w:t>支出功能分类</w:t>
            </w:r>
            <w:r>
              <w:rPr>
                <w:rFonts w:hint="eastAsia" w:ascii="宋体" w:hAnsi="宋体" w:cs="Arial"/>
                <w:b/>
                <w:bCs/>
                <w:kern w:val="0"/>
                <w:sz w:val="20"/>
                <w:szCs w:val="20"/>
              </w:rPr>
              <w:t>科目编码</w:t>
            </w:r>
          </w:p>
        </w:tc>
        <w:tc>
          <w:tcPr>
            <w:tcW w:w="2222" w:type="dxa"/>
            <w:tcBorders>
              <w:top w:val="nil"/>
              <w:left w:val="nil"/>
              <w:bottom w:val="single" w:color="auto" w:sz="4" w:space="0"/>
              <w:right w:val="single" w:color="auto"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kern w:val="0"/>
                <w:sz w:val="20"/>
                <w:szCs w:val="20"/>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kern w:val="0"/>
                <w:sz w:val="20"/>
                <w:szCs w:val="20"/>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kern w:val="0"/>
                <w:sz w:val="20"/>
                <w:szCs w:val="20"/>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kern w:val="0"/>
                <w:sz w:val="20"/>
                <w:szCs w:val="20"/>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0"/>
                <w:szCs w:val="20"/>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0"/>
                <w:szCs w:val="20"/>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kern w:val="0"/>
                <w:sz w:val="20"/>
                <w:szCs w:val="20"/>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0"/>
                <w:szCs w:val="20"/>
              </w:rPr>
            </w:pPr>
            <w:r>
              <w:rPr>
                <w:rFonts w:hint="eastAsia" w:ascii="宋体" w:hAnsi="宋体" w:cs="Arial"/>
                <w:b/>
                <w:bCs/>
                <w:kern w:val="0"/>
                <w:sz w:val="20"/>
                <w:szCs w:val="20"/>
              </w:rPr>
              <w:t>栏次</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0"/>
                <w:szCs w:val="20"/>
              </w:rPr>
            </w:pPr>
            <w:r>
              <w:rPr>
                <w:rFonts w:hint="eastAsia" w:ascii="宋体" w:hAnsi="宋体" w:cs="Arial"/>
                <w:kern w:val="0"/>
                <w:sz w:val="20"/>
                <w:szCs w:val="20"/>
              </w:rPr>
              <w:t>1</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0"/>
                <w:szCs w:val="20"/>
              </w:rPr>
            </w:pPr>
            <w:r>
              <w:rPr>
                <w:rFonts w:hint="eastAsia" w:ascii="宋体" w:hAnsi="宋体" w:cs="Arial"/>
                <w:kern w:val="0"/>
                <w:sz w:val="20"/>
                <w:szCs w:val="20"/>
              </w:rPr>
              <w:t>2</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0"/>
                <w:szCs w:val="20"/>
              </w:rPr>
            </w:pPr>
            <w:r>
              <w:rPr>
                <w:rFonts w:hint="eastAsia" w:ascii="宋体" w:hAnsi="宋体" w:cs="Arial"/>
                <w:kern w:val="0"/>
                <w:sz w:val="20"/>
                <w:szCs w:val="20"/>
              </w:rPr>
              <w:t>3</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0"/>
                <w:szCs w:val="20"/>
              </w:rPr>
            </w:pPr>
            <w:r>
              <w:rPr>
                <w:rFonts w:hint="eastAsia" w:ascii="宋体" w:hAnsi="宋体" w:cs="Arial"/>
                <w:kern w:val="0"/>
                <w:sz w:val="20"/>
                <w:szCs w:val="20"/>
              </w:rPr>
              <w:t>4</w:t>
            </w:r>
          </w:p>
        </w:tc>
        <w:tc>
          <w:tcPr>
            <w:tcW w:w="1540" w:type="dxa"/>
            <w:tcBorders>
              <w:top w:val="nil"/>
              <w:left w:val="nil"/>
              <w:bottom w:val="single" w:color="auto" w:sz="4" w:space="0"/>
              <w:right w:val="single" w:color="auto" w:sz="4" w:space="0"/>
            </w:tcBorders>
            <w:vAlign w:val="top"/>
          </w:tcPr>
          <w:p>
            <w:pPr>
              <w:widowControl/>
              <w:ind w:firstLine="600" w:firstLineChars="300"/>
              <w:rPr>
                <w:rFonts w:ascii="宋体" w:hAnsi="宋体" w:cs="Arial"/>
                <w:color w:val="000000"/>
                <w:kern w:val="0"/>
                <w:sz w:val="20"/>
                <w:szCs w:val="20"/>
              </w:rPr>
            </w:pPr>
            <w:r>
              <w:rPr>
                <w:rFonts w:hint="eastAsia" w:ascii="宋体" w:hAnsi="宋体" w:cs="Arial"/>
                <w:kern w:val="0"/>
                <w:sz w:val="20"/>
                <w:szCs w:val="20"/>
              </w:rPr>
              <w:t>5</w:t>
            </w:r>
          </w:p>
        </w:tc>
        <w:tc>
          <w:tcPr>
            <w:tcW w:w="1540" w:type="dxa"/>
            <w:tcBorders>
              <w:top w:val="nil"/>
              <w:left w:val="nil"/>
              <w:bottom w:val="single" w:color="auto" w:sz="4" w:space="0"/>
              <w:right w:val="single" w:color="auto" w:sz="4" w:space="0"/>
            </w:tcBorders>
            <w:vAlign w:val="top"/>
          </w:tcPr>
          <w:p>
            <w:pPr>
              <w:widowControl/>
              <w:ind w:firstLine="600" w:firstLineChars="300"/>
              <w:rPr>
                <w:rFonts w:ascii="宋体" w:hAnsi="宋体" w:cs="Arial"/>
                <w:color w:val="000000"/>
                <w:kern w:val="0"/>
                <w:sz w:val="20"/>
                <w:szCs w:val="20"/>
              </w:rPr>
            </w:pPr>
            <w:r>
              <w:rPr>
                <w:rFonts w:hint="eastAsia" w:ascii="宋体" w:hAnsi="宋体" w:cs="Arial"/>
                <w:kern w:val="0"/>
                <w:sz w:val="20"/>
                <w:szCs w:val="20"/>
              </w:rPr>
              <w:t>6</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0"/>
                <w:szCs w:val="20"/>
              </w:rPr>
            </w:pPr>
            <w:r>
              <w:rPr>
                <w:rFonts w:hint="eastAsia" w:ascii="宋体" w:hAnsi="宋体" w:cs="Arial"/>
                <w:kern w:val="0"/>
                <w:sz w:val="20"/>
                <w:szCs w:val="20"/>
              </w:rPr>
              <w:t>7</w:t>
            </w: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5340.73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5340.67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3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201</w:t>
            </w:r>
          </w:p>
        </w:tc>
        <w:tc>
          <w:tcPr>
            <w:tcW w:w="222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一般公共服务支出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4486.61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4486.61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3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20103</w:t>
            </w:r>
          </w:p>
        </w:tc>
        <w:tc>
          <w:tcPr>
            <w:tcW w:w="222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政府办公厅（室）及相关机构事务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4486.61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4486.61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3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2010301</w:t>
            </w:r>
          </w:p>
        </w:tc>
        <w:tc>
          <w:tcPr>
            <w:tcW w:w="222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行政运行</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883.28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883.28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3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2010306</w:t>
            </w:r>
          </w:p>
        </w:tc>
        <w:tc>
          <w:tcPr>
            <w:tcW w:w="222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政务公开审批</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2442.65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2442.65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3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2010350</w:t>
            </w:r>
          </w:p>
        </w:tc>
        <w:tc>
          <w:tcPr>
            <w:tcW w:w="222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事业运行</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1160.68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1160.68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3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w:t>
            </w:r>
          </w:p>
        </w:tc>
        <w:tc>
          <w:tcPr>
            <w:tcW w:w="222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社会保障和就业支出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261.17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261.17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3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w:t>
            </w:r>
          </w:p>
        </w:tc>
        <w:tc>
          <w:tcPr>
            <w:tcW w:w="222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行政事业单位离退休</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261.17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261.17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3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2080501</w:t>
            </w:r>
          </w:p>
        </w:tc>
        <w:tc>
          <w:tcPr>
            <w:tcW w:w="222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归口管理的行政单位离退休</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6.09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6.09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2080502</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事业单位离退休</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2.90 </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2.90 </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2080505</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252.17 </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252.17 </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210</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卫生健康支出</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175.16 </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175.16 </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21011</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行政事业单位医疗</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175.16 </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175.16 </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2101101</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行政单位医疗支出</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56.29 </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56.29 </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2101102</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事业单位医疗支出</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50.29 </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50.29 </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2101103</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公务员医疗补助</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68.58 </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68.58 </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212</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城乡社区支出</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50.00 </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50.00 </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21202</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城乡社区规划与管理</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50.00 </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50.00 </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2120201</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城乡社区规划与管理</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50.00 </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50.00 </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215</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资源勘探信息等支出</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169.14 </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169.14 </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21508</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支持中小企业发展专项</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169.14 </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169.14 </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2150805</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中小企业发展专项</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169.14</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169.14</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221</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住房保障支出</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198.59 </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198.59 </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22102</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住房改革支出</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198.59 </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198.59 </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2210201</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住房公积金</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184.19 </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184.19 </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2210203</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购房补贴</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14.40 </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14.40 </w:t>
            </w: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229</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其他支出</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0.06 </w:t>
            </w:r>
          </w:p>
        </w:tc>
        <w:tc>
          <w:tcPr>
            <w:tcW w:w="1540" w:type="dxa"/>
            <w:tcBorders>
              <w:top w:val="single" w:color="auto" w:sz="4" w:space="0"/>
              <w:left w:val="nil"/>
              <w:bottom w:val="single" w:color="auto" w:sz="4" w:space="0"/>
              <w:right w:val="single" w:color="auto" w:sz="4" w:space="0"/>
            </w:tcBorders>
            <w:vAlign w:val="center"/>
          </w:tcPr>
          <w:p>
            <w:pPr>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0.06 </w:t>
            </w: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22999</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其他支出</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0.06 </w:t>
            </w:r>
          </w:p>
        </w:tc>
        <w:tc>
          <w:tcPr>
            <w:tcW w:w="1540" w:type="dxa"/>
            <w:tcBorders>
              <w:top w:val="single" w:color="auto" w:sz="4" w:space="0"/>
              <w:left w:val="nil"/>
              <w:bottom w:val="single" w:color="auto" w:sz="4" w:space="0"/>
              <w:right w:val="single" w:color="auto" w:sz="4" w:space="0"/>
            </w:tcBorders>
            <w:vAlign w:val="center"/>
          </w:tcPr>
          <w:p>
            <w:pPr>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0.06 </w:t>
            </w:r>
          </w:p>
        </w:tc>
      </w:tr>
      <w:tr>
        <w:tblPrEx>
          <w:tblCellMar>
            <w:top w:w="0" w:type="dxa"/>
            <w:left w:w="108" w:type="dxa"/>
            <w:bottom w:w="0" w:type="dxa"/>
            <w:right w:w="108" w:type="dxa"/>
          </w:tblCellMar>
        </w:tblPrEx>
        <w:trPr>
          <w:trHeight w:val="288"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2299901</w:t>
            </w:r>
          </w:p>
        </w:tc>
        <w:tc>
          <w:tcPr>
            <w:tcW w:w="22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其他支出</w:t>
            </w: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0.06 </w:t>
            </w:r>
          </w:p>
        </w:tc>
        <w:tc>
          <w:tcPr>
            <w:tcW w:w="1540" w:type="dxa"/>
            <w:tcBorders>
              <w:top w:val="single" w:color="auto" w:sz="4" w:space="0"/>
              <w:left w:val="nil"/>
              <w:bottom w:val="single" w:color="auto" w:sz="4" w:space="0"/>
              <w:right w:val="single" w:color="auto" w:sz="4" w:space="0"/>
            </w:tcBorders>
            <w:vAlign w:val="center"/>
          </w:tcPr>
          <w:p>
            <w:pPr>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0.06 </w:t>
            </w:r>
          </w:p>
        </w:tc>
      </w:tr>
    </w:tbl>
    <w:p>
      <w:pPr>
        <w:rPr>
          <w:rFonts w:hint="eastAsia"/>
          <w:sz w:val="20"/>
          <w:szCs w:val="20"/>
          <w:lang w:eastAsia="zh-CN"/>
        </w:rPr>
      </w:pPr>
    </w:p>
    <w:p>
      <w:pPr>
        <w:rPr>
          <w:rFonts w:hint="eastAsia"/>
          <w:sz w:val="20"/>
          <w:szCs w:val="20"/>
          <w:lang w:eastAsia="zh-CN"/>
        </w:rPr>
      </w:pPr>
      <w:r>
        <w:rPr>
          <w:rFonts w:hint="eastAsia"/>
          <w:sz w:val="20"/>
          <w:szCs w:val="20"/>
          <w:lang w:eastAsia="zh-CN"/>
        </w:rPr>
        <w:t>注：本表反映部门本年度取得的各项收入情况。</w:t>
      </w:r>
    </w:p>
    <w:p>
      <w:pPr>
        <w:rPr>
          <w:rFonts w:hint="eastAsia"/>
          <w:lang w:eastAsia="zh-CN"/>
        </w:rPr>
      </w:pPr>
    </w:p>
    <w:p>
      <w:pPr>
        <w:rPr>
          <w:rFonts w:hint="eastAsia"/>
          <w:lang w:eastAsia="zh-CN"/>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both"/>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rPr>
      </w:pPr>
      <w:r>
        <w:rPr>
          <w:rFonts w:hint="eastAsia" w:ascii="方正小标宋简体" w:hAnsi="宋体" w:eastAsia="方正小标宋简体" w:cs="宋体"/>
          <w:kern w:val="0"/>
          <w:sz w:val="36"/>
          <w:szCs w:val="36"/>
        </w:rPr>
        <w:t>表三：支出决算表</w:t>
      </w:r>
    </w:p>
    <w:p>
      <w:pPr>
        <w:jc w:val="right"/>
        <w:rPr>
          <w:rFonts w:hint="eastAsia"/>
          <w:sz w:val="20"/>
          <w:szCs w:val="20"/>
        </w:rPr>
      </w:pPr>
      <w:r>
        <w:rPr>
          <w:rFonts w:hint="eastAsia"/>
          <w:sz w:val="20"/>
          <w:szCs w:val="20"/>
        </w:rPr>
        <w:t>单位：万元</w:t>
      </w:r>
    </w:p>
    <w:tbl>
      <w:tblPr>
        <w:tblStyle w:val="5"/>
        <w:tblW w:w="14049" w:type="dxa"/>
        <w:jc w:val="center"/>
        <w:tblLayout w:type="fixed"/>
        <w:tblCellMar>
          <w:top w:w="0" w:type="dxa"/>
          <w:left w:w="108" w:type="dxa"/>
          <w:bottom w:w="0" w:type="dxa"/>
          <w:right w:w="108" w:type="dxa"/>
        </w:tblCellMar>
      </w:tblPr>
      <w:tblGrid>
        <w:gridCol w:w="1180"/>
        <w:gridCol w:w="2178"/>
        <w:gridCol w:w="1619"/>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335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kern w:val="0"/>
                <w:sz w:val="20"/>
                <w:szCs w:val="20"/>
                <w:lang w:eastAsia="zh-CN"/>
              </w:rPr>
              <w:t>支出功能</w:t>
            </w:r>
            <w:r>
              <w:rPr>
                <w:rFonts w:hint="eastAsia" w:ascii="宋体" w:hAnsi="宋体" w:cs="Arial"/>
                <w:b/>
                <w:bCs/>
                <w:kern w:val="0"/>
                <w:sz w:val="20"/>
                <w:szCs w:val="20"/>
              </w:rPr>
              <w:t>项目</w:t>
            </w:r>
          </w:p>
        </w:tc>
        <w:tc>
          <w:tcPr>
            <w:tcW w:w="16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kern w:val="0"/>
                <w:sz w:val="20"/>
                <w:szCs w:val="20"/>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kern w:val="0"/>
                <w:sz w:val="20"/>
                <w:szCs w:val="20"/>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kern w:val="0"/>
                <w:sz w:val="20"/>
                <w:szCs w:val="20"/>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b/>
                <w:bCs/>
                <w:kern w:val="0"/>
                <w:sz w:val="20"/>
                <w:szCs w:val="20"/>
              </w:rPr>
            </w:pPr>
            <w:r>
              <w:rPr>
                <w:rFonts w:hint="eastAsia" w:ascii="宋体" w:hAnsi="宋体" w:cs="Arial"/>
                <w:b/>
                <w:bCs/>
                <w:kern w:val="0"/>
                <w:sz w:val="20"/>
                <w:szCs w:val="20"/>
              </w:rPr>
              <w:t>对附属单位补助</w:t>
            </w:r>
          </w:p>
          <w:p>
            <w:pPr>
              <w:widowControl/>
              <w:jc w:val="center"/>
              <w:rPr>
                <w:rFonts w:ascii="宋体" w:hAnsi="宋体" w:cs="Arial"/>
                <w:b/>
                <w:bCs/>
                <w:kern w:val="0"/>
                <w:sz w:val="20"/>
                <w:szCs w:val="20"/>
              </w:rPr>
            </w:pPr>
            <w:r>
              <w:rPr>
                <w:rFonts w:hint="eastAsia" w:ascii="宋体" w:hAnsi="宋体" w:cs="Arial"/>
                <w:b/>
                <w:bCs/>
                <w:kern w:val="0"/>
                <w:sz w:val="20"/>
                <w:szCs w:val="20"/>
              </w:rPr>
              <w:t>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kern w:val="0"/>
                <w:sz w:val="20"/>
                <w:szCs w:val="20"/>
              </w:rPr>
            </w:pPr>
            <w:r>
              <w:rPr>
                <w:rFonts w:hint="eastAsia" w:ascii="宋体" w:hAnsi="宋体" w:cs="Arial"/>
                <w:b/>
                <w:bCs/>
                <w:kern w:val="0"/>
                <w:sz w:val="20"/>
                <w:szCs w:val="20"/>
                <w:lang w:eastAsia="zh-CN"/>
              </w:rPr>
              <w:t>支出功能分类</w:t>
            </w:r>
            <w:r>
              <w:rPr>
                <w:rFonts w:hint="eastAsia" w:ascii="宋体" w:hAnsi="宋体" w:cs="Arial"/>
                <w:b/>
                <w:bCs/>
                <w:kern w:val="0"/>
                <w:sz w:val="20"/>
                <w:szCs w:val="20"/>
              </w:rPr>
              <w:t>科目编码</w:t>
            </w:r>
          </w:p>
        </w:tc>
        <w:tc>
          <w:tcPr>
            <w:tcW w:w="2178" w:type="dxa"/>
            <w:tcBorders>
              <w:top w:val="nil"/>
              <w:left w:val="nil"/>
              <w:bottom w:val="single" w:color="auto" w:sz="4" w:space="0"/>
              <w:right w:val="single" w:color="auto"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kern w:val="0"/>
                <w:sz w:val="20"/>
                <w:szCs w:val="20"/>
              </w:rPr>
              <w:t>科目名称</w:t>
            </w:r>
          </w:p>
        </w:tc>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kern w:val="0"/>
                <w:sz w:val="20"/>
                <w:szCs w:val="20"/>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kern w:val="0"/>
                <w:sz w:val="20"/>
                <w:szCs w:val="20"/>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0"/>
                <w:szCs w:val="20"/>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kern w:val="0"/>
                <w:sz w:val="20"/>
                <w:szCs w:val="20"/>
              </w:rPr>
            </w:pPr>
          </w:p>
        </w:tc>
      </w:tr>
      <w:tr>
        <w:tblPrEx>
          <w:tblCellMar>
            <w:top w:w="0" w:type="dxa"/>
            <w:left w:w="108" w:type="dxa"/>
            <w:bottom w:w="0" w:type="dxa"/>
            <w:right w:w="108" w:type="dxa"/>
          </w:tblCellMar>
        </w:tblPrEx>
        <w:trPr>
          <w:trHeight w:val="288" w:hRule="atLeast"/>
          <w:jc w:val="center"/>
        </w:trPr>
        <w:tc>
          <w:tcPr>
            <w:tcW w:w="3358" w:type="dxa"/>
            <w:gridSpan w:val="2"/>
            <w:tcBorders>
              <w:top w:val="single" w:color="auto" w:sz="4" w:space="0"/>
              <w:left w:val="single" w:color="auto" w:sz="4" w:space="0"/>
              <w:bottom w:val="single" w:color="auto" w:sz="4" w:space="0"/>
              <w:right w:val="single" w:color="auto" w:sz="4" w:space="0"/>
            </w:tcBorders>
            <w:vAlign w:val="top"/>
          </w:tcPr>
          <w:p>
            <w:pPr>
              <w:widowControl/>
              <w:ind w:firstLine="1807" w:firstLineChars="900"/>
              <w:jc w:val="left"/>
              <w:rPr>
                <w:rFonts w:ascii="宋体" w:hAnsi="宋体" w:cs="Arial"/>
                <w:b/>
                <w:bCs/>
                <w:color w:val="000000"/>
                <w:kern w:val="0"/>
                <w:sz w:val="20"/>
                <w:szCs w:val="20"/>
              </w:rPr>
            </w:pPr>
            <w:r>
              <w:rPr>
                <w:rFonts w:hint="eastAsia" w:ascii="宋体" w:hAnsi="宋体" w:cs="Arial"/>
                <w:b/>
                <w:bCs/>
                <w:kern w:val="0"/>
                <w:sz w:val="20"/>
                <w:szCs w:val="20"/>
              </w:rPr>
              <w:t>栏次</w:t>
            </w:r>
          </w:p>
        </w:tc>
        <w:tc>
          <w:tcPr>
            <w:tcW w:w="1619" w:type="dxa"/>
            <w:tcBorders>
              <w:top w:val="nil"/>
              <w:left w:val="nil"/>
              <w:bottom w:val="single" w:color="auto" w:sz="4" w:space="0"/>
              <w:right w:val="single" w:color="auto" w:sz="4" w:space="0"/>
            </w:tcBorders>
            <w:vAlign w:val="top"/>
          </w:tcPr>
          <w:p>
            <w:pPr>
              <w:widowControl/>
              <w:jc w:val="center"/>
              <w:rPr>
                <w:rFonts w:ascii="宋体" w:hAnsi="宋体" w:cs="Arial"/>
                <w:b/>
                <w:bCs/>
                <w:color w:val="000000"/>
                <w:kern w:val="0"/>
                <w:sz w:val="20"/>
                <w:szCs w:val="20"/>
              </w:rPr>
            </w:pPr>
            <w:r>
              <w:rPr>
                <w:rFonts w:hint="eastAsia" w:ascii="宋体" w:hAnsi="宋体" w:cs="Arial"/>
                <w:b/>
                <w:bCs/>
                <w:kern w:val="0"/>
                <w:sz w:val="20"/>
                <w:szCs w:val="20"/>
              </w:rPr>
              <w:t>1</w:t>
            </w:r>
          </w:p>
        </w:tc>
        <w:tc>
          <w:tcPr>
            <w:tcW w:w="1842" w:type="dxa"/>
            <w:tcBorders>
              <w:top w:val="nil"/>
              <w:left w:val="nil"/>
              <w:bottom w:val="single" w:color="auto" w:sz="4" w:space="0"/>
              <w:right w:val="single" w:color="auto" w:sz="4" w:space="0"/>
            </w:tcBorders>
            <w:vAlign w:val="top"/>
          </w:tcPr>
          <w:p>
            <w:pPr>
              <w:widowControl/>
              <w:ind w:firstLine="803" w:firstLineChars="400"/>
              <w:jc w:val="left"/>
              <w:rPr>
                <w:rFonts w:ascii="宋体" w:hAnsi="宋体" w:cs="Arial"/>
                <w:b/>
                <w:bCs/>
                <w:color w:val="000000"/>
                <w:kern w:val="0"/>
                <w:sz w:val="20"/>
                <w:szCs w:val="20"/>
              </w:rPr>
            </w:pPr>
            <w:r>
              <w:rPr>
                <w:rFonts w:hint="eastAsia" w:ascii="宋体" w:hAnsi="宋体" w:cs="Arial"/>
                <w:b/>
                <w:bCs/>
                <w:kern w:val="0"/>
                <w:sz w:val="20"/>
                <w:szCs w:val="20"/>
              </w:rPr>
              <w:t>2</w:t>
            </w:r>
          </w:p>
        </w:tc>
        <w:tc>
          <w:tcPr>
            <w:tcW w:w="1701" w:type="dxa"/>
            <w:tcBorders>
              <w:top w:val="nil"/>
              <w:left w:val="nil"/>
              <w:bottom w:val="single" w:color="auto" w:sz="4" w:space="0"/>
              <w:right w:val="single" w:color="auto" w:sz="4" w:space="0"/>
            </w:tcBorders>
            <w:vAlign w:val="top"/>
          </w:tcPr>
          <w:p>
            <w:pPr>
              <w:widowControl/>
              <w:ind w:firstLine="803" w:firstLineChars="400"/>
              <w:jc w:val="left"/>
              <w:rPr>
                <w:rFonts w:ascii="宋体" w:hAnsi="宋体" w:cs="Arial"/>
                <w:b/>
                <w:bCs/>
                <w:color w:val="000000"/>
                <w:kern w:val="0"/>
                <w:sz w:val="20"/>
                <w:szCs w:val="20"/>
              </w:rPr>
            </w:pPr>
            <w:r>
              <w:rPr>
                <w:rFonts w:hint="eastAsia" w:ascii="宋体" w:hAnsi="宋体" w:cs="Arial"/>
                <w:b/>
                <w:bCs/>
                <w:kern w:val="0"/>
                <w:sz w:val="20"/>
                <w:szCs w:val="20"/>
              </w:rPr>
              <w:t>3</w:t>
            </w:r>
          </w:p>
        </w:tc>
        <w:tc>
          <w:tcPr>
            <w:tcW w:w="1701" w:type="dxa"/>
            <w:tcBorders>
              <w:top w:val="nil"/>
              <w:left w:val="nil"/>
              <w:bottom w:val="single" w:color="auto" w:sz="4" w:space="0"/>
              <w:right w:val="single" w:color="auto" w:sz="4" w:space="0"/>
            </w:tcBorders>
            <w:vAlign w:val="top"/>
          </w:tcPr>
          <w:p>
            <w:pPr>
              <w:widowControl/>
              <w:jc w:val="center"/>
              <w:rPr>
                <w:rFonts w:ascii="宋体" w:hAnsi="宋体" w:cs="Arial"/>
                <w:b/>
                <w:bCs/>
                <w:color w:val="000000"/>
                <w:kern w:val="0"/>
                <w:sz w:val="20"/>
                <w:szCs w:val="20"/>
              </w:rPr>
            </w:pPr>
            <w:r>
              <w:rPr>
                <w:rFonts w:hint="eastAsia" w:ascii="宋体" w:hAnsi="宋体" w:cs="Arial"/>
                <w:b/>
                <w:bCs/>
                <w:kern w:val="0"/>
                <w:sz w:val="20"/>
                <w:szCs w:val="20"/>
              </w:rPr>
              <w:t>4</w:t>
            </w:r>
          </w:p>
        </w:tc>
        <w:tc>
          <w:tcPr>
            <w:tcW w:w="1843" w:type="dxa"/>
            <w:tcBorders>
              <w:top w:val="nil"/>
              <w:left w:val="nil"/>
              <w:bottom w:val="single" w:color="auto" w:sz="4" w:space="0"/>
              <w:right w:val="single" w:color="auto" w:sz="4" w:space="0"/>
            </w:tcBorders>
            <w:vAlign w:val="top"/>
          </w:tcPr>
          <w:p>
            <w:pPr>
              <w:widowControl/>
              <w:ind w:firstLine="803" w:firstLineChars="400"/>
              <w:jc w:val="left"/>
              <w:rPr>
                <w:rFonts w:ascii="宋体" w:hAnsi="宋体" w:cs="Arial"/>
                <w:b/>
                <w:bCs/>
                <w:color w:val="000000"/>
                <w:kern w:val="0"/>
                <w:sz w:val="20"/>
                <w:szCs w:val="20"/>
              </w:rPr>
            </w:pPr>
            <w:r>
              <w:rPr>
                <w:rFonts w:hint="eastAsia" w:ascii="宋体" w:hAnsi="宋体" w:cs="Arial"/>
                <w:b/>
                <w:bCs/>
                <w:kern w:val="0"/>
                <w:sz w:val="20"/>
                <w:szCs w:val="20"/>
              </w:rPr>
              <w:t>5</w:t>
            </w:r>
          </w:p>
        </w:tc>
        <w:tc>
          <w:tcPr>
            <w:tcW w:w="1985" w:type="dxa"/>
            <w:tcBorders>
              <w:top w:val="nil"/>
              <w:left w:val="nil"/>
              <w:bottom w:val="single" w:color="auto" w:sz="4" w:space="0"/>
              <w:right w:val="single" w:color="auto" w:sz="4" w:space="0"/>
            </w:tcBorders>
            <w:vAlign w:val="top"/>
          </w:tcPr>
          <w:p>
            <w:pPr>
              <w:widowControl/>
              <w:ind w:firstLine="803" w:firstLineChars="400"/>
              <w:jc w:val="left"/>
              <w:rPr>
                <w:rFonts w:ascii="宋体" w:hAnsi="宋体" w:cs="Arial"/>
                <w:b/>
                <w:bCs/>
                <w:color w:val="000000"/>
                <w:kern w:val="0"/>
                <w:sz w:val="20"/>
                <w:szCs w:val="20"/>
              </w:rPr>
            </w:pPr>
            <w:r>
              <w:rPr>
                <w:rFonts w:hint="eastAsia" w:ascii="宋体" w:hAnsi="宋体" w:cs="Arial"/>
                <w:b/>
                <w:bCs/>
                <w:kern w:val="0"/>
                <w:sz w:val="20"/>
                <w:szCs w:val="20"/>
              </w:rPr>
              <w:t>6</w:t>
            </w:r>
          </w:p>
        </w:tc>
      </w:tr>
      <w:tr>
        <w:tblPrEx>
          <w:tblCellMar>
            <w:top w:w="0" w:type="dxa"/>
            <w:left w:w="108" w:type="dxa"/>
            <w:bottom w:w="0" w:type="dxa"/>
            <w:right w:w="108" w:type="dxa"/>
          </w:tblCellMar>
        </w:tblPrEx>
        <w:trPr>
          <w:trHeight w:val="288" w:hRule="atLeast"/>
          <w:jc w:val="center"/>
        </w:trPr>
        <w:tc>
          <w:tcPr>
            <w:tcW w:w="3358"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61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5474.57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2477.16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2997.41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201</w:t>
            </w:r>
          </w:p>
        </w:tc>
        <w:tc>
          <w:tcPr>
            <w:tcW w:w="21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一般公共服务支出</w:t>
            </w:r>
          </w:p>
        </w:tc>
        <w:tc>
          <w:tcPr>
            <w:tcW w:w="161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4662.39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1834.12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2828.27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20103</w:t>
            </w:r>
          </w:p>
        </w:tc>
        <w:tc>
          <w:tcPr>
            <w:tcW w:w="21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政府办公厅（室）及相关机构事务</w:t>
            </w:r>
          </w:p>
        </w:tc>
        <w:tc>
          <w:tcPr>
            <w:tcW w:w="161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4662.39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1834.12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2828.27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2010301</w:t>
            </w:r>
          </w:p>
        </w:tc>
        <w:tc>
          <w:tcPr>
            <w:tcW w:w="21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行政运行</w:t>
            </w:r>
          </w:p>
        </w:tc>
        <w:tc>
          <w:tcPr>
            <w:tcW w:w="161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882.78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882.78 </w:t>
            </w:r>
          </w:p>
        </w:tc>
        <w:tc>
          <w:tcPr>
            <w:tcW w:w="1701" w:type="dxa"/>
            <w:tcBorders>
              <w:top w:val="nil"/>
              <w:left w:val="nil"/>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2010306</w:t>
            </w:r>
          </w:p>
        </w:tc>
        <w:tc>
          <w:tcPr>
            <w:tcW w:w="21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政务公开审批</w:t>
            </w:r>
          </w:p>
        </w:tc>
        <w:tc>
          <w:tcPr>
            <w:tcW w:w="161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2828.27 </w:t>
            </w:r>
          </w:p>
        </w:tc>
        <w:tc>
          <w:tcPr>
            <w:tcW w:w="1842" w:type="dxa"/>
            <w:tcBorders>
              <w:top w:val="nil"/>
              <w:left w:val="nil"/>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2828.27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2010350</w:t>
            </w:r>
          </w:p>
        </w:tc>
        <w:tc>
          <w:tcPr>
            <w:tcW w:w="21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事业运行</w:t>
            </w:r>
          </w:p>
        </w:tc>
        <w:tc>
          <w:tcPr>
            <w:tcW w:w="161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951.35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951.35 </w:t>
            </w:r>
          </w:p>
        </w:tc>
        <w:tc>
          <w:tcPr>
            <w:tcW w:w="1701" w:type="dxa"/>
            <w:tcBorders>
              <w:top w:val="nil"/>
              <w:left w:val="nil"/>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w:t>
            </w:r>
          </w:p>
        </w:tc>
        <w:tc>
          <w:tcPr>
            <w:tcW w:w="21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社会保障和就业支出</w:t>
            </w:r>
          </w:p>
        </w:tc>
        <w:tc>
          <w:tcPr>
            <w:tcW w:w="161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271.66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271.66 </w:t>
            </w:r>
          </w:p>
        </w:tc>
        <w:tc>
          <w:tcPr>
            <w:tcW w:w="1701" w:type="dxa"/>
            <w:tcBorders>
              <w:top w:val="nil"/>
              <w:left w:val="nil"/>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w:t>
            </w:r>
          </w:p>
        </w:tc>
        <w:tc>
          <w:tcPr>
            <w:tcW w:w="21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行政事业单位离退休</w:t>
            </w:r>
          </w:p>
        </w:tc>
        <w:tc>
          <w:tcPr>
            <w:tcW w:w="161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271.66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271.66 </w:t>
            </w:r>
          </w:p>
        </w:tc>
        <w:tc>
          <w:tcPr>
            <w:tcW w:w="1701" w:type="dxa"/>
            <w:tcBorders>
              <w:top w:val="nil"/>
              <w:left w:val="nil"/>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2080501</w:t>
            </w:r>
          </w:p>
        </w:tc>
        <w:tc>
          <w:tcPr>
            <w:tcW w:w="21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归口管理的行政单位离退休</w:t>
            </w:r>
          </w:p>
        </w:tc>
        <w:tc>
          <w:tcPr>
            <w:tcW w:w="161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5.02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5.02 </w:t>
            </w:r>
          </w:p>
        </w:tc>
        <w:tc>
          <w:tcPr>
            <w:tcW w:w="1701" w:type="dxa"/>
            <w:tcBorders>
              <w:top w:val="nil"/>
              <w:left w:val="nil"/>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2080502</w:t>
            </w:r>
          </w:p>
        </w:tc>
        <w:tc>
          <w:tcPr>
            <w:tcW w:w="217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事业单位离退休</w:t>
            </w:r>
          </w:p>
        </w:tc>
        <w:tc>
          <w:tcPr>
            <w:tcW w:w="161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2.90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2.90 </w:t>
            </w:r>
          </w:p>
        </w:tc>
        <w:tc>
          <w:tcPr>
            <w:tcW w:w="1701" w:type="dxa"/>
            <w:tcBorders>
              <w:top w:val="nil"/>
              <w:left w:val="nil"/>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2080505</w:t>
            </w:r>
          </w:p>
        </w:tc>
        <w:tc>
          <w:tcPr>
            <w:tcW w:w="217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6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263.73 </w:t>
            </w:r>
          </w:p>
        </w:tc>
        <w:tc>
          <w:tcPr>
            <w:tcW w:w="184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263.73 </w:t>
            </w:r>
          </w:p>
        </w:tc>
        <w:tc>
          <w:tcPr>
            <w:tcW w:w="1701" w:type="dxa"/>
            <w:tcBorders>
              <w:top w:val="single" w:color="auto" w:sz="4" w:space="0"/>
              <w:left w:val="nil"/>
              <w:bottom w:val="single" w:color="auto" w:sz="4" w:space="0"/>
              <w:right w:val="single" w:color="auto" w:sz="4" w:space="0"/>
            </w:tcBorders>
            <w:vAlign w:val="center"/>
          </w:tcPr>
          <w:p>
            <w:pPr>
              <w:jc w:val="center"/>
              <w:rPr>
                <w:rFonts w:hint="eastAsia" w:ascii="宋体" w:hAnsi="宋体" w:cs="Arial"/>
                <w:color w:val="000000"/>
                <w:kern w:val="0"/>
                <w:sz w:val="22"/>
                <w:szCs w:val="22"/>
              </w:rPr>
            </w:pPr>
          </w:p>
        </w:tc>
        <w:tc>
          <w:tcPr>
            <w:tcW w:w="1701" w:type="dxa"/>
            <w:tcBorders>
              <w:top w:val="single" w:color="auto" w:sz="4" w:space="0"/>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210</w:t>
            </w:r>
          </w:p>
        </w:tc>
        <w:tc>
          <w:tcPr>
            <w:tcW w:w="217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卫生健康支出</w:t>
            </w:r>
          </w:p>
        </w:tc>
        <w:tc>
          <w:tcPr>
            <w:tcW w:w="16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172.32 </w:t>
            </w:r>
          </w:p>
        </w:tc>
        <w:tc>
          <w:tcPr>
            <w:tcW w:w="184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172.32 </w:t>
            </w:r>
          </w:p>
        </w:tc>
        <w:tc>
          <w:tcPr>
            <w:tcW w:w="1701" w:type="dxa"/>
            <w:tcBorders>
              <w:top w:val="single" w:color="auto" w:sz="4" w:space="0"/>
              <w:left w:val="nil"/>
              <w:bottom w:val="single" w:color="auto" w:sz="4" w:space="0"/>
              <w:right w:val="single" w:color="auto" w:sz="4" w:space="0"/>
            </w:tcBorders>
            <w:vAlign w:val="center"/>
          </w:tcPr>
          <w:p>
            <w:pPr>
              <w:jc w:val="center"/>
              <w:rPr>
                <w:rFonts w:hint="eastAsia" w:ascii="宋体" w:hAnsi="宋体" w:cs="Arial"/>
                <w:color w:val="000000"/>
                <w:kern w:val="0"/>
                <w:sz w:val="22"/>
                <w:szCs w:val="22"/>
              </w:rPr>
            </w:pPr>
          </w:p>
        </w:tc>
        <w:tc>
          <w:tcPr>
            <w:tcW w:w="1701" w:type="dxa"/>
            <w:tcBorders>
              <w:top w:val="single" w:color="auto" w:sz="4" w:space="0"/>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21011</w:t>
            </w:r>
          </w:p>
        </w:tc>
        <w:tc>
          <w:tcPr>
            <w:tcW w:w="217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行政事业单位医疗</w:t>
            </w:r>
          </w:p>
        </w:tc>
        <w:tc>
          <w:tcPr>
            <w:tcW w:w="16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172.32 </w:t>
            </w:r>
          </w:p>
        </w:tc>
        <w:tc>
          <w:tcPr>
            <w:tcW w:w="184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172.32 </w:t>
            </w:r>
          </w:p>
        </w:tc>
        <w:tc>
          <w:tcPr>
            <w:tcW w:w="1701" w:type="dxa"/>
            <w:tcBorders>
              <w:top w:val="single" w:color="auto" w:sz="4" w:space="0"/>
              <w:left w:val="nil"/>
              <w:bottom w:val="single" w:color="auto" w:sz="4" w:space="0"/>
              <w:right w:val="single" w:color="auto" w:sz="4" w:space="0"/>
            </w:tcBorders>
            <w:vAlign w:val="center"/>
          </w:tcPr>
          <w:p>
            <w:pPr>
              <w:jc w:val="center"/>
              <w:rPr>
                <w:rFonts w:hint="eastAsia" w:ascii="宋体" w:hAnsi="宋体" w:cs="Arial"/>
                <w:color w:val="000000"/>
                <w:kern w:val="0"/>
                <w:sz w:val="22"/>
                <w:szCs w:val="22"/>
              </w:rPr>
            </w:pPr>
          </w:p>
        </w:tc>
        <w:tc>
          <w:tcPr>
            <w:tcW w:w="1701" w:type="dxa"/>
            <w:tcBorders>
              <w:top w:val="single" w:color="auto" w:sz="4" w:space="0"/>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2101101</w:t>
            </w:r>
          </w:p>
        </w:tc>
        <w:tc>
          <w:tcPr>
            <w:tcW w:w="217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行政单位医疗支出</w:t>
            </w:r>
          </w:p>
        </w:tc>
        <w:tc>
          <w:tcPr>
            <w:tcW w:w="16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r>
              <w:rPr>
                <w:rFonts w:hint="eastAsia" w:ascii="宋体" w:hAnsi="宋体" w:cs="宋体"/>
                <w:i w:val="0"/>
                <w:color w:val="000000"/>
                <w:kern w:val="0"/>
                <w:sz w:val="20"/>
                <w:szCs w:val="20"/>
                <w:u w:val="none"/>
                <w:lang w:val="en-US" w:eastAsia="zh-CN" w:bidi="ar"/>
              </w:rPr>
              <w:t>56.00</w:t>
            </w:r>
          </w:p>
        </w:tc>
        <w:tc>
          <w:tcPr>
            <w:tcW w:w="184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r>
              <w:rPr>
                <w:rFonts w:hint="eastAsia" w:ascii="宋体" w:hAnsi="宋体" w:cs="宋体"/>
                <w:i w:val="0"/>
                <w:color w:val="000000"/>
                <w:kern w:val="0"/>
                <w:sz w:val="20"/>
                <w:szCs w:val="20"/>
                <w:u w:val="none"/>
                <w:lang w:val="en-US" w:eastAsia="zh-CN" w:bidi="ar"/>
              </w:rPr>
              <w:t>56.00</w:t>
            </w:r>
          </w:p>
        </w:tc>
        <w:tc>
          <w:tcPr>
            <w:tcW w:w="1701" w:type="dxa"/>
            <w:tcBorders>
              <w:top w:val="single" w:color="auto" w:sz="4" w:space="0"/>
              <w:left w:val="nil"/>
              <w:bottom w:val="single" w:color="auto" w:sz="4" w:space="0"/>
              <w:right w:val="single" w:color="auto" w:sz="4" w:space="0"/>
            </w:tcBorders>
            <w:vAlign w:val="center"/>
          </w:tcPr>
          <w:p>
            <w:pPr>
              <w:jc w:val="center"/>
              <w:rPr>
                <w:rFonts w:hint="eastAsia" w:ascii="宋体" w:hAnsi="宋体" w:cs="Arial"/>
                <w:color w:val="000000"/>
                <w:kern w:val="0"/>
                <w:sz w:val="22"/>
                <w:szCs w:val="22"/>
              </w:rPr>
            </w:pPr>
          </w:p>
        </w:tc>
        <w:tc>
          <w:tcPr>
            <w:tcW w:w="1701" w:type="dxa"/>
            <w:tcBorders>
              <w:top w:val="single" w:color="auto" w:sz="4" w:space="0"/>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2101102</w:t>
            </w:r>
          </w:p>
        </w:tc>
        <w:tc>
          <w:tcPr>
            <w:tcW w:w="217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事业单位医疗支出</w:t>
            </w:r>
          </w:p>
        </w:tc>
        <w:tc>
          <w:tcPr>
            <w:tcW w:w="16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54.54 </w:t>
            </w:r>
          </w:p>
        </w:tc>
        <w:tc>
          <w:tcPr>
            <w:tcW w:w="184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54.54 </w:t>
            </w:r>
          </w:p>
        </w:tc>
        <w:tc>
          <w:tcPr>
            <w:tcW w:w="1701" w:type="dxa"/>
            <w:tcBorders>
              <w:top w:val="single" w:color="auto" w:sz="4" w:space="0"/>
              <w:left w:val="nil"/>
              <w:bottom w:val="single" w:color="auto" w:sz="4" w:space="0"/>
              <w:right w:val="single" w:color="auto" w:sz="4" w:space="0"/>
            </w:tcBorders>
            <w:vAlign w:val="center"/>
          </w:tcPr>
          <w:p>
            <w:pPr>
              <w:jc w:val="center"/>
              <w:rPr>
                <w:rFonts w:hint="eastAsia" w:ascii="宋体" w:hAnsi="宋体" w:cs="Arial"/>
                <w:color w:val="000000"/>
                <w:kern w:val="0"/>
                <w:sz w:val="22"/>
                <w:szCs w:val="22"/>
              </w:rPr>
            </w:pPr>
          </w:p>
        </w:tc>
        <w:tc>
          <w:tcPr>
            <w:tcW w:w="1701" w:type="dxa"/>
            <w:tcBorders>
              <w:top w:val="single" w:color="auto" w:sz="4" w:space="0"/>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2101103</w:t>
            </w:r>
          </w:p>
        </w:tc>
        <w:tc>
          <w:tcPr>
            <w:tcW w:w="217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公务员医疗补助</w:t>
            </w:r>
          </w:p>
        </w:tc>
        <w:tc>
          <w:tcPr>
            <w:tcW w:w="16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61.78 </w:t>
            </w:r>
          </w:p>
        </w:tc>
        <w:tc>
          <w:tcPr>
            <w:tcW w:w="184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61.78 </w:t>
            </w:r>
          </w:p>
        </w:tc>
        <w:tc>
          <w:tcPr>
            <w:tcW w:w="1701" w:type="dxa"/>
            <w:tcBorders>
              <w:top w:val="single" w:color="auto" w:sz="4" w:space="0"/>
              <w:left w:val="nil"/>
              <w:bottom w:val="single" w:color="auto" w:sz="4" w:space="0"/>
              <w:right w:val="single" w:color="auto" w:sz="4" w:space="0"/>
            </w:tcBorders>
            <w:vAlign w:val="center"/>
          </w:tcPr>
          <w:p>
            <w:pPr>
              <w:jc w:val="center"/>
              <w:rPr>
                <w:rFonts w:hint="eastAsia" w:ascii="宋体" w:hAnsi="宋体" w:cs="Arial"/>
                <w:color w:val="000000"/>
                <w:kern w:val="0"/>
                <w:sz w:val="22"/>
                <w:szCs w:val="22"/>
              </w:rPr>
            </w:pPr>
          </w:p>
        </w:tc>
        <w:tc>
          <w:tcPr>
            <w:tcW w:w="1701" w:type="dxa"/>
            <w:tcBorders>
              <w:top w:val="single" w:color="auto" w:sz="4" w:space="0"/>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215</w:t>
            </w:r>
          </w:p>
        </w:tc>
        <w:tc>
          <w:tcPr>
            <w:tcW w:w="217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资源勘探信息等支出</w:t>
            </w:r>
          </w:p>
        </w:tc>
        <w:tc>
          <w:tcPr>
            <w:tcW w:w="16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169.14 </w:t>
            </w:r>
          </w:p>
        </w:tc>
        <w:tc>
          <w:tcPr>
            <w:tcW w:w="1842"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169.14 </w:t>
            </w:r>
          </w:p>
        </w:tc>
        <w:tc>
          <w:tcPr>
            <w:tcW w:w="1701" w:type="dxa"/>
            <w:tcBorders>
              <w:top w:val="single" w:color="auto" w:sz="4" w:space="0"/>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p>
        </w:tc>
        <w:tc>
          <w:tcPr>
            <w:tcW w:w="1843" w:type="dxa"/>
            <w:tcBorders>
              <w:top w:val="single" w:color="auto" w:sz="4" w:space="0"/>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p>
        </w:tc>
        <w:tc>
          <w:tcPr>
            <w:tcW w:w="1985" w:type="dxa"/>
            <w:tcBorders>
              <w:top w:val="single" w:color="auto" w:sz="4" w:space="0"/>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21508</w:t>
            </w:r>
          </w:p>
        </w:tc>
        <w:tc>
          <w:tcPr>
            <w:tcW w:w="217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支持中小企业发展</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专项</w:t>
            </w:r>
          </w:p>
        </w:tc>
        <w:tc>
          <w:tcPr>
            <w:tcW w:w="16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169.14 </w:t>
            </w:r>
          </w:p>
        </w:tc>
        <w:tc>
          <w:tcPr>
            <w:tcW w:w="1842"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169.14 </w:t>
            </w:r>
          </w:p>
        </w:tc>
        <w:tc>
          <w:tcPr>
            <w:tcW w:w="1701" w:type="dxa"/>
            <w:tcBorders>
              <w:top w:val="single" w:color="auto" w:sz="4" w:space="0"/>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p>
        </w:tc>
        <w:tc>
          <w:tcPr>
            <w:tcW w:w="1843" w:type="dxa"/>
            <w:tcBorders>
              <w:top w:val="single" w:color="auto" w:sz="4" w:space="0"/>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p>
        </w:tc>
        <w:tc>
          <w:tcPr>
            <w:tcW w:w="1985" w:type="dxa"/>
            <w:tcBorders>
              <w:top w:val="single" w:color="auto" w:sz="4" w:space="0"/>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2150805</w:t>
            </w:r>
          </w:p>
        </w:tc>
        <w:tc>
          <w:tcPr>
            <w:tcW w:w="217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中小企业发展专项</w:t>
            </w:r>
          </w:p>
        </w:tc>
        <w:tc>
          <w:tcPr>
            <w:tcW w:w="16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169.14 </w:t>
            </w:r>
          </w:p>
        </w:tc>
        <w:tc>
          <w:tcPr>
            <w:tcW w:w="1842"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169.14 </w:t>
            </w:r>
          </w:p>
        </w:tc>
        <w:tc>
          <w:tcPr>
            <w:tcW w:w="1701" w:type="dxa"/>
            <w:tcBorders>
              <w:top w:val="single" w:color="auto" w:sz="4" w:space="0"/>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p>
        </w:tc>
        <w:tc>
          <w:tcPr>
            <w:tcW w:w="1843" w:type="dxa"/>
            <w:tcBorders>
              <w:top w:val="single" w:color="auto" w:sz="4" w:space="0"/>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p>
        </w:tc>
        <w:tc>
          <w:tcPr>
            <w:tcW w:w="1985" w:type="dxa"/>
            <w:tcBorders>
              <w:top w:val="single" w:color="auto" w:sz="4" w:space="0"/>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221</w:t>
            </w:r>
          </w:p>
        </w:tc>
        <w:tc>
          <w:tcPr>
            <w:tcW w:w="217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住房保障支出</w:t>
            </w:r>
          </w:p>
        </w:tc>
        <w:tc>
          <w:tcPr>
            <w:tcW w:w="16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199.06 </w:t>
            </w:r>
          </w:p>
        </w:tc>
        <w:tc>
          <w:tcPr>
            <w:tcW w:w="184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199.06 </w:t>
            </w:r>
          </w:p>
        </w:tc>
        <w:tc>
          <w:tcPr>
            <w:tcW w:w="1701"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1701" w:type="dxa"/>
            <w:tcBorders>
              <w:top w:val="single" w:color="auto" w:sz="4" w:space="0"/>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p>
        </w:tc>
        <w:tc>
          <w:tcPr>
            <w:tcW w:w="1843" w:type="dxa"/>
            <w:tcBorders>
              <w:top w:val="single" w:color="auto" w:sz="4" w:space="0"/>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p>
        </w:tc>
        <w:tc>
          <w:tcPr>
            <w:tcW w:w="1985" w:type="dxa"/>
            <w:tcBorders>
              <w:top w:val="single" w:color="auto" w:sz="4" w:space="0"/>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22102</w:t>
            </w:r>
          </w:p>
        </w:tc>
        <w:tc>
          <w:tcPr>
            <w:tcW w:w="217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住房改革支出</w:t>
            </w:r>
          </w:p>
        </w:tc>
        <w:tc>
          <w:tcPr>
            <w:tcW w:w="16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199.06 </w:t>
            </w:r>
          </w:p>
        </w:tc>
        <w:tc>
          <w:tcPr>
            <w:tcW w:w="184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199.06 </w:t>
            </w:r>
          </w:p>
        </w:tc>
        <w:tc>
          <w:tcPr>
            <w:tcW w:w="1701"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1701" w:type="dxa"/>
            <w:tcBorders>
              <w:top w:val="single" w:color="auto" w:sz="4" w:space="0"/>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p>
        </w:tc>
        <w:tc>
          <w:tcPr>
            <w:tcW w:w="1843" w:type="dxa"/>
            <w:tcBorders>
              <w:top w:val="single" w:color="auto" w:sz="4" w:space="0"/>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p>
        </w:tc>
        <w:tc>
          <w:tcPr>
            <w:tcW w:w="1985" w:type="dxa"/>
            <w:tcBorders>
              <w:top w:val="single" w:color="auto" w:sz="4" w:space="0"/>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2210201</w:t>
            </w:r>
          </w:p>
        </w:tc>
        <w:tc>
          <w:tcPr>
            <w:tcW w:w="217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住房公积金</w:t>
            </w:r>
          </w:p>
        </w:tc>
        <w:tc>
          <w:tcPr>
            <w:tcW w:w="16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184.66 </w:t>
            </w:r>
          </w:p>
        </w:tc>
        <w:tc>
          <w:tcPr>
            <w:tcW w:w="184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184.66 </w:t>
            </w:r>
          </w:p>
        </w:tc>
        <w:tc>
          <w:tcPr>
            <w:tcW w:w="1701"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1701" w:type="dxa"/>
            <w:tcBorders>
              <w:top w:val="single" w:color="auto" w:sz="4" w:space="0"/>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p>
        </w:tc>
        <w:tc>
          <w:tcPr>
            <w:tcW w:w="1843" w:type="dxa"/>
            <w:tcBorders>
              <w:top w:val="single" w:color="auto" w:sz="4" w:space="0"/>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p>
        </w:tc>
        <w:tc>
          <w:tcPr>
            <w:tcW w:w="1985" w:type="dxa"/>
            <w:tcBorders>
              <w:top w:val="single" w:color="auto" w:sz="4" w:space="0"/>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2210203</w:t>
            </w:r>
          </w:p>
        </w:tc>
        <w:tc>
          <w:tcPr>
            <w:tcW w:w="217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购房补贴</w:t>
            </w:r>
          </w:p>
        </w:tc>
        <w:tc>
          <w:tcPr>
            <w:tcW w:w="16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14.40 </w:t>
            </w:r>
          </w:p>
        </w:tc>
        <w:tc>
          <w:tcPr>
            <w:tcW w:w="184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14.40 </w:t>
            </w:r>
          </w:p>
        </w:tc>
        <w:tc>
          <w:tcPr>
            <w:tcW w:w="1701"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1701" w:type="dxa"/>
            <w:tcBorders>
              <w:top w:val="single" w:color="auto" w:sz="4" w:space="0"/>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p>
        </w:tc>
        <w:tc>
          <w:tcPr>
            <w:tcW w:w="1843" w:type="dxa"/>
            <w:tcBorders>
              <w:top w:val="single" w:color="auto" w:sz="4" w:space="0"/>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p>
        </w:tc>
        <w:tc>
          <w:tcPr>
            <w:tcW w:w="1985" w:type="dxa"/>
            <w:tcBorders>
              <w:top w:val="single" w:color="auto" w:sz="4" w:space="0"/>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p>
        </w:tc>
      </w:tr>
    </w:tbl>
    <w:p>
      <w:pPr>
        <w:rPr>
          <w:rFonts w:hint="eastAsia" w:asciiTheme="minorEastAsia" w:hAnsiTheme="minorEastAsia" w:eastAsiaTheme="minorEastAsia" w:cstheme="minorEastAsia"/>
          <w:sz w:val="20"/>
          <w:szCs w:val="20"/>
        </w:rPr>
      </w:pPr>
    </w:p>
    <w:p>
      <w:pPr>
        <w:rPr>
          <w:rFonts w:hint="eastAsia" w:eastAsia="宋体"/>
          <w:lang w:eastAsia="zh-CN"/>
        </w:rPr>
      </w:pPr>
      <w:r>
        <w:rPr>
          <w:rFonts w:hint="eastAsia"/>
          <w:sz w:val="20"/>
          <w:szCs w:val="20"/>
          <w:lang w:eastAsia="zh-CN"/>
        </w:rPr>
        <w:t>注：本表反映部门本年度各项支出情况。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3600" w:firstLineChars="1000"/>
        <w:jc w:val="both"/>
        <w:rPr>
          <w:rFonts w:hint="eastAsia" w:ascii="方正小标宋简体" w:hAnsi="宋体" w:eastAsia="方正小标宋简体" w:cs="宋体"/>
          <w:kern w:val="0"/>
          <w:sz w:val="36"/>
          <w:szCs w:val="36"/>
        </w:rPr>
      </w:pPr>
    </w:p>
    <w:p>
      <w:pPr>
        <w:ind w:firstLine="3600" w:firstLineChars="1000"/>
        <w:jc w:val="both"/>
        <w:rPr>
          <w:rFonts w:hint="eastAsia" w:ascii="方正小标宋简体" w:hAnsi="宋体" w:eastAsia="方正小标宋简体" w:cs="宋体"/>
          <w:kern w:val="0"/>
          <w:sz w:val="36"/>
          <w:szCs w:val="36"/>
        </w:rPr>
      </w:pPr>
    </w:p>
    <w:p>
      <w:pPr>
        <w:ind w:firstLine="3600" w:firstLineChars="1000"/>
        <w:jc w:val="both"/>
        <w:rPr>
          <w:rFonts w:hint="eastAsia" w:ascii="方正小标宋简体" w:hAnsi="宋体" w:eastAsia="方正小标宋简体" w:cs="宋体"/>
          <w:kern w:val="0"/>
          <w:sz w:val="36"/>
          <w:szCs w:val="36"/>
        </w:rPr>
      </w:pPr>
    </w:p>
    <w:p>
      <w:pPr>
        <w:ind w:firstLine="3600" w:firstLineChars="1000"/>
        <w:jc w:val="both"/>
        <w:rPr>
          <w:rFonts w:hint="eastAsia" w:ascii="方正小标宋简体" w:hAnsi="宋体" w:eastAsia="方正小标宋简体" w:cs="宋体"/>
          <w:kern w:val="0"/>
          <w:sz w:val="36"/>
          <w:szCs w:val="36"/>
        </w:rPr>
      </w:pPr>
    </w:p>
    <w:p>
      <w:pPr>
        <w:ind w:firstLine="3600" w:firstLineChars="1000"/>
        <w:jc w:val="both"/>
        <w:rPr>
          <w:rFonts w:hint="eastAsia" w:ascii="方正小标宋简体" w:hAnsi="宋体" w:eastAsia="方正小标宋简体" w:cs="宋体"/>
          <w:kern w:val="0"/>
          <w:sz w:val="36"/>
          <w:szCs w:val="36"/>
        </w:rPr>
      </w:pPr>
    </w:p>
    <w:p>
      <w:pPr>
        <w:ind w:firstLine="4320" w:firstLineChars="1200"/>
        <w:jc w:val="left"/>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ind w:firstLine="2000" w:firstLineChars="1000"/>
        <w:jc w:val="right"/>
        <w:rPr>
          <w:rFonts w:hint="eastAsia" w:ascii="方正小标宋简体" w:hAnsi="宋体" w:eastAsia="方正小标宋简体" w:cs="宋体"/>
          <w:kern w:val="0"/>
          <w:sz w:val="20"/>
          <w:szCs w:val="20"/>
        </w:rPr>
      </w:pPr>
      <w:r>
        <w:rPr>
          <w:rFonts w:hint="eastAsia"/>
          <w:sz w:val="20"/>
          <w:szCs w:val="20"/>
        </w:rPr>
        <w:t>单位：万元</w:t>
      </w:r>
    </w:p>
    <w:tbl>
      <w:tblPr>
        <w:tblStyle w:val="5"/>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4218"/>
        <w:gridCol w:w="615"/>
        <w:gridCol w:w="1147"/>
        <w:gridCol w:w="3458"/>
        <w:gridCol w:w="595"/>
        <w:gridCol w:w="1300"/>
        <w:gridCol w:w="1116"/>
        <w:gridCol w:w="5"/>
        <w:gridCol w:w="19"/>
        <w:gridCol w:w="1292"/>
      </w:tblGrid>
      <w:tr>
        <w:tblPrEx>
          <w:tblCellMar>
            <w:top w:w="0" w:type="dxa"/>
            <w:left w:w="108" w:type="dxa"/>
            <w:bottom w:w="0" w:type="dxa"/>
            <w:right w:w="108" w:type="dxa"/>
          </w:tblCellMar>
        </w:tblPrEx>
        <w:trPr>
          <w:trHeight w:val="300" w:hRule="atLeast"/>
          <w:tblHeader/>
        </w:trPr>
        <w:tc>
          <w:tcPr>
            <w:tcW w:w="5980" w:type="dxa"/>
            <w:gridSpan w:val="3"/>
            <w:tcBorders>
              <w:top w:val="single" w:color="auto" w:sz="4" w:space="0"/>
              <w:left w:val="single" w:color="auto" w:sz="4" w:space="0"/>
              <w:bottom w:val="single" w:color="auto" w:sz="4" w:space="0"/>
              <w:right w:val="single" w:color="000000" w:sz="4" w:space="0"/>
            </w:tcBorders>
            <w:vAlign w:val="top"/>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收 入</w:t>
            </w:r>
          </w:p>
        </w:tc>
        <w:tc>
          <w:tcPr>
            <w:tcW w:w="7785" w:type="dxa"/>
            <w:gridSpan w:val="7"/>
            <w:tcBorders>
              <w:top w:val="single" w:color="auto" w:sz="4" w:space="0"/>
              <w:left w:val="nil"/>
              <w:bottom w:val="single" w:color="auto" w:sz="4" w:space="0"/>
              <w:right w:val="single" w:color="000000" w:sz="4" w:space="0"/>
            </w:tcBorders>
            <w:vAlign w:val="top"/>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支 出</w:t>
            </w:r>
          </w:p>
        </w:tc>
      </w:tr>
      <w:tr>
        <w:tblPrEx>
          <w:tblCellMar>
            <w:top w:w="0" w:type="dxa"/>
            <w:left w:w="108" w:type="dxa"/>
            <w:bottom w:w="0" w:type="dxa"/>
            <w:right w:w="108" w:type="dxa"/>
          </w:tblCellMar>
        </w:tblPrEx>
        <w:trPr>
          <w:trHeight w:val="732" w:hRule="atLeast"/>
        </w:trPr>
        <w:tc>
          <w:tcPr>
            <w:tcW w:w="4218"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项 目</w:t>
            </w:r>
          </w:p>
        </w:tc>
        <w:tc>
          <w:tcPr>
            <w:tcW w:w="61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行次</w:t>
            </w:r>
          </w:p>
        </w:tc>
        <w:tc>
          <w:tcPr>
            <w:tcW w:w="1147"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金额</w:t>
            </w:r>
          </w:p>
        </w:tc>
        <w:tc>
          <w:tcPr>
            <w:tcW w:w="345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项 目</w:t>
            </w:r>
          </w:p>
        </w:tc>
        <w:tc>
          <w:tcPr>
            <w:tcW w:w="59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行次</w:t>
            </w:r>
          </w:p>
        </w:tc>
        <w:tc>
          <w:tcPr>
            <w:tcW w:w="1300"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合计</w:t>
            </w:r>
          </w:p>
        </w:tc>
        <w:tc>
          <w:tcPr>
            <w:tcW w:w="1116"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一般公共预算财政拨款</w:t>
            </w:r>
          </w:p>
        </w:tc>
        <w:tc>
          <w:tcPr>
            <w:tcW w:w="1316" w:type="dxa"/>
            <w:gridSpan w:val="3"/>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政府性基金预算财政</w:t>
            </w:r>
          </w:p>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拨款</w:t>
            </w: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栏 次</w:t>
            </w:r>
          </w:p>
        </w:tc>
        <w:tc>
          <w:tcPr>
            <w:tcW w:w="615" w:type="dxa"/>
            <w:tcBorders>
              <w:top w:val="nil"/>
              <w:left w:val="nil"/>
              <w:bottom w:val="single" w:color="auto" w:sz="4" w:space="0"/>
              <w:right w:val="single" w:color="auto" w:sz="4" w:space="0"/>
            </w:tcBorders>
            <w:vAlign w:val="top"/>
          </w:tcPr>
          <w:p>
            <w:pPr>
              <w:widowControl/>
              <w:ind w:firstLine="201" w:firstLineChars="100"/>
              <w:jc w:val="left"/>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　</w:t>
            </w:r>
          </w:p>
        </w:tc>
        <w:tc>
          <w:tcPr>
            <w:tcW w:w="1147"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1</w:t>
            </w:r>
          </w:p>
        </w:tc>
        <w:tc>
          <w:tcPr>
            <w:tcW w:w="3458" w:type="dxa"/>
            <w:tcBorders>
              <w:top w:val="nil"/>
              <w:left w:val="nil"/>
              <w:bottom w:val="single" w:color="auto" w:sz="4" w:space="0"/>
              <w:right w:val="single" w:color="auto" w:sz="4" w:space="0"/>
            </w:tcBorders>
            <w:vAlign w:val="top"/>
          </w:tcPr>
          <w:p>
            <w:pPr>
              <w:widowControl/>
              <w:ind w:firstLine="803" w:firstLineChars="400"/>
              <w:jc w:val="left"/>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栏 次</w:t>
            </w:r>
          </w:p>
        </w:tc>
        <w:tc>
          <w:tcPr>
            <w:tcW w:w="595" w:type="dxa"/>
            <w:tcBorders>
              <w:top w:val="nil"/>
              <w:left w:val="nil"/>
              <w:bottom w:val="single" w:color="auto" w:sz="4" w:space="0"/>
              <w:right w:val="single" w:color="auto" w:sz="4" w:space="0"/>
            </w:tcBorders>
            <w:vAlign w:val="top"/>
          </w:tcPr>
          <w:p>
            <w:pPr>
              <w:widowControl/>
              <w:ind w:firstLine="201" w:firstLineChars="100"/>
              <w:jc w:val="left"/>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　</w:t>
            </w:r>
          </w:p>
        </w:tc>
        <w:tc>
          <w:tcPr>
            <w:tcW w:w="130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2</w:t>
            </w:r>
          </w:p>
        </w:tc>
        <w:tc>
          <w:tcPr>
            <w:tcW w:w="1116"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3</w:t>
            </w:r>
          </w:p>
        </w:tc>
        <w:tc>
          <w:tcPr>
            <w:tcW w:w="1316" w:type="dxa"/>
            <w:gridSpan w:val="3"/>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4</w:t>
            </w: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kern w:val="0"/>
                <w:sz w:val="20"/>
                <w:szCs w:val="20"/>
              </w:rPr>
              <w:t>一、一般公共预算财政拨款</w:t>
            </w:r>
            <w:r>
              <w:rPr>
                <w:rFonts w:hint="eastAsia" w:asciiTheme="minorEastAsia" w:hAnsiTheme="minorEastAsia" w:eastAsiaTheme="minorEastAsia" w:cstheme="minorEastAsia"/>
                <w:kern w:val="0"/>
                <w:sz w:val="20"/>
                <w:szCs w:val="20"/>
                <w:lang w:eastAsia="zh-CN"/>
              </w:rPr>
              <w:t>收入</w:t>
            </w: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w:t>
            </w:r>
          </w:p>
        </w:tc>
        <w:tc>
          <w:tcPr>
            <w:tcW w:w="114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xml:space="preserve">5340.67 </w:t>
            </w:r>
          </w:p>
        </w:tc>
        <w:tc>
          <w:tcPr>
            <w:tcW w:w="3458"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0"/>
                <w:szCs w:val="20"/>
              </w:rPr>
              <w:t>一、一般公共服务支出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4662.39 </w:t>
            </w:r>
          </w:p>
        </w:tc>
        <w:tc>
          <w:tcPr>
            <w:tcW w:w="11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4662.39 </w:t>
            </w:r>
          </w:p>
        </w:tc>
        <w:tc>
          <w:tcPr>
            <w:tcW w:w="1316" w:type="dxa"/>
            <w:gridSpan w:val="3"/>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kern w:val="0"/>
                <w:sz w:val="20"/>
                <w:szCs w:val="20"/>
              </w:rPr>
              <w:t>二、政府性基金预算财政拨款</w:t>
            </w:r>
            <w:r>
              <w:rPr>
                <w:rFonts w:hint="eastAsia" w:asciiTheme="minorEastAsia" w:hAnsiTheme="minorEastAsia" w:eastAsiaTheme="minorEastAsia" w:cstheme="minorEastAsia"/>
                <w:kern w:val="0"/>
                <w:sz w:val="20"/>
                <w:szCs w:val="20"/>
                <w:lang w:eastAsia="zh-CN"/>
              </w:rPr>
              <w:t>收入</w:t>
            </w: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w:t>
            </w:r>
          </w:p>
        </w:tc>
        <w:tc>
          <w:tcPr>
            <w:tcW w:w="1147" w:type="dxa"/>
            <w:tcBorders>
              <w:top w:val="nil"/>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458"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0"/>
                <w:szCs w:val="20"/>
              </w:rPr>
              <w:t>二、外交支出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31</w:t>
            </w:r>
          </w:p>
        </w:tc>
        <w:tc>
          <w:tcPr>
            <w:tcW w:w="1300" w:type="dxa"/>
            <w:tcBorders>
              <w:top w:val="nil"/>
              <w:left w:val="nil"/>
              <w:bottom w:val="single" w:color="auto" w:sz="4" w:space="0"/>
              <w:right w:val="single" w:color="auto" w:sz="4" w:space="0"/>
            </w:tcBorders>
            <w:vAlign w:val="top"/>
          </w:tcPr>
          <w:p>
            <w:pPr>
              <w:widowControl/>
              <w:ind w:firstLine="800" w:firstLineChars="4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116" w:type="dxa"/>
            <w:tcBorders>
              <w:top w:val="nil"/>
              <w:left w:val="nil"/>
              <w:bottom w:val="single" w:color="auto" w:sz="4" w:space="0"/>
              <w:right w:val="single" w:color="auto" w:sz="4" w:space="0"/>
            </w:tcBorders>
            <w:vAlign w:val="top"/>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316" w:type="dxa"/>
            <w:gridSpan w:val="3"/>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w:t>
            </w:r>
          </w:p>
        </w:tc>
        <w:tc>
          <w:tcPr>
            <w:tcW w:w="1147" w:type="dxa"/>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458"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0"/>
                <w:szCs w:val="20"/>
              </w:rPr>
              <w:t>三、教育支出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32</w:t>
            </w:r>
          </w:p>
        </w:tc>
        <w:tc>
          <w:tcPr>
            <w:tcW w:w="1300" w:type="dxa"/>
            <w:tcBorders>
              <w:top w:val="nil"/>
              <w:left w:val="nil"/>
              <w:bottom w:val="single" w:color="auto" w:sz="4" w:space="0"/>
              <w:right w:val="single" w:color="auto" w:sz="4" w:space="0"/>
            </w:tcBorders>
            <w:vAlign w:val="top"/>
          </w:tcPr>
          <w:p>
            <w:pPr>
              <w:widowControl/>
              <w:ind w:firstLine="600" w:firstLineChars="3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116" w:type="dxa"/>
            <w:tcBorders>
              <w:top w:val="nil"/>
              <w:left w:val="nil"/>
              <w:bottom w:val="single" w:color="auto" w:sz="4" w:space="0"/>
              <w:right w:val="single" w:color="auto" w:sz="4" w:space="0"/>
            </w:tcBorders>
            <w:vAlign w:val="top"/>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316" w:type="dxa"/>
            <w:gridSpan w:val="3"/>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c>
          <w:tcPr>
            <w:tcW w:w="1147" w:type="dxa"/>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458"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0"/>
                <w:szCs w:val="20"/>
              </w:rPr>
              <w:t>四、科学技术支出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33</w:t>
            </w:r>
          </w:p>
        </w:tc>
        <w:tc>
          <w:tcPr>
            <w:tcW w:w="1300" w:type="dxa"/>
            <w:tcBorders>
              <w:top w:val="nil"/>
              <w:left w:val="nil"/>
              <w:bottom w:val="single" w:color="auto" w:sz="4" w:space="0"/>
              <w:right w:val="single" w:color="auto" w:sz="4" w:space="0"/>
            </w:tcBorders>
            <w:vAlign w:val="top"/>
          </w:tcPr>
          <w:p>
            <w:pPr>
              <w:widowControl/>
              <w:ind w:firstLine="600" w:firstLineChars="3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116" w:type="dxa"/>
            <w:tcBorders>
              <w:top w:val="nil"/>
              <w:left w:val="nil"/>
              <w:bottom w:val="single" w:color="auto" w:sz="4" w:space="0"/>
              <w:right w:val="single" w:color="auto" w:sz="4" w:space="0"/>
            </w:tcBorders>
            <w:vAlign w:val="top"/>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316" w:type="dxa"/>
            <w:gridSpan w:val="3"/>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w:t>
            </w:r>
          </w:p>
        </w:tc>
        <w:tc>
          <w:tcPr>
            <w:tcW w:w="1147" w:type="dxa"/>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458"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0"/>
                <w:szCs w:val="20"/>
              </w:rPr>
              <w:t>五、文化</w:t>
            </w:r>
            <w:r>
              <w:rPr>
                <w:rFonts w:hint="eastAsia" w:asciiTheme="minorEastAsia" w:hAnsiTheme="minorEastAsia" w:eastAsiaTheme="minorEastAsia" w:cstheme="minorEastAsia"/>
                <w:kern w:val="0"/>
                <w:sz w:val="20"/>
                <w:szCs w:val="20"/>
                <w:lang w:eastAsia="zh-CN"/>
              </w:rPr>
              <w:t>旅游</w:t>
            </w:r>
            <w:r>
              <w:rPr>
                <w:rFonts w:hint="eastAsia" w:asciiTheme="minorEastAsia" w:hAnsiTheme="minorEastAsia" w:eastAsiaTheme="minorEastAsia" w:cstheme="minorEastAsia"/>
                <w:kern w:val="0"/>
                <w:sz w:val="20"/>
                <w:szCs w:val="20"/>
              </w:rPr>
              <w:t>体育与传媒支出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34</w:t>
            </w:r>
          </w:p>
        </w:tc>
        <w:tc>
          <w:tcPr>
            <w:tcW w:w="1300" w:type="dxa"/>
            <w:tcBorders>
              <w:top w:val="nil"/>
              <w:left w:val="nil"/>
              <w:bottom w:val="single" w:color="auto" w:sz="4" w:space="0"/>
              <w:right w:val="single" w:color="auto" w:sz="4" w:space="0"/>
            </w:tcBorders>
            <w:vAlign w:val="top"/>
          </w:tcPr>
          <w:p>
            <w:pPr>
              <w:widowControl/>
              <w:ind w:firstLine="600" w:firstLineChars="3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116" w:type="dxa"/>
            <w:tcBorders>
              <w:top w:val="nil"/>
              <w:left w:val="nil"/>
              <w:bottom w:val="single" w:color="auto" w:sz="4" w:space="0"/>
              <w:right w:val="single" w:color="auto" w:sz="4" w:space="0"/>
            </w:tcBorders>
            <w:vAlign w:val="top"/>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316" w:type="dxa"/>
            <w:gridSpan w:val="3"/>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w:t>
            </w:r>
          </w:p>
        </w:tc>
        <w:tc>
          <w:tcPr>
            <w:tcW w:w="1147" w:type="dxa"/>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458"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0"/>
                <w:szCs w:val="20"/>
              </w:rPr>
              <w:t>六、社会保障和就业支出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35</w:t>
            </w:r>
          </w:p>
        </w:tc>
        <w:tc>
          <w:tcPr>
            <w:tcW w:w="1300" w:type="dxa"/>
            <w:tcBorders>
              <w:top w:val="nil"/>
              <w:left w:val="nil"/>
              <w:bottom w:val="single" w:color="auto" w:sz="4" w:space="0"/>
              <w:right w:val="single" w:color="auto" w:sz="4" w:space="0"/>
            </w:tcBorders>
            <w:vAlign w:val="top"/>
          </w:tcPr>
          <w:p>
            <w:pPr>
              <w:widowControl/>
              <w:ind w:firstLine="600" w:firstLineChars="3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116" w:type="dxa"/>
            <w:tcBorders>
              <w:top w:val="nil"/>
              <w:left w:val="nil"/>
              <w:bottom w:val="single" w:color="auto" w:sz="4" w:space="0"/>
              <w:right w:val="single" w:color="auto" w:sz="4" w:space="0"/>
            </w:tcBorders>
            <w:vAlign w:val="top"/>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316" w:type="dxa"/>
            <w:gridSpan w:val="3"/>
            <w:tcBorders>
              <w:top w:val="nil"/>
              <w:left w:val="nil"/>
              <w:bottom w:val="single" w:color="auto" w:sz="4" w:space="0"/>
              <w:right w:val="single" w:color="auto" w:sz="4" w:space="0"/>
            </w:tcBorders>
            <w:vAlign w:val="top"/>
          </w:tcPr>
          <w:p>
            <w:pPr>
              <w:widowControl/>
              <w:ind w:firstLine="800" w:firstLineChars="4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w:t>
            </w:r>
          </w:p>
        </w:tc>
        <w:tc>
          <w:tcPr>
            <w:tcW w:w="1147" w:type="dxa"/>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45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七、文化旅游体育与传媒支出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36</w:t>
            </w:r>
          </w:p>
        </w:tc>
        <w:tc>
          <w:tcPr>
            <w:tcW w:w="1300" w:type="dxa"/>
            <w:tcBorders>
              <w:top w:val="nil"/>
              <w:left w:val="nil"/>
              <w:bottom w:val="single" w:color="auto" w:sz="4" w:space="0"/>
              <w:right w:val="single" w:color="auto" w:sz="4" w:space="0"/>
            </w:tcBorders>
            <w:vAlign w:val="top"/>
          </w:tcPr>
          <w:p>
            <w:pPr>
              <w:widowControl/>
              <w:ind w:firstLine="800" w:firstLineChars="4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116" w:type="dxa"/>
            <w:tcBorders>
              <w:top w:val="nil"/>
              <w:left w:val="nil"/>
              <w:bottom w:val="single" w:color="auto" w:sz="4" w:space="0"/>
              <w:right w:val="single" w:color="auto" w:sz="4" w:space="0"/>
            </w:tcBorders>
            <w:vAlign w:val="top"/>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316" w:type="dxa"/>
            <w:gridSpan w:val="3"/>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w:t>
            </w:r>
          </w:p>
        </w:tc>
        <w:tc>
          <w:tcPr>
            <w:tcW w:w="1147" w:type="dxa"/>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45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八、社会保障和就业支出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37</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271.66 </w:t>
            </w:r>
          </w:p>
        </w:tc>
        <w:tc>
          <w:tcPr>
            <w:tcW w:w="11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271.66 </w:t>
            </w:r>
          </w:p>
        </w:tc>
        <w:tc>
          <w:tcPr>
            <w:tcW w:w="1316" w:type="dxa"/>
            <w:gridSpan w:val="3"/>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w:t>
            </w:r>
          </w:p>
        </w:tc>
        <w:tc>
          <w:tcPr>
            <w:tcW w:w="1147" w:type="dxa"/>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45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九、卫生健康支出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38</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172.32 </w:t>
            </w:r>
          </w:p>
        </w:tc>
        <w:tc>
          <w:tcPr>
            <w:tcW w:w="11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172.32 </w:t>
            </w:r>
          </w:p>
        </w:tc>
        <w:tc>
          <w:tcPr>
            <w:tcW w:w="1316" w:type="dxa"/>
            <w:gridSpan w:val="3"/>
            <w:tcBorders>
              <w:top w:val="nil"/>
              <w:left w:val="single" w:color="auto" w:sz="4" w:space="0"/>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r>
      <w:tr>
        <w:tblPrEx>
          <w:tblCellMar>
            <w:top w:w="0" w:type="dxa"/>
            <w:left w:w="108" w:type="dxa"/>
            <w:bottom w:w="0" w:type="dxa"/>
            <w:right w:w="108" w:type="dxa"/>
          </w:tblCellMar>
        </w:tblPrEx>
        <w:trPr>
          <w:trHeight w:val="90" w:hRule="atLeast"/>
        </w:trPr>
        <w:tc>
          <w:tcPr>
            <w:tcW w:w="421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w:t>
            </w:r>
          </w:p>
        </w:tc>
        <w:tc>
          <w:tcPr>
            <w:tcW w:w="1147" w:type="dxa"/>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45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十、节能环保支出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39</w:t>
            </w:r>
          </w:p>
        </w:tc>
        <w:tc>
          <w:tcPr>
            <w:tcW w:w="1300" w:type="dxa"/>
            <w:tcBorders>
              <w:top w:val="nil"/>
              <w:left w:val="nil"/>
              <w:bottom w:val="single" w:color="auto" w:sz="4" w:space="0"/>
              <w:right w:val="single" w:color="auto" w:sz="4" w:space="0"/>
            </w:tcBorders>
            <w:vAlign w:val="top"/>
          </w:tcPr>
          <w:p>
            <w:pPr>
              <w:widowControl/>
              <w:ind w:firstLine="600" w:firstLineChars="3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116" w:type="dxa"/>
            <w:tcBorders>
              <w:top w:val="nil"/>
              <w:left w:val="nil"/>
              <w:bottom w:val="single" w:color="auto" w:sz="4" w:space="0"/>
              <w:right w:val="single" w:color="auto" w:sz="4" w:space="0"/>
            </w:tcBorders>
            <w:vAlign w:val="top"/>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316" w:type="dxa"/>
            <w:gridSpan w:val="3"/>
            <w:tcBorders>
              <w:top w:val="nil"/>
              <w:left w:val="single" w:color="auto" w:sz="4" w:space="0"/>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w:t>
            </w:r>
          </w:p>
        </w:tc>
        <w:tc>
          <w:tcPr>
            <w:tcW w:w="1147" w:type="dxa"/>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45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十一、城乡社区支出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40</w:t>
            </w:r>
          </w:p>
        </w:tc>
        <w:tc>
          <w:tcPr>
            <w:tcW w:w="1300" w:type="dxa"/>
            <w:tcBorders>
              <w:top w:val="single" w:color="auto" w:sz="4" w:space="0"/>
              <w:left w:val="nil"/>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121" w:type="dxa"/>
            <w:gridSpan w:val="2"/>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311" w:type="dxa"/>
            <w:gridSpan w:val="2"/>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ind w:firstLine="1400" w:firstLineChars="700"/>
              <w:jc w:val="left"/>
              <w:rPr>
                <w:rFonts w:hint="eastAsia" w:asciiTheme="minorEastAsia" w:hAnsiTheme="minorEastAsia" w:eastAsiaTheme="minorEastAsia" w:cstheme="minorEastAsia"/>
                <w:color w:val="000000"/>
                <w:kern w:val="0"/>
                <w:sz w:val="20"/>
                <w:szCs w:val="20"/>
              </w:rPr>
            </w:pP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w:t>
            </w:r>
          </w:p>
        </w:tc>
        <w:tc>
          <w:tcPr>
            <w:tcW w:w="1147" w:type="dxa"/>
            <w:tcBorders>
              <w:top w:val="nil"/>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45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十二、农林水支出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41</w:t>
            </w:r>
          </w:p>
        </w:tc>
        <w:tc>
          <w:tcPr>
            <w:tcW w:w="1300" w:type="dxa"/>
            <w:tcBorders>
              <w:top w:val="single" w:color="auto" w:sz="4" w:space="0"/>
              <w:left w:val="nil"/>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121" w:type="dxa"/>
            <w:gridSpan w:val="2"/>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311" w:type="dxa"/>
            <w:gridSpan w:val="2"/>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ind w:firstLine="800" w:firstLineChars="400"/>
              <w:jc w:val="left"/>
              <w:rPr>
                <w:rFonts w:hint="eastAsia" w:asciiTheme="minorEastAsia" w:hAnsiTheme="minorEastAsia" w:eastAsiaTheme="minorEastAsia" w:cstheme="minorEastAsia"/>
                <w:color w:val="000000"/>
                <w:kern w:val="0"/>
                <w:sz w:val="20"/>
                <w:szCs w:val="20"/>
              </w:rPr>
            </w:pP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13</w:t>
            </w:r>
          </w:p>
        </w:tc>
        <w:tc>
          <w:tcPr>
            <w:tcW w:w="1147" w:type="dxa"/>
            <w:tcBorders>
              <w:top w:val="nil"/>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45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十三、交通运输支出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42</w:t>
            </w:r>
          </w:p>
        </w:tc>
        <w:tc>
          <w:tcPr>
            <w:tcW w:w="1300" w:type="dxa"/>
            <w:tcBorders>
              <w:top w:val="single" w:color="auto" w:sz="4" w:space="0"/>
              <w:left w:val="nil"/>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121" w:type="dxa"/>
            <w:gridSpan w:val="2"/>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311" w:type="dxa"/>
            <w:gridSpan w:val="2"/>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ind w:firstLine="1400" w:firstLineChars="700"/>
              <w:jc w:val="left"/>
              <w:rPr>
                <w:rFonts w:hint="eastAsia" w:asciiTheme="minorEastAsia" w:hAnsiTheme="minorEastAsia" w:eastAsiaTheme="minorEastAsia" w:cstheme="minorEastAsia"/>
                <w:kern w:val="0"/>
                <w:sz w:val="20"/>
                <w:szCs w:val="20"/>
              </w:rPr>
            </w:pP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14</w:t>
            </w:r>
          </w:p>
        </w:tc>
        <w:tc>
          <w:tcPr>
            <w:tcW w:w="1147" w:type="dxa"/>
            <w:tcBorders>
              <w:top w:val="nil"/>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45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十四、资源勘探信息等支出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w:t>
            </w:r>
          </w:p>
        </w:tc>
        <w:tc>
          <w:tcPr>
            <w:tcW w:w="13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169.14 </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169.14 </w:t>
            </w:r>
          </w:p>
        </w:tc>
        <w:tc>
          <w:tcPr>
            <w:tcW w:w="1311" w:type="dxa"/>
            <w:gridSpan w:val="2"/>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ind w:firstLine="1400" w:firstLineChars="700"/>
              <w:jc w:val="left"/>
              <w:rPr>
                <w:rFonts w:hint="eastAsia" w:asciiTheme="minorEastAsia" w:hAnsiTheme="minorEastAsia" w:eastAsiaTheme="minorEastAsia" w:cstheme="minorEastAsia"/>
                <w:color w:val="000000"/>
                <w:kern w:val="0"/>
                <w:sz w:val="20"/>
                <w:szCs w:val="20"/>
              </w:rPr>
            </w:pP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15</w:t>
            </w:r>
          </w:p>
        </w:tc>
        <w:tc>
          <w:tcPr>
            <w:tcW w:w="1147" w:type="dxa"/>
            <w:tcBorders>
              <w:top w:val="nil"/>
              <w:left w:val="nil"/>
              <w:bottom w:val="single" w:color="auto" w:sz="4" w:space="0"/>
              <w:right w:val="single" w:color="auto" w:sz="4" w:space="0"/>
            </w:tcBorders>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45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十五、商业服务业等支出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44</w:t>
            </w:r>
          </w:p>
        </w:tc>
        <w:tc>
          <w:tcPr>
            <w:tcW w:w="1300" w:type="dxa"/>
            <w:tcBorders>
              <w:top w:val="single" w:color="auto" w:sz="4" w:space="0"/>
              <w:left w:val="nil"/>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121" w:type="dxa"/>
            <w:gridSpan w:val="2"/>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311" w:type="dxa"/>
            <w:gridSpan w:val="2"/>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rPr>
            </w:pP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16</w:t>
            </w:r>
          </w:p>
        </w:tc>
        <w:tc>
          <w:tcPr>
            <w:tcW w:w="1147" w:type="dxa"/>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45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十六、金融支出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45</w:t>
            </w:r>
          </w:p>
        </w:tc>
        <w:tc>
          <w:tcPr>
            <w:tcW w:w="1300" w:type="dxa"/>
            <w:tcBorders>
              <w:top w:val="single" w:color="auto" w:sz="4" w:space="0"/>
              <w:left w:val="nil"/>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121" w:type="dxa"/>
            <w:gridSpan w:val="2"/>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311" w:type="dxa"/>
            <w:gridSpan w:val="2"/>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nil"/>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p>
        </w:tc>
        <w:tc>
          <w:tcPr>
            <w:tcW w:w="61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17</w:t>
            </w:r>
          </w:p>
        </w:tc>
        <w:tc>
          <w:tcPr>
            <w:tcW w:w="1147" w:type="dxa"/>
            <w:tcBorders>
              <w:top w:val="nil"/>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45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十七、援助其他地区支出</w:t>
            </w:r>
          </w:p>
        </w:tc>
        <w:tc>
          <w:tcPr>
            <w:tcW w:w="5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46</w:t>
            </w:r>
          </w:p>
        </w:tc>
        <w:tc>
          <w:tcPr>
            <w:tcW w:w="1300" w:type="dxa"/>
            <w:tcBorders>
              <w:top w:val="single" w:color="auto" w:sz="4" w:space="0"/>
              <w:left w:val="nil"/>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121" w:type="dxa"/>
            <w:gridSpan w:val="2"/>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311" w:type="dxa"/>
            <w:gridSpan w:val="2"/>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kern w:val="0"/>
                <w:sz w:val="20"/>
                <w:szCs w:val="20"/>
              </w:rPr>
            </w:pPr>
          </w:p>
        </w:tc>
        <w:tc>
          <w:tcPr>
            <w:tcW w:w="615"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18</w:t>
            </w:r>
          </w:p>
        </w:tc>
        <w:tc>
          <w:tcPr>
            <w:tcW w:w="1147" w:type="dxa"/>
            <w:tcBorders>
              <w:top w:val="single" w:color="auto" w:sz="4" w:space="0"/>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p>
        </w:tc>
        <w:tc>
          <w:tcPr>
            <w:tcW w:w="34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十八、自然资源海洋气象等支出</w:t>
            </w:r>
          </w:p>
        </w:tc>
        <w:tc>
          <w:tcPr>
            <w:tcW w:w="5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47</w:t>
            </w:r>
          </w:p>
        </w:tc>
        <w:tc>
          <w:tcPr>
            <w:tcW w:w="1300" w:type="dxa"/>
            <w:tcBorders>
              <w:top w:val="single" w:color="auto" w:sz="4" w:space="0"/>
              <w:left w:val="nil"/>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121" w:type="dxa"/>
            <w:gridSpan w:val="2"/>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311" w:type="dxa"/>
            <w:gridSpan w:val="2"/>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kern w:val="0"/>
                <w:sz w:val="20"/>
                <w:szCs w:val="20"/>
              </w:rPr>
            </w:pPr>
          </w:p>
        </w:tc>
        <w:tc>
          <w:tcPr>
            <w:tcW w:w="615"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19</w:t>
            </w:r>
          </w:p>
        </w:tc>
        <w:tc>
          <w:tcPr>
            <w:tcW w:w="1147" w:type="dxa"/>
            <w:tcBorders>
              <w:top w:val="single" w:color="auto" w:sz="4" w:space="0"/>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p>
        </w:tc>
        <w:tc>
          <w:tcPr>
            <w:tcW w:w="34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十九、住房保障支出</w:t>
            </w:r>
          </w:p>
        </w:tc>
        <w:tc>
          <w:tcPr>
            <w:tcW w:w="5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48</w:t>
            </w:r>
          </w:p>
        </w:tc>
        <w:tc>
          <w:tcPr>
            <w:tcW w:w="13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199.06 </w:t>
            </w:r>
          </w:p>
        </w:tc>
        <w:tc>
          <w:tcPr>
            <w:tcW w:w="114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199.06 </w:t>
            </w:r>
          </w:p>
        </w:tc>
        <w:tc>
          <w:tcPr>
            <w:tcW w:w="1292" w:type="dxa"/>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kern w:val="0"/>
                <w:sz w:val="20"/>
                <w:szCs w:val="20"/>
              </w:rPr>
            </w:pPr>
          </w:p>
        </w:tc>
        <w:tc>
          <w:tcPr>
            <w:tcW w:w="615"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20</w:t>
            </w:r>
          </w:p>
        </w:tc>
        <w:tc>
          <w:tcPr>
            <w:tcW w:w="1147" w:type="dxa"/>
            <w:tcBorders>
              <w:top w:val="single" w:color="auto" w:sz="4" w:space="0"/>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p>
        </w:tc>
        <w:tc>
          <w:tcPr>
            <w:tcW w:w="34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二十、粮油物资储备支出</w:t>
            </w:r>
          </w:p>
        </w:tc>
        <w:tc>
          <w:tcPr>
            <w:tcW w:w="5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49</w:t>
            </w:r>
          </w:p>
        </w:tc>
        <w:tc>
          <w:tcPr>
            <w:tcW w:w="1300" w:type="dxa"/>
            <w:tcBorders>
              <w:top w:val="single" w:color="auto" w:sz="4" w:space="0"/>
              <w:left w:val="nil"/>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140" w:type="dxa"/>
            <w:gridSpan w:val="3"/>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292" w:type="dxa"/>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kern w:val="0"/>
                <w:sz w:val="20"/>
                <w:szCs w:val="20"/>
              </w:rPr>
            </w:pPr>
          </w:p>
        </w:tc>
        <w:tc>
          <w:tcPr>
            <w:tcW w:w="615"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21</w:t>
            </w:r>
          </w:p>
        </w:tc>
        <w:tc>
          <w:tcPr>
            <w:tcW w:w="1147" w:type="dxa"/>
            <w:tcBorders>
              <w:top w:val="single" w:color="auto" w:sz="4" w:space="0"/>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p>
        </w:tc>
        <w:tc>
          <w:tcPr>
            <w:tcW w:w="34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二十一、灾害防治及应急管理支出</w:t>
            </w:r>
          </w:p>
        </w:tc>
        <w:tc>
          <w:tcPr>
            <w:tcW w:w="5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50</w:t>
            </w:r>
          </w:p>
        </w:tc>
        <w:tc>
          <w:tcPr>
            <w:tcW w:w="1300" w:type="dxa"/>
            <w:tcBorders>
              <w:top w:val="single" w:color="auto" w:sz="4" w:space="0"/>
              <w:left w:val="nil"/>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140" w:type="dxa"/>
            <w:gridSpan w:val="3"/>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292" w:type="dxa"/>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kern w:val="0"/>
                <w:sz w:val="20"/>
                <w:szCs w:val="20"/>
              </w:rPr>
            </w:pPr>
          </w:p>
        </w:tc>
        <w:tc>
          <w:tcPr>
            <w:tcW w:w="615"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22</w:t>
            </w:r>
          </w:p>
        </w:tc>
        <w:tc>
          <w:tcPr>
            <w:tcW w:w="1147" w:type="dxa"/>
            <w:tcBorders>
              <w:top w:val="single" w:color="auto" w:sz="4" w:space="0"/>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p>
        </w:tc>
        <w:tc>
          <w:tcPr>
            <w:tcW w:w="34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二十二、其他支出</w:t>
            </w:r>
          </w:p>
        </w:tc>
        <w:tc>
          <w:tcPr>
            <w:tcW w:w="5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51</w:t>
            </w:r>
          </w:p>
        </w:tc>
        <w:tc>
          <w:tcPr>
            <w:tcW w:w="1300" w:type="dxa"/>
            <w:tcBorders>
              <w:top w:val="single" w:color="auto" w:sz="4" w:space="0"/>
              <w:left w:val="nil"/>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140" w:type="dxa"/>
            <w:gridSpan w:val="3"/>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292" w:type="dxa"/>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kern w:val="0"/>
                <w:sz w:val="20"/>
                <w:szCs w:val="20"/>
              </w:rPr>
            </w:pPr>
          </w:p>
        </w:tc>
        <w:tc>
          <w:tcPr>
            <w:tcW w:w="615"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23</w:t>
            </w:r>
          </w:p>
        </w:tc>
        <w:tc>
          <w:tcPr>
            <w:tcW w:w="1147" w:type="dxa"/>
            <w:tcBorders>
              <w:top w:val="single" w:color="auto" w:sz="4" w:space="0"/>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p>
        </w:tc>
        <w:tc>
          <w:tcPr>
            <w:tcW w:w="34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二十三、债务还本支出</w:t>
            </w:r>
          </w:p>
        </w:tc>
        <w:tc>
          <w:tcPr>
            <w:tcW w:w="5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52</w:t>
            </w:r>
          </w:p>
        </w:tc>
        <w:tc>
          <w:tcPr>
            <w:tcW w:w="1300" w:type="dxa"/>
            <w:tcBorders>
              <w:top w:val="single" w:color="auto" w:sz="4" w:space="0"/>
              <w:left w:val="nil"/>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140" w:type="dxa"/>
            <w:gridSpan w:val="3"/>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292" w:type="dxa"/>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kern w:val="0"/>
                <w:sz w:val="20"/>
                <w:szCs w:val="20"/>
              </w:rPr>
            </w:pPr>
          </w:p>
        </w:tc>
        <w:tc>
          <w:tcPr>
            <w:tcW w:w="615"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24</w:t>
            </w:r>
          </w:p>
        </w:tc>
        <w:tc>
          <w:tcPr>
            <w:tcW w:w="1147" w:type="dxa"/>
            <w:tcBorders>
              <w:top w:val="single" w:color="auto" w:sz="4" w:space="0"/>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p>
        </w:tc>
        <w:tc>
          <w:tcPr>
            <w:tcW w:w="34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二十四、债务付息支出</w:t>
            </w:r>
          </w:p>
        </w:tc>
        <w:tc>
          <w:tcPr>
            <w:tcW w:w="5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53</w:t>
            </w:r>
          </w:p>
        </w:tc>
        <w:tc>
          <w:tcPr>
            <w:tcW w:w="1300" w:type="dxa"/>
            <w:tcBorders>
              <w:top w:val="single" w:color="auto" w:sz="4" w:space="0"/>
              <w:left w:val="nil"/>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140" w:type="dxa"/>
            <w:gridSpan w:val="3"/>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292" w:type="dxa"/>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single" w:color="auto" w:sz="4" w:space="0"/>
              <w:left w:val="single" w:color="auto" w:sz="4" w:space="0"/>
              <w:bottom w:val="single" w:color="auto" w:sz="4" w:space="0"/>
              <w:right w:val="single" w:color="auto" w:sz="4" w:space="0"/>
            </w:tcBorders>
            <w:vAlign w:val="top"/>
          </w:tcPr>
          <w:p>
            <w:pPr>
              <w:widowControl/>
              <w:ind w:firstLine="1400" w:firstLineChars="700"/>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kern w:val="0"/>
                <w:sz w:val="20"/>
                <w:szCs w:val="20"/>
              </w:rPr>
              <w:t>本年收入合计</w:t>
            </w:r>
          </w:p>
        </w:tc>
        <w:tc>
          <w:tcPr>
            <w:tcW w:w="615"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25</w:t>
            </w:r>
          </w:p>
        </w:tc>
        <w:tc>
          <w:tcPr>
            <w:tcW w:w="114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xml:space="preserve">5340.67 </w:t>
            </w:r>
          </w:p>
        </w:tc>
        <w:tc>
          <w:tcPr>
            <w:tcW w:w="3458"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kern w:val="0"/>
                <w:sz w:val="20"/>
                <w:szCs w:val="20"/>
              </w:rPr>
              <w:t>本年支出合计</w:t>
            </w:r>
          </w:p>
        </w:tc>
        <w:tc>
          <w:tcPr>
            <w:tcW w:w="5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54</w:t>
            </w:r>
          </w:p>
        </w:tc>
        <w:tc>
          <w:tcPr>
            <w:tcW w:w="13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5474.57 </w:t>
            </w:r>
          </w:p>
        </w:tc>
        <w:tc>
          <w:tcPr>
            <w:tcW w:w="114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5474.57 </w:t>
            </w:r>
          </w:p>
        </w:tc>
        <w:tc>
          <w:tcPr>
            <w:tcW w:w="1292" w:type="dxa"/>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single" w:color="auto" w:sz="4" w:space="0"/>
              <w:left w:val="single" w:color="auto" w:sz="4" w:space="0"/>
              <w:bottom w:val="single" w:color="auto" w:sz="4" w:space="0"/>
              <w:right w:val="single" w:color="auto" w:sz="4" w:space="0"/>
            </w:tcBorders>
            <w:vAlign w:val="top"/>
          </w:tcPr>
          <w:p>
            <w:pPr>
              <w:widowControl/>
              <w:ind w:firstLine="800" w:firstLineChars="400"/>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kern w:val="0"/>
                <w:sz w:val="20"/>
                <w:szCs w:val="20"/>
              </w:rPr>
              <w:t>年初财政拨款结转和结余</w:t>
            </w:r>
          </w:p>
        </w:tc>
        <w:tc>
          <w:tcPr>
            <w:tcW w:w="615"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26</w:t>
            </w:r>
          </w:p>
        </w:tc>
        <w:tc>
          <w:tcPr>
            <w:tcW w:w="114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xml:space="preserve">614.50 </w:t>
            </w:r>
          </w:p>
        </w:tc>
        <w:tc>
          <w:tcPr>
            <w:tcW w:w="3458"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kern w:val="0"/>
                <w:sz w:val="20"/>
                <w:szCs w:val="20"/>
              </w:rPr>
              <w:t>年末</w:t>
            </w:r>
            <w:r>
              <w:rPr>
                <w:rFonts w:hint="eastAsia" w:asciiTheme="minorEastAsia" w:hAnsiTheme="minorEastAsia" w:eastAsiaTheme="minorEastAsia" w:cstheme="minorEastAsia"/>
                <w:kern w:val="0"/>
                <w:sz w:val="20"/>
                <w:szCs w:val="20"/>
                <w:lang w:eastAsia="zh-CN"/>
              </w:rPr>
              <w:t>财政拨款</w:t>
            </w:r>
            <w:r>
              <w:rPr>
                <w:rFonts w:hint="eastAsia" w:asciiTheme="minorEastAsia" w:hAnsiTheme="minorEastAsia" w:eastAsiaTheme="minorEastAsia" w:cstheme="minorEastAsia"/>
                <w:kern w:val="0"/>
                <w:sz w:val="20"/>
                <w:szCs w:val="20"/>
              </w:rPr>
              <w:t>结转和结余</w:t>
            </w:r>
          </w:p>
        </w:tc>
        <w:tc>
          <w:tcPr>
            <w:tcW w:w="5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55</w:t>
            </w:r>
          </w:p>
        </w:tc>
        <w:tc>
          <w:tcPr>
            <w:tcW w:w="13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xml:space="preserve">480.60 </w:t>
            </w:r>
          </w:p>
        </w:tc>
        <w:tc>
          <w:tcPr>
            <w:tcW w:w="114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xml:space="preserve">480.60 </w:t>
            </w:r>
          </w:p>
        </w:tc>
        <w:tc>
          <w:tcPr>
            <w:tcW w:w="1292" w:type="dxa"/>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single" w:color="auto" w:sz="4" w:space="0"/>
              <w:left w:val="single" w:color="auto" w:sz="4" w:space="0"/>
              <w:bottom w:val="single" w:color="auto" w:sz="4" w:space="0"/>
              <w:right w:val="single" w:color="auto" w:sz="4" w:space="0"/>
            </w:tcBorders>
            <w:vAlign w:val="top"/>
          </w:tcPr>
          <w:p>
            <w:pPr>
              <w:widowControl/>
              <w:ind w:firstLine="1400" w:firstLineChars="700"/>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一般公共预算财政拨款</w:t>
            </w:r>
          </w:p>
        </w:tc>
        <w:tc>
          <w:tcPr>
            <w:tcW w:w="615"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27</w:t>
            </w:r>
          </w:p>
        </w:tc>
        <w:tc>
          <w:tcPr>
            <w:tcW w:w="114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xml:space="preserve">614.50 </w:t>
            </w:r>
          </w:p>
        </w:tc>
        <w:tc>
          <w:tcPr>
            <w:tcW w:w="3458" w:type="dxa"/>
            <w:tcBorders>
              <w:top w:val="single" w:color="auto" w:sz="4" w:space="0"/>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c>
          <w:tcPr>
            <w:tcW w:w="5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56</w:t>
            </w:r>
          </w:p>
        </w:tc>
        <w:tc>
          <w:tcPr>
            <w:tcW w:w="1300" w:type="dxa"/>
            <w:tcBorders>
              <w:top w:val="single" w:color="auto" w:sz="4" w:space="0"/>
              <w:left w:val="nil"/>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140" w:type="dxa"/>
            <w:gridSpan w:val="3"/>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292" w:type="dxa"/>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single" w:color="auto" w:sz="4" w:space="0"/>
              <w:left w:val="single" w:color="auto" w:sz="4" w:space="0"/>
              <w:bottom w:val="single" w:color="auto" w:sz="4" w:space="0"/>
              <w:right w:val="single" w:color="auto" w:sz="4" w:space="0"/>
            </w:tcBorders>
            <w:vAlign w:val="top"/>
          </w:tcPr>
          <w:p>
            <w:pPr>
              <w:widowControl/>
              <w:ind w:firstLine="1400" w:firstLineChars="700"/>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kern w:val="0"/>
                <w:sz w:val="20"/>
                <w:szCs w:val="20"/>
              </w:rPr>
              <w:t>政府性基金预算财政拨款</w:t>
            </w:r>
          </w:p>
        </w:tc>
        <w:tc>
          <w:tcPr>
            <w:tcW w:w="615"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28</w:t>
            </w:r>
          </w:p>
        </w:tc>
        <w:tc>
          <w:tcPr>
            <w:tcW w:w="1147" w:type="dxa"/>
            <w:tcBorders>
              <w:top w:val="single" w:color="auto" w:sz="4" w:space="0"/>
              <w:left w:val="nil"/>
              <w:bottom w:val="single" w:color="auto" w:sz="4" w:space="0"/>
              <w:right w:val="single" w:color="auto" w:sz="4" w:space="0"/>
            </w:tcBorders>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p>
        </w:tc>
        <w:tc>
          <w:tcPr>
            <w:tcW w:w="3458" w:type="dxa"/>
            <w:tcBorders>
              <w:top w:val="single" w:color="auto" w:sz="4" w:space="0"/>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c>
          <w:tcPr>
            <w:tcW w:w="5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57</w:t>
            </w:r>
          </w:p>
        </w:tc>
        <w:tc>
          <w:tcPr>
            <w:tcW w:w="1300" w:type="dxa"/>
            <w:tcBorders>
              <w:top w:val="single" w:color="auto" w:sz="4" w:space="0"/>
              <w:left w:val="nil"/>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140" w:type="dxa"/>
            <w:gridSpan w:val="3"/>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c>
          <w:tcPr>
            <w:tcW w:w="1292" w:type="dxa"/>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8" w:hRule="atLeast"/>
        </w:trPr>
        <w:tc>
          <w:tcPr>
            <w:tcW w:w="421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kern w:val="0"/>
                <w:sz w:val="20"/>
                <w:szCs w:val="20"/>
              </w:rPr>
              <w:t>合计</w:t>
            </w:r>
          </w:p>
        </w:tc>
        <w:tc>
          <w:tcPr>
            <w:tcW w:w="615"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29</w:t>
            </w:r>
          </w:p>
        </w:tc>
        <w:tc>
          <w:tcPr>
            <w:tcW w:w="114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xml:space="preserve">5955.17 </w:t>
            </w:r>
          </w:p>
        </w:tc>
        <w:tc>
          <w:tcPr>
            <w:tcW w:w="3458"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kern w:val="0"/>
                <w:sz w:val="20"/>
                <w:szCs w:val="20"/>
              </w:rPr>
              <w:t>合计</w:t>
            </w:r>
          </w:p>
        </w:tc>
        <w:tc>
          <w:tcPr>
            <w:tcW w:w="5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58</w:t>
            </w:r>
          </w:p>
        </w:tc>
        <w:tc>
          <w:tcPr>
            <w:tcW w:w="13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5955.17 </w:t>
            </w:r>
          </w:p>
        </w:tc>
        <w:tc>
          <w:tcPr>
            <w:tcW w:w="114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5955.17 </w:t>
            </w:r>
          </w:p>
        </w:tc>
        <w:tc>
          <w:tcPr>
            <w:tcW w:w="1292" w:type="dxa"/>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hint="eastAsia" w:asciiTheme="minorEastAsia" w:hAnsiTheme="minorEastAsia" w:eastAsiaTheme="minorEastAsia" w:cstheme="minorEastAsia"/>
                <w:color w:val="000000"/>
                <w:kern w:val="0"/>
                <w:sz w:val="20"/>
                <w:szCs w:val="20"/>
              </w:rPr>
            </w:pPr>
          </w:p>
        </w:tc>
      </w:tr>
    </w:tbl>
    <w:p>
      <w:pPr>
        <w:jc w:val="right"/>
        <w:rPr>
          <w:rFonts w:hint="eastAsia"/>
          <w:sz w:val="22"/>
          <w:szCs w:val="22"/>
        </w:rPr>
      </w:pPr>
    </w:p>
    <w:p>
      <w:pPr>
        <w:rPr>
          <w:rFonts w:hint="eastAsia" w:eastAsia="宋体"/>
          <w:sz w:val="20"/>
          <w:szCs w:val="20"/>
          <w:lang w:eastAsia="zh-CN"/>
        </w:rPr>
      </w:pPr>
      <w:r>
        <w:rPr>
          <w:rFonts w:hint="eastAsia"/>
          <w:sz w:val="20"/>
          <w:szCs w:val="20"/>
          <w:lang w:eastAsia="zh-CN"/>
        </w:rPr>
        <w:t>注：本表反映部门本年度一般公共预算财政拨款和政府性基金预算财政拨款的总收支和年末结转结余情况。</w:t>
      </w:r>
    </w:p>
    <w:p>
      <w:pPr>
        <w:rPr>
          <w:rFonts w:hint="eastAsia"/>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center"/>
        <w:rPr>
          <w:rFonts w:hint="eastAsia" w:ascii="宋体" w:hAnsi="宋体" w:cs="宋体"/>
          <w:kern w:val="0"/>
          <w:sz w:val="22"/>
          <w:szCs w:val="22"/>
        </w:rPr>
      </w:pPr>
      <w:r>
        <w:rPr>
          <w:rFonts w:hint="eastAsia" w:ascii="宋体" w:hAnsi="宋体" w:cs="宋体"/>
          <w:kern w:val="0"/>
          <w:sz w:val="20"/>
          <w:szCs w:val="20"/>
          <w:lang w:val="en-US" w:eastAsia="zh-CN"/>
        </w:rPr>
        <w:t xml:space="preserve">                                                                                                                          </w:t>
      </w:r>
      <w:r>
        <w:rPr>
          <w:rFonts w:hint="eastAsia" w:ascii="宋体" w:hAnsi="宋体" w:cs="宋体"/>
          <w:kern w:val="0"/>
          <w:sz w:val="20"/>
          <w:szCs w:val="20"/>
        </w:rPr>
        <w:t>单位：</w:t>
      </w:r>
      <w:r>
        <w:rPr>
          <w:rFonts w:ascii="宋体" w:hAnsi="宋体" w:cs="宋体"/>
          <w:kern w:val="0"/>
          <w:sz w:val="20"/>
          <w:szCs w:val="20"/>
        </w:rPr>
        <w:t>万元</w:t>
      </w:r>
    </w:p>
    <w:tbl>
      <w:tblPr>
        <w:tblStyle w:val="5"/>
        <w:tblW w:w="13479" w:type="dxa"/>
        <w:jc w:val="center"/>
        <w:tblLayout w:type="fixed"/>
        <w:tblCellMar>
          <w:top w:w="0" w:type="dxa"/>
          <w:left w:w="108" w:type="dxa"/>
          <w:bottom w:w="0" w:type="dxa"/>
          <w:right w:w="108" w:type="dxa"/>
        </w:tblCellMar>
      </w:tblPr>
      <w:tblGrid>
        <w:gridCol w:w="1283"/>
        <w:gridCol w:w="2825"/>
        <w:gridCol w:w="3075"/>
        <w:gridCol w:w="2900"/>
        <w:gridCol w:w="3396"/>
      </w:tblGrid>
      <w:tr>
        <w:tblPrEx>
          <w:tblCellMar>
            <w:top w:w="0" w:type="dxa"/>
            <w:left w:w="108" w:type="dxa"/>
            <w:bottom w:w="0" w:type="dxa"/>
            <w:right w:w="108" w:type="dxa"/>
          </w:tblCellMar>
        </w:tblPrEx>
        <w:trPr>
          <w:trHeight w:val="300" w:hRule="atLeast"/>
          <w:jc w:val="center"/>
        </w:trPr>
        <w:tc>
          <w:tcPr>
            <w:tcW w:w="41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lang w:eastAsia="zh-CN"/>
              </w:rPr>
              <w:t>支出功能</w:t>
            </w:r>
            <w:r>
              <w:rPr>
                <w:rFonts w:hint="eastAsia" w:asciiTheme="minorEastAsia" w:hAnsiTheme="minorEastAsia" w:eastAsiaTheme="minorEastAsia" w:cstheme="minorEastAsia"/>
                <w:b/>
                <w:bCs/>
                <w:kern w:val="0"/>
                <w:sz w:val="20"/>
                <w:szCs w:val="20"/>
              </w:rPr>
              <w:t>项目</w:t>
            </w:r>
          </w:p>
        </w:tc>
        <w:tc>
          <w:tcPr>
            <w:tcW w:w="30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lang w:eastAsia="zh-CN"/>
              </w:rPr>
              <w:t>支出功能分类</w:t>
            </w:r>
            <w:r>
              <w:rPr>
                <w:rFonts w:hint="eastAsia" w:asciiTheme="minorEastAsia" w:hAnsiTheme="minorEastAsia" w:eastAsiaTheme="minorEastAsia" w:cstheme="minorEastAsia"/>
                <w:b/>
                <w:bCs/>
                <w:kern w:val="0"/>
                <w:sz w:val="20"/>
                <w:szCs w:val="20"/>
              </w:rPr>
              <w:t>科目编码</w:t>
            </w:r>
          </w:p>
        </w:tc>
        <w:tc>
          <w:tcPr>
            <w:tcW w:w="28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科目名称</w:t>
            </w: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108"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栏次</w:t>
            </w:r>
          </w:p>
        </w:tc>
        <w:tc>
          <w:tcPr>
            <w:tcW w:w="3075"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1</w:t>
            </w:r>
          </w:p>
        </w:tc>
        <w:tc>
          <w:tcPr>
            <w:tcW w:w="290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2</w:t>
            </w:r>
          </w:p>
        </w:tc>
        <w:tc>
          <w:tcPr>
            <w:tcW w:w="3396"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108"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0"/>
                <w:szCs w:val="20"/>
              </w:rPr>
              <w:t>合计</w:t>
            </w:r>
          </w:p>
        </w:tc>
        <w:tc>
          <w:tcPr>
            <w:tcW w:w="30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5474.57 </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2477.16 </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2997.41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201</w:t>
            </w:r>
          </w:p>
        </w:tc>
        <w:tc>
          <w:tcPr>
            <w:tcW w:w="2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一般公共服务支出</w:t>
            </w:r>
          </w:p>
        </w:tc>
        <w:tc>
          <w:tcPr>
            <w:tcW w:w="30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4662.39 </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1834.12 </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2828.27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20103</w:t>
            </w:r>
          </w:p>
        </w:tc>
        <w:tc>
          <w:tcPr>
            <w:tcW w:w="2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政府办公厅（室）及相关机构事务</w:t>
            </w:r>
          </w:p>
        </w:tc>
        <w:tc>
          <w:tcPr>
            <w:tcW w:w="30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4662.39 </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1834.12 </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2828.27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2010301</w:t>
            </w:r>
          </w:p>
        </w:tc>
        <w:tc>
          <w:tcPr>
            <w:tcW w:w="2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行政运行</w:t>
            </w:r>
          </w:p>
        </w:tc>
        <w:tc>
          <w:tcPr>
            <w:tcW w:w="30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882.78 </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882.78 </w:t>
            </w:r>
          </w:p>
        </w:tc>
        <w:tc>
          <w:tcPr>
            <w:tcW w:w="3396"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2010306</w:t>
            </w:r>
          </w:p>
        </w:tc>
        <w:tc>
          <w:tcPr>
            <w:tcW w:w="2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政务公开审批</w:t>
            </w:r>
          </w:p>
        </w:tc>
        <w:tc>
          <w:tcPr>
            <w:tcW w:w="30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2828.27 </w:t>
            </w:r>
          </w:p>
        </w:tc>
        <w:tc>
          <w:tcPr>
            <w:tcW w:w="290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2828.27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2010350</w:t>
            </w:r>
          </w:p>
        </w:tc>
        <w:tc>
          <w:tcPr>
            <w:tcW w:w="2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事业运行</w:t>
            </w:r>
          </w:p>
        </w:tc>
        <w:tc>
          <w:tcPr>
            <w:tcW w:w="30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951.35 </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951.35 </w:t>
            </w:r>
          </w:p>
        </w:tc>
        <w:tc>
          <w:tcPr>
            <w:tcW w:w="3396"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208</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社会保障和就业支出</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271.66 </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271.66 </w:t>
            </w:r>
          </w:p>
        </w:tc>
        <w:tc>
          <w:tcPr>
            <w:tcW w:w="339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20805</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行政事业单位离退休</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271.66 </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271.66 </w:t>
            </w:r>
          </w:p>
        </w:tc>
        <w:tc>
          <w:tcPr>
            <w:tcW w:w="339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2080501</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归口管理的行政单位离退休</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5.02 </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5.02 </w:t>
            </w:r>
          </w:p>
        </w:tc>
        <w:tc>
          <w:tcPr>
            <w:tcW w:w="339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2080502</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事业单位离退休</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2.90 </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2.90 </w:t>
            </w:r>
          </w:p>
        </w:tc>
        <w:tc>
          <w:tcPr>
            <w:tcW w:w="339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2080505</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机关事业单位基本养老保险缴费支出</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263.73 </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263.73 </w:t>
            </w:r>
          </w:p>
        </w:tc>
        <w:tc>
          <w:tcPr>
            <w:tcW w:w="339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210</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卫生健康支出</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172.32 </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172.32 </w:t>
            </w:r>
          </w:p>
        </w:tc>
        <w:tc>
          <w:tcPr>
            <w:tcW w:w="339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21011</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行政事业单位医疗</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172.32 </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172.32 </w:t>
            </w:r>
          </w:p>
        </w:tc>
        <w:tc>
          <w:tcPr>
            <w:tcW w:w="339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2101101</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行政单位医疗支出</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20"/>
                <w:szCs w:val="20"/>
                <w:lang w:val="en-US"/>
              </w:rPr>
            </w:pPr>
            <w:r>
              <w:rPr>
                <w:rFonts w:hint="eastAsia" w:asciiTheme="minorEastAsia" w:hAnsiTheme="minorEastAsia" w:eastAsiaTheme="minorEastAsia" w:cstheme="minorEastAsia"/>
                <w:i w:val="0"/>
                <w:color w:val="000000"/>
                <w:kern w:val="0"/>
                <w:sz w:val="20"/>
                <w:szCs w:val="20"/>
                <w:u w:val="none"/>
                <w:lang w:val="en-US" w:eastAsia="zh-CN" w:bidi="ar"/>
              </w:rPr>
              <w:t>56.00</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20"/>
                <w:szCs w:val="20"/>
                <w:lang w:val="en-US"/>
              </w:rPr>
            </w:pPr>
            <w:r>
              <w:rPr>
                <w:rFonts w:hint="eastAsia" w:asciiTheme="minorEastAsia" w:hAnsiTheme="minorEastAsia" w:eastAsiaTheme="minorEastAsia" w:cstheme="minorEastAsia"/>
                <w:i w:val="0"/>
                <w:color w:val="000000"/>
                <w:kern w:val="0"/>
                <w:sz w:val="20"/>
                <w:szCs w:val="20"/>
                <w:u w:val="none"/>
                <w:lang w:val="en-US" w:eastAsia="zh-CN" w:bidi="ar"/>
              </w:rPr>
              <w:t>56.00</w:t>
            </w:r>
          </w:p>
        </w:tc>
        <w:tc>
          <w:tcPr>
            <w:tcW w:w="339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2101102</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事业单位医疗支出</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54.54 </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54.54 </w:t>
            </w:r>
          </w:p>
        </w:tc>
        <w:tc>
          <w:tcPr>
            <w:tcW w:w="339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2101103</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公务员医疗补助</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61.78 </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61.78 </w:t>
            </w:r>
          </w:p>
        </w:tc>
        <w:tc>
          <w:tcPr>
            <w:tcW w:w="339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215</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资源勘探信息等支出</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169.14 </w:t>
            </w:r>
          </w:p>
        </w:tc>
        <w:tc>
          <w:tcPr>
            <w:tcW w:w="2900"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33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169.14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21508</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支持中小企业发展专项</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169.14 </w:t>
            </w:r>
          </w:p>
        </w:tc>
        <w:tc>
          <w:tcPr>
            <w:tcW w:w="2900"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33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169.14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2150805</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中小企业发展专项</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169.14 </w:t>
            </w:r>
          </w:p>
        </w:tc>
        <w:tc>
          <w:tcPr>
            <w:tcW w:w="2900"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33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169.14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221</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住房保障支出</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199.06 </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199.06 </w:t>
            </w:r>
          </w:p>
        </w:tc>
        <w:tc>
          <w:tcPr>
            <w:tcW w:w="339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22102</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住房改革支出</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199.06 </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199.06 </w:t>
            </w:r>
          </w:p>
        </w:tc>
        <w:tc>
          <w:tcPr>
            <w:tcW w:w="339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2210201</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住房公积金</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184.66 </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184.66 </w:t>
            </w:r>
          </w:p>
        </w:tc>
        <w:tc>
          <w:tcPr>
            <w:tcW w:w="339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2210203</w:t>
            </w:r>
          </w:p>
        </w:tc>
        <w:tc>
          <w:tcPr>
            <w:tcW w:w="2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购房补贴</w:t>
            </w:r>
          </w:p>
        </w:tc>
        <w:tc>
          <w:tcPr>
            <w:tcW w:w="30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14.40 </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14.40 </w:t>
            </w:r>
          </w:p>
        </w:tc>
        <w:tc>
          <w:tcPr>
            <w:tcW w:w="339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bl>
    <w:p>
      <w:pPr>
        <w:rPr>
          <w:rFonts w:hint="eastAsia" w:asciiTheme="minorEastAsia" w:hAnsiTheme="minorEastAsia" w:eastAsiaTheme="minorEastAsia" w:cstheme="minorEastAsia"/>
          <w:sz w:val="20"/>
          <w:szCs w:val="20"/>
        </w:rPr>
      </w:pP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注：本表反映部门本年度一般公共预算财政拨款实际支出情况。</w:t>
      </w:r>
    </w:p>
    <w:p>
      <w:pPr>
        <w:rPr>
          <w:rFonts w:hint="eastAsia" w:asciiTheme="minorEastAsia" w:hAnsiTheme="minorEastAsia" w:eastAsiaTheme="minorEastAsia" w:cstheme="minorEastAsia"/>
          <w:sz w:val="20"/>
          <w:szCs w:val="20"/>
        </w:rPr>
      </w:pPr>
    </w:p>
    <w:p>
      <w:pPr>
        <w:rPr>
          <w:rFonts w:hint="eastAsia" w:asciiTheme="minorEastAsia" w:hAnsiTheme="minorEastAsia" w:eastAsiaTheme="minorEastAsia" w:cstheme="minorEastAsia"/>
          <w:sz w:val="20"/>
          <w:szCs w:val="20"/>
        </w:rPr>
      </w:pPr>
    </w:p>
    <w:p>
      <w:pPr>
        <w:rPr>
          <w:rFonts w:hint="eastAsia" w:asciiTheme="minorEastAsia" w:hAnsiTheme="minorEastAsia" w:eastAsiaTheme="minorEastAsia" w:cstheme="minorEastAsia"/>
          <w:sz w:val="20"/>
          <w:szCs w:val="20"/>
        </w:rPr>
      </w:pPr>
    </w:p>
    <w:p>
      <w:pPr>
        <w:rPr>
          <w:rFonts w:hint="eastAsia" w:asciiTheme="minorEastAsia" w:hAnsiTheme="minorEastAsia" w:eastAsiaTheme="minorEastAsia" w:cstheme="minorEastAsia"/>
          <w:sz w:val="20"/>
          <w:szCs w:val="20"/>
        </w:rPr>
      </w:pPr>
    </w:p>
    <w:p>
      <w:pPr>
        <w:rPr>
          <w:rFonts w:hint="eastAsia" w:asciiTheme="minorEastAsia" w:hAnsiTheme="minorEastAsia" w:eastAsiaTheme="minorEastAsia" w:cstheme="minorEastAsia"/>
          <w:sz w:val="20"/>
          <w:szCs w:val="20"/>
        </w:rPr>
      </w:pPr>
    </w:p>
    <w:p>
      <w:pPr>
        <w:rPr>
          <w:rFonts w:hint="eastAsia" w:asciiTheme="minorEastAsia" w:hAnsiTheme="minorEastAsia" w:eastAsiaTheme="minorEastAsia" w:cstheme="minorEastAsia"/>
          <w:sz w:val="20"/>
          <w:szCs w:val="20"/>
        </w:rPr>
      </w:pPr>
    </w:p>
    <w:p>
      <w:pPr>
        <w:rPr>
          <w:rFonts w:hint="eastAsia" w:asciiTheme="minorEastAsia" w:hAnsiTheme="minorEastAsia" w:eastAsiaTheme="minorEastAsia" w:cstheme="minorEastAsia"/>
          <w:sz w:val="20"/>
          <w:szCs w:val="20"/>
        </w:rPr>
      </w:pPr>
    </w:p>
    <w:p>
      <w:pPr>
        <w:sectPr>
          <w:pgSz w:w="16838" w:h="11906" w:orient="landscape"/>
          <w:pgMar w:top="1377" w:right="1440" w:bottom="1797" w:left="1440" w:header="851" w:footer="992" w:gutter="0"/>
          <w:pgNumType w:fmt="numberInDash"/>
          <w:cols w:space="720" w:num="1"/>
          <w:docGrid w:type="lines" w:linePitch="312" w:charSpace="0"/>
        </w:sect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keepNext w:val="0"/>
        <w:keepLines w:val="0"/>
        <w:pageBreakBefore w:val="0"/>
        <w:widowControl w:val="0"/>
        <w:kinsoku/>
        <w:wordWrap/>
        <w:overflowPunct/>
        <w:topLinePunct w:val="0"/>
        <w:autoSpaceDE/>
        <w:autoSpaceDN/>
        <w:bidi w:val="0"/>
        <w:adjustRightInd/>
        <w:snapToGrid/>
        <w:spacing w:line="120" w:lineRule="auto"/>
        <w:jc w:val="right"/>
        <w:textAlignment w:val="auto"/>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单位：万元</w:t>
      </w:r>
    </w:p>
    <w:tbl>
      <w:tblPr>
        <w:tblStyle w:val="5"/>
        <w:tblpPr w:leftFromText="180" w:rightFromText="180" w:vertAnchor="text" w:horzAnchor="page" w:tblpX="1474" w:tblpY="299"/>
        <w:tblOverlap w:val="never"/>
        <w:tblW w:w="9151" w:type="dxa"/>
        <w:tblInd w:w="0" w:type="dxa"/>
        <w:tblLayout w:type="fixed"/>
        <w:tblCellMar>
          <w:top w:w="0" w:type="dxa"/>
          <w:left w:w="108" w:type="dxa"/>
          <w:bottom w:w="0" w:type="dxa"/>
          <w:right w:w="108" w:type="dxa"/>
        </w:tblCellMar>
      </w:tblPr>
      <w:tblGrid>
        <w:gridCol w:w="1123"/>
        <w:gridCol w:w="2835"/>
        <w:gridCol w:w="1029"/>
        <w:gridCol w:w="849"/>
        <w:gridCol w:w="2103"/>
        <w:gridCol w:w="1212"/>
      </w:tblGrid>
      <w:tr>
        <w:tblPrEx>
          <w:tblCellMar>
            <w:top w:w="0" w:type="dxa"/>
            <w:left w:w="108" w:type="dxa"/>
            <w:bottom w:w="0" w:type="dxa"/>
            <w:right w:w="108" w:type="dxa"/>
          </w:tblCellMar>
        </w:tblPrEx>
        <w:trPr>
          <w:trHeight w:val="564" w:hRule="atLeast"/>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公用经费</w:t>
            </w:r>
          </w:p>
        </w:tc>
      </w:tr>
      <w:tr>
        <w:tblPrEx>
          <w:tblCellMar>
            <w:top w:w="0" w:type="dxa"/>
            <w:left w:w="108" w:type="dxa"/>
            <w:bottom w:w="0" w:type="dxa"/>
            <w:right w:w="108" w:type="dxa"/>
          </w:tblCellMar>
        </w:tblPrEx>
        <w:trPr>
          <w:trHeight w:val="312" w:hRule="atLeast"/>
        </w:trPr>
        <w:tc>
          <w:tcPr>
            <w:tcW w:w="1123"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支出经济分类科目编码</w:t>
            </w:r>
          </w:p>
        </w:tc>
        <w:tc>
          <w:tcPr>
            <w:tcW w:w="283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科目名称</w:t>
            </w:r>
          </w:p>
        </w:tc>
        <w:tc>
          <w:tcPr>
            <w:tcW w:w="1029"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lang w:eastAsia="zh-CN"/>
              </w:rPr>
            </w:pPr>
            <w:r>
              <w:rPr>
                <w:rFonts w:hint="eastAsia" w:asciiTheme="minorEastAsia" w:hAnsiTheme="minorEastAsia" w:eastAsiaTheme="minorEastAsia" w:cstheme="minorEastAsia"/>
                <w:b/>
                <w:bCs/>
                <w:color w:val="000000"/>
                <w:kern w:val="0"/>
                <w:sz w:val="20"/>
                <w:szCs w:val="20"/>
                <w:lang w:eastAsia="zh-CN"/>
              </w:rPr>
              <w:t>金额</w:t>
            </w:r>
          </w:p>
        </w:tc>
        <w:tc>
          <w:tcPr>
            <w:tcW w:w="849"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经济分类科目编码</w:t>
            </w:r>
          </w:p>
        </w:tc>
        <w:tc>
          <w:tcPr>
            <w:tcW w:w="210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科目名称</w:t>
            </w:r>
          </w:p>
        </w:tc>
        <w:tc>
          <w:tcPr>
            <w:tcW w:w="1212"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金额</w:t>
            </w:r>
          </w:p>
        </w:tc>
      </w:tr>
      <w:tr>
        <w:tblPrEx>
          <w:tblCellMar>
            <w:top w:w="0" w:type="dxa"/>
            <w:left w:w="108" w:type="dxa"/>
            <w:bottom w:w="0" w:type="dxa"/>
            <w:right w:w="108" w:type="dxa"/>
          </w:tblCellMar>
        </w:tblPrEx>
        <w:trPr>
          <w:trHeight w:val="264"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301</w:t>
            </w:r>
          </w:p>
        </w:tc>
        <w:tc>
          <w:tcPr>
            <w:tcW w:w="28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工资福利支出</w:t>
            </w:r>
          </w:p>
        </w:tc>
        <w:tc>
          <w:tcPr>
            <w:tcW w:w="102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2144.33 </w:t>
            </w:r>
          </w:p>
        </w:tc>
        <w:tc>
          <w:tcPr>
            <w:tcW w:w="849" w:type="dxa"/>
            <w:tcBorders>
              <w:top w:val="nil"/>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302</w:t>
            </w:r>
          </w:p>
        </w:tc>
        <w:tc>
          <w:tcPr>
            <w:tcW w:w="2103" w:type="dxa"/>
            <w:tcBorders>
              <w:top w:val="nil"/>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商品和服务支出</w:t>
            </w:r>
            <w:r>
              <w:rPr>
                <w:rFonts w:hint="eastAsia" w:asciiTheme="minorEastAsia" w:hAnsiTheme="minorEastAsia" w:eastAsiaTheme="minorEastAsia" w:cstheme="minorEastAsia"/>
                <w:color w:val="000000"/>
                <w:kern w:val="0"/>
                <w:sz w:val="20"/>
                <w:szCs w:val="20"/>
              </w:rPr>
              <w:t>　</w:t>
            </w:r>
          </w:p>
        </w:tc>
        <w:tc>
          <w:tcPr>
            <w:tcW w:w="121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324.90 </w:t>
            </w:r>
          </w:p>
        </w:tc>
      </w:tr>
      <w:tr>
        <w:tblPrEx>
          <w:tblCellMar>
            <w:top w:w="0" w:type="dxa"/>
            <w:left w:w="108" w:type="dxa"/>
            <w:bottom w:w="0" w:type="dxa"/>
            <w:right w:w="108" w:type="dxa"/>
          </w:tblCellMar>
        </w:tblPrEx>
        <w:trPr>
          <w:trHeight w:val="264"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30101</w:t>
            </w:r>
          </w:p>
        </w:tc>
        <w:tc>
          <w:tcPr>
            <w:tcW w:w="28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基本工资</w:t>
            </w:r>
          </w:p>
        </w:tc>
        <w:tc>
          <w:tcPr>
            <w:tcW w:w="102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619.75 </w:t>
            </w:r>
          </w:p>
        </w:tc>
        <w:tc>
          <w:tcPr>
            <w:tcW w:w="849"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30201</w:t>
            </w:r>
          </w:p>
        </w:tc>
        <w:tc>
          <w:tcPr>
            <w:tcW w:w="2103" w:type="dxa"/>
            <w:tcBorders>
              <w:top w:val="nil"/>
              <w:left w:val="nil"/>
              <w:bottom w:val="single" w:color="auto" w:sz="4" w:space="0"/>
              <w:right w:val="single" w:color="auto" w:sz="4" w:space="0"/>
            </w:tcBorders>
            <w:vAlign w:val="center"/>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办公费</w:t>
            </w:r>
            <w:r>
              <w:rPr>
                <w:rFonts w:hint="eastAsia" w:asciiTheme="minorEastAsia" w:hAnsiTheme="minorEastAsia" w:eastAsiaTheme="minorEastAsia" w:cstheme="minorEastAsia"/>
                <w:color w:val="000000"/>
                <w:kern w:val="0"/>
                <w:sz w:val="20"/>
                <w:szCs w:val="20"/>
              </w:rPr>
              <w:t>　</w:t>
            </w:r>
          </w:p>
        </w:tc>
        <w:tc>
          <w:tcPr>
            <w:tcW w:w="121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24.08 </w:t>
            </w:r>
          </w:p>
        </w:tc>
      </w:tr>
      <w:tr>
        <w:tblPrEx>
          <w:tblCellMar>
            <w:top w:w="0" w:type="dxa"/>
            <w:left w:w="108" w:type="dxa"/>
            <w:bottom w:w="0" w:type="dxa"/>
            <w:right w:w="108" w:type="dxa"/>
          </w:tblCellMar>
        </w:tblPrEx>
        <w:trPr>
          <w:trHeight w:val="264"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30102</w:t>
            </w:r>
          </w:p>
        </w:tc>
        <w:tc>
          <w:tcPr>
            <w:tcW w:w="28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津贴补贴</w:t>
            </w:r>
          </w:p>
        </w:tc>
        <w:tc>
          <w:tcPr>
            <w:tcW w:w="102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251.75 </w:t>
            </w:r>
          </w:p>
        </w:tc>
        <w:tc>
          <w:tcPr>
            <w:tcW w:w="849"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30202</w:t>
            </w:r>
          </w:p>
        </w:tc>
        <w:tc>
          <w:tcPr>
            <w:tcW w:w="2103" w:type="dxa"/>
            <w:tcBorders>
              <w:top w:val="nil"/>
              <w:left w:val="nil"/>
              <w:bottom w:val="single" w:color="auto" w:sz="4" w:space="0"/>
              <w:right w:val="single" w:color="auto" w:sz="4" w:space="0"/>
            </w:tcBorders>
            <w:vAlign w:val="center"/>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印刷费</w:t>
            </w:r>
            <w:r>
              <w:rPr>
                <w:rFonts w:hint="eastAsia" w:asciiTheme="minorEastAsia" w:hAnsiTheme="minorEastAsia" w:eastAsiaTheme="minorEastAsia" w:cstheme="minorEastAsia"/>
                <w:color w:val="000000"/>
                <w:kern w:val="0"/>
                <w:sz w:val="20"/>
                <w:szCs w:val="20"/>
              </w:rPr>
              <w:t>　</w:t>
            </w:r>
          </w:p>
        </w:tc>
        <w:tc>
          <w:tcPr>
            <w:tcW w:w="1212"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76"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30103</w:t>
            </w:r>
          </w:p>
        </w:tc>
        <w:tc>
          <w:tcPr>
            <w:tcW w:w="28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奖金</w:t>
            </w:r>
          </w:p>
        </w:tc>
        <w:tc>
          <w:tcPr>
            <w:tcW w:w="102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183.13 </w:t>
            </w:r>
          </w:p>
        </w:tc>
        <w:tc>
          <w:tcPr>
            <w:tcW w:w="849" w:type="dxa"/>
            <w:tcBorders>
              <w:top w:val="nil"/>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30203</w:t>
            </w:r>
          </w:p>
        </w:tc>
        <w:tc>
          <w:tcPr>
            <w:tcW w:w="2103" w:type="dxa"/>
            <w:tcBorders>
              <w:top w:val="nil"/>
              <w:left w:val="nil"/>
              <w:bottom w:val="single" w:color="auto" w:sz="4" w:space="0"/>
              <w:right w:val="single" w:color="auto" w:sz="4" w:space="0"/>
            </w:tcBorders>
            <w:vAlign w:val="bottom"/>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咨询费</w:t>
            </w:r>
            <w:r>
              <w:rPr>
                <w:rFonts w:hint="eastAsia" w:asciiTheme="minorEastAsia" w:hAnsiTheme="minorEastAsia" w:eastAsiaTheme="minorEastAsia" w:cstheme="minorEastAsia"/>
                <w:color w:val="000000"/>
                <w:kern w:val="0"/>
                <w:sz w:val="20"/>
                <w:szCs w:val="20"/>
              </w:rPr>
              <w:t>　</w:t>
            </w:r>
          </w:p>
        </w:tc>
        <w:tc>
          <w:tcPr>
            <w:tcW w:w="1212"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76"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30106</w:t>
            </w:r>
          </w:p>
        </w:tc>
        <w:tc>
          <w:tcPr>
            <w:tcW w:w="28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伙食补助费</w:t>
            </w:r>
          </w:p>
        </w:tc>
        <w:tc>
          <w:tcPr>
            <w:tcW w:w="1029"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849" w:type="dxa"/>
            <w:tcBorders>
              <w:top w:val="nil"/>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30204</w:t>
            </w:r>
          </w:p>
        </w:tc>
        <w:tc>
          <w:tcPr>
            <w:tcW w:w="2103" w:type="dxa"/>
            <w:tcBorders>
              <w:top w:val="nil"/>
              <w:left w:val="nil"/>
              <w:bottom w:val="single" w:color="auto" w:sz="4" w:space="0"/>
              <w:right w:val="single" w:color="auto" w:sz="4" w:space="0"/>
            </w:tcBorders>
            <w:vAlign w:val="bottom"/>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手续费</w:t>
            </w:r>
            <w:r>
              <w:rPr>
                <w:rFonts w:hint="eastAsia" w:asciiTheme="minorEastAsia" w:hAnsiTheme="minorEastAsia" w:eastAsiaTheme="minorEastAsia" w:cstheme="minorEastAsia"/>
                <w:color w:val="000000"/>
                <w:kern w:val="0"/>
                <w:sz w:val="20"/>
                <w:szCs w:val="20"/>
              </w:rPr>
              <w:t>　</w:t>
            </w:r>
          </w:p>
        </w:tc>
        <w:tc>
          <w:tcPr>
            <w:tcW w:w="1212"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97"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30107</w:t>
            </w:r>
          </w:p>
        </w:tc>
        <w:tc>
          <w:tcPr>
            <w:tcW w:w="28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绩效工资</w:t>
            </w:r>
          </w:p>
        </w:tc>
        <w:tc>
          <w:tcPr>
            <w:tcW w:w="102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459.68 </w:t>
            </w:r>
          </w:p>
        </w:tc>
        <w:tc>
          <w:tcPr>
            <w:tcW w:w="849"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30205</w:t>
            </w:r>
          </w:p>
        </w:tc>
        <w:tc>
          <w:tcPr>
            <w:tcW w:w="2103" w:type="dxa"/>
            <w:tcBorders>
              <w:top w:val="nil"/>
              <w:left w:val="nil"/>
              <w:bottom w:val="single" w:color="auto" w:sz="4" w:space="0"/>
              <w:right w:val="single" w:color="auto" w:sz="4" w:space="0"/>
            </w:tcBorders>
            <w:vAlign w:val="center"/>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水费</w:t>
            </w:r>
            <w:r>
              <w:rPr>
                <w:rFonts w:hint="eastAsia" w:asciiTheme="minorEastAsia" w:hAnsiTheme="minorEastAsia" w:eastAsiaTheme="minorEastAsia" w:cstheme="minorEastAsia"/>
                <w:color w:val="000000"/>
                <w:kern w:val="0"/>
                <w:sz w:val="20"/>
                <w:szCs w:val="20"/>
              </w:rPr>
              <w:t>　</w:t>
            </w:r>
          </w:p>
        </w:tc>
        <w:tc>
          <w:tcPr>
            <w:tcW w:w="1212"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76"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30108</w:t>
            </w:r>
          </w:p>
        </w:tc>
        <w:tc>
          <w:tcPr>
            <w:tcW w:w="28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机关事业单位基本养老保险缴费</w:t>
            </w:r>
          </w:p>
        </w:tc>
        <w:tc>
          <w:tcPr>
            <w:tcW w:w="102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263.73 </w:t>
            </w:r>
          </w:p>
        </w:tc>
        <w:tc>
          <w:tcPr>
            <w:tcW w:w="849"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30206</w:t>
            </w:r>
          </w:p>
        </w:tc>
        <w:tc>
          <w:tcPr>
            <w:tcW w:w="2103" w:type="dxa"/>
            <w:tcBorders>
              <w:top w:val="nil"/>
              <w:left w:val="nil"/>
              <w:bottom w:val="single" w:color="auto" w:sz="4" w:space="0"/>
              <w:right w:val="single" w:color="auto" w:sz="4" w:space="0"/>
            </w:tcBorders>
            <w:vAlign w:val="center"/>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电费</w:t>
            </w:r>
            <w:r>
              <w:rPr>
                <w:rFonts w:hint="eastAsia" w:asciiTheme="minorEastAsia" w:hAnsiTheme="minorEastAsia" w:eastAsiaTheme="minorEastAsia" w:cstheme="minorEastAsia"/>
                <w:color w:val="000000"/>
                <w:kern w:val="0"/>
                <w:sz w:val="20"/>
                <w:szCs w:val="20"/>
              </w:rPr>
              <w:t>　</w:t>
            </w:r>
          </w:p>
        </w:tc>
        <w:tc>
          <w:tcPr>
            <w:tcW w:w="1212"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76"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30109</w:t>
            </w:r>
          </w:p>
        </w:tc>
        <w:tc>
          <w:tcPr>
            <w:tcW w:w="28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职业年金缴费</w:t>
            </w:r>
          </w:p>
        </w:tc>
        <w:tc>
          <w:tcPr>
            <w:tcW w:w="1029"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849" w:type="dxa"/>
            <w:tcBorders>
              <w:top w:val="nil"/>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30207</w:t>
            </w:r>
          </w:p>
        </w:tc>
        <w:tc>
          <w:tcPr>
            <w:tcW w:w="2103" w:type="dxa"/>
            <w:tcBorders>
              <w:top w:val="nil"/>
              <w:left w:val="nil"/>
              <w:bottom w:val="single" w:color="auto" w:sz="4" w:space="0"/>
              <w:right w:val="single" w:color="auto" w:sz="4" w:space="0"/>
            </w:tcBorders>
            <w:vAlign w:val="bottom"/>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邮电费</w:t>
            </w:r>
            <w:r>
              <w:rPr>
                <w:rFonts w:hint="eastAsia" w:asciiTheme="minorEastAsia" w:hAnsiTheme="minorEastAsia" w:eastAsiaTheme="minorEastAsia" w:cstheme="minorEastAsia"/>
                <w:color w:val="000000"/>
                <w:kern w:val="0"/>
                <w:sz w:val="20"/>
                <w:szCs w:val="20"/>
              </w:rPr>
              <w:t>　</w:t>
            </w:r>
          </w:p>
        </w:tc>
        <w:tc>
          <w:tcPr>
            <w:tcW w:w="121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17.85 </w:t>
            </w:r>
          </w:p>
        </w:tc>
      </w:tr>
      <w:tr>
        <w:tblPrEx>
          <w:tblCellMar>
            <w:top w:w="0" w:type="dxa"/>
            <w:left w:w="108" w:type="dxa"/>
            <w:bottom w:w="0" w:type="dxa"/>
            <w:right w:w="108" w:type="dxa"/>
          </w:tblCellMar>
        </w:tblPrEx>
        <w:trPr>
          <w:trHeight w:val="276"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30110</w:t>
            </w:r>
          </w:p>
        </w:tc>
        <w:tc>
          <w:tcPr>
            <w:tcW w:w="28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职工基本医疗保险缴费</w:t>
            </w:r>
          </w:p>
        </w:tc>
        <w:tc>
          <w:tcPr>
            <w:tcW w:w="102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110.54 </w:t>
            </w:r>
          </w:p>
        </w:tc>
        <w:tc>
          <w:tcPr>
            <w:tcW w:w="849" w:type="dxa"/>
            <w:tcBorders>
              <w:top w:val="nil"/>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30208</w:t>
            </w:r>
          </w:p>
        </w:tc>
        <w:tc>
          <w:tcPr>
            <w:tcW w:w="2103" w:type="dxa"/>
            <w:tcBorders>
              <w:top w:val="nil"/>
              <w:left w:val="nil"/>
              <w:bottom w:val="single" w:color="auto" w:sz="4" w:space="0"/>
              <w:right w:val="single" w:color="auto" w:sz="4" w:space="0"/>
            </w:tcBorders>
            <w:vAlign w:val="bottom"/>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取暖费</w:t>
            </w:r>
            <w:r>
              <w:rPr>
                <w:rFonts w:hint="eastAsia" w:asciiTheme="minorEastAsia" w:hAnsiTheme="minorEastAsia" w:eastAsiaTheme="minorEastAsia" w:cstheme="minorEastAsia"/>
                <w:color w:val="000000"/>
                <w:kern w:val="0"/>
                <w:sz w:val="20"/>
                <w:szCs w:val="20"/>
              </w:rPr>
              <w:t>　</w:t>
            </w:r>
          </w:p>
        </w:tc>
        <w:tc>
          <w:tcPr>
            <w:tcW w:w="1212"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76"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30111</w:t>
            </w:r>
          </w:p>
        </w:tc>
        <w:tc>
          <w:tcPr>
            <w:tcW w:w="28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公务员医疗补助缴费</w:t>
            </w:r>
          </w:p>
        </w:tc>
        <w:tc>
          <w:tcPr>
            <w:tcW w:w="102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61.78 </w:t>
            </w:r>
          </w:p>
        </w:tc>
        <w:tc>
          <w:tcPr>
            <w:tcW w:w="849" w:type="dxa"/>
            <w:tcBorders>
              <w:top w:val="nil"/>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30209</w:t>
            </w:r>
          </w:p>
        </w:tc>
        <w:tc>
          <w:tcPr>
            <w:tcW w:w="2103" w:type="dxa"/>
            <w:tcBorders>
              <w:top w:val="nil"/>
              <w:left w:val="nil"/>
              <w:bottom w:val="single" w:color="auto" w:sz="4" w:space="0"/>
              <w:right w:val="single" w:color="auto" w:sz="4" w:space="0"/>
            </w:tcBorders>
            <w:vAlign w:val="bottom"/>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物业管理费</w:t>
            </w:r>
            <w:r>
              <w:rPr>
                <w:rFonts w:hint="eastAsia" w:asciiTheme="minorEastAsia" w:hAnsiTheme="minorEastAsia" w:eastAsiaTheme="minorEastAsia" w:cstheme="minorEastAsia"/>
                <w:color w:val="000000"/>
                <w:kern w:val="0"/>
                <w:sz w:val="20"/>
                <w:szCs w:val="20"/>
              </w:rPr>
              <w:t>　</w:t>
            </w:r>
          </w:p>
        </w:tc>
        <w:tc>
          <w:tcPr>
            <w:tcW w:w="1212"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76"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30112</w:t>
            </w:r>
          </w:p>
        </w:tc>
        <w:tc>
          <w:tcPr>
            <w:tcW w:w="28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其他社会保障缴费</w:t>
            </w:r>
          </w:p>
        </w:tc>
        <w:tc>
          <w:tcPr>
            <w:tcW w:w="102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9.30 </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30211</w:t>
            </w:r>
          </w:p>
        </w:tc>
        <w:tc>
          <w:tcPr>
            <w:tcW w:w="2103" w:type="dxa"/>
            <w:tcBorders>
              <w:top w:val="nil"/>
              <w:left w:val="nil"/>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差旅费</w:t>
            </w:r>
          </w:p>
        </w:tc>
        <w:tc>
          <w:tcPr>
            <w:tcW w:w="121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23.16 </w:t>
            </w:r>
          </w:p>
        </w:tc>
      </w:tr>
      <w:tr>
        <w:tblPrEx>
          <w:tblCellMar>
            <w:top w:w="0" w:type="dxa"/>
            <w:left w:w="108" w:type="dxa"/>
            <w:bottom w:w="0" w:type="dxa"/>
            <w:right w:w="108" w:type="dxa"/>
          </w:tblCellMar>
        </w:tblPrEx>
        <w:trPr>
          <w:trHeight w:val="276"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30113</w:t>
            </w:r>
          </w:p>
        </w:tc>
        <w:tc>
          <w:tcPr>
            <w:tcW w:w="28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住房公积金</w:t>
            </w:r>
          </w:p>
        </w:tc>
        <w:tc>
          <w:tcPr>
            <w:tcW w:w="102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184.66 </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30212</w:t>
            </w:r>
          </w:p>
        </w:tc>
        <w:tc>
          <w:tcPr>
            <w:tcW w:w="2103" w:type="dxa"/>
            <w:tcBorders>
              <w:top w:val="nil"/>
              <w:left w:val="nil"/>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因公出国（境）费用</w:t>
            </w:r>
          </w:p>
        </w:tc>
        <w:tc>
          <w:tcPr>
            <w:tcW w:w="1212"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76"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30114</w:t>
            </w:r>
          </w:p>
        </w:tc>
        <w:tc>
          <w:tcPr>
            <w:tcW w:w="28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医疗费</w:t>
            </w:r>
          </w:p>
        </w:tc>
        <w:tc>
          <w:tcPr>
            <w:tcW w:w="1029"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30213</w:t>
            </w:r>
          </w:p>
        </w:tc>
        <w:tc>
          <w:tcPr>
            <w:tcW w:w="2103" w:type="dxa"/>
            <w:tcBorders>
              <w:top w:val="nil"/>
              <w:left w:val="nil"/>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维修（护）费</w:t>
            </w:r>
          </w:p>
        </w:tc>
        <w:tc>
          <w:tcPr>
            <w:tcW w:w="1212"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35"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30199</w:t>
            </w:r>
          </w:p>
        </w:tc>
        <w:tc>
          <w:tcPr>
            <w:tcW w:w="28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其他工资福利支出</w:t>
            </w:r>
          </w:p>
        </w:tc>
        <w:tc>
          <w:tcPr>
            <w:tcW w:w="1029"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30214</w:t>
            </w:r>
          </w:p>
        </w:tc>
        <w:tc>
          <w:tcPr>
            <w:tcW w:w="2103" w:type="dxa"/>
            <w:tcBorders>
              <w:top w:val="nil"/>
              <w:left w:val="nil"/>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租赁费</w:t>
            </w:r>
          </w:p>
        </w:tc>
        <w:tc>
          <w:tcPr>
            <w:tcW w:w="1212"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404"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303</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对个人和家庭的补助</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7.93 </w:t>
            </w: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30215</w:t>
            </w: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会议费</w:t>
            </w:r>
          </w:p>
        </w:tc>
        <w:tc>
          <w:tcPr>
            <w:tcW w:w="12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1.49 </w:t>
            </w:r>
          </w:p>
        </w:tc>
      </w:tr>
      <w:tr>
        <w:tblPrEx>
          <w:tblCellMar>
            <w:top w:w="0" w:type="dxa"/>
            <w:left w:w="108" w:type="dxa"/>
            <w:bottom w:w="0" w:type="dxa"/>
            <w:right w:w="108" w:type="dxa"/>
          </w:tblCellMar>
        </w:tblPrEx>
        <w:trPr>
          <w:trHeight w:val="279"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30301</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离休费</w:t>
            </w:r>
          </w:p>
        </w:tc>
        <w:tc>
          <w:tcPr>
            <w:tcW w:w="102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30216</w:t>
            </w: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培训费</w:t>
            </w:r>
          </w:p>
        </w:tc>
        <w:tc>
          <w:tcPr>
            <w:tcW w:w="12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8.63 </w:t>
            </w:r>
          </w:p>
        </w:tc>
      </w:tr>
      <w:tr>
        <w:tblPrEx>
          <w:tblCellMar>
            <w:top w:w="0" w:type="dxa"/>
            <w:left w:w="108" w:type="dxa"/>
            <w:bottom w:w="0" w:type="dxa"/>
            <w:right w:w="108" w:type="dxa"/>
          </w:tblCellMar>
        </w:tblPrEx>
        <w:trPr>
          <w:trHeight w:val="372"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30302</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退休费</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3.83 </w:t>
            </w: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30217</w:t>
            </w: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公务接待费</w:t>
            </w:r>
          </w:p>
        </w:tc>
        <w:tc>
          <w:tcPr>
            <w:tcW w:w="12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2.20 </w:t>
            </w:r>
          </w:p>
        </w:tc>
      </w:tr>
      <w:tr>
        <w:tblPrEx>
          <w:tblCellMar>
            <w:top w:w="0" w:type="dxa"/>
            <w:left w:w="108" w:type="dxa"/>
            <w:bottom w:w="0" w:type="dxa"/>
            <w:right w:w="108" w:type="dxa"/>
          </w:tblCellMar>
        </w:tblPrEx>
        <w:trPr>
          <w:trHeight w:val="312"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30303</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退职（役）费</w:t>
            </w:r>
          </w:p>
        </w:tc>
        <w:tc>
          <w:tcPr>
            <w:tcW w:w="102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30218</w:t>
            </w: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专用材料费</w:t>
            </w:r>
          </w:p>
        </w:tc>
        <w:tc>
          <w:tcPr>
            <w:tcW w:w="1212"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312"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30304</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抚恤金</w:t>
            </w:r>
          </w:p>
        </w:tc>
        <w:tc>
          <w:tcPr>
            <w:tcW w:w="102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30224</w:t>
            </w: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被装购置费</w:t>
            </w:r>
          </w:p>
        </w:tc>
        <w:tc>
          <w:tcPr>
            <w:tcW w:w="1212"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312"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30305</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生活补助</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4.10 </w:t>
            </w: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30225</w:t>
            </w: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专用燃料费</w:t>
            </w:r>
          </w:p>
        </w:tc>
        <w:tc>
          <w:tcPr>
            <w:tcW w:w="1212"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357"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30306</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救济费</w:t>
            </w:r>
          </w:p>
        </w:tc>
        <w:tc>
          <w:tcPr>
            <w:tcW w:w="102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30226</w:t>
            </w: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劳务费</w:t>
            </w:r>
          </w:p>
        </w:tc>
        <w:tc>
          <w:tcPr>
            <w:tcW w:w="1212"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387"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30307</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医疗费补助</w:t>
            </w:r>
          </w:p>
        </w:tc>
        <w:tc>
          <w:tcPr>
            <w:tcW w:w="102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30227</w:t>
            </w: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委托业务费</w:t>
            </w:r>
          </w:p>
        </w:tc>
        <w:tc>
          <w:tcPr>
            <w:tcW w:w="1212"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97"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30308</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助学金</w:t>
            </w:r>
          </w:p>
        </w:tc>
        <w:tc>
          <w:tcPr>
            <w:tcW w:w="102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30228</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工会经费</w:t>
            </w:r>
          </w:p>
        </w:tc>
        <w:tc>
          <w:tcPr>
            <w:tcW w:w="12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46.90 </w:t>
            </w:r>
          </w:p>
        </w:tc>
      </w:tr>
      <w:tr>
        <w:tblPrEx>
          <w:tblCellMar>
            <w:top w:w="0" w:type="dxa"/>
            <w:left w:w="108" w:type="dxa"/>
            <w:bottom w:w="0" w:type="dxa"/>
            <w:right w:w="108" w:type="dxa"/>
          </w:tblCellMar>
        </w:tblPrEx>
        <w:trPr>
          <w:trHeight w:val="276"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30309</w:t>
            </w:r>
          </w:p>
        </w:tc>
        <w:tc>
          <w:tcPr>
            <w:tcW w:w="28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奖励金</w:t>
            </w:r>
          </w:p>
        </w:tc>
        <w:tc>
          <w:tcPr>
            <w:tcW w:w="1029"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30229</w:t>
            </w:r>
          </w:p>
        </w:tc>
        <w:tc>
          <w:tcPr>
            <w:tcW w:w="21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福利费</w:t>
            </w:r>
          </w:p>
        </w:tc>
        <w:tc>
          <w:tcPr>
            <w:tcW w:w="121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0.33 </w:t>
            </w:r>
          </w:p>
        </w:tc>
      </w:tr>
      <w:tr>
        <w:tblPrEx>
          <w:tblCellMar>
            <w:top w:w="0" w:type="dxa"/>
            <w:left w:w="108" w:type="dxa"/>
            <w:bottom w:w="0" w:type="dxa"/>
            <w:right w:w="108" w:type="dxa"/>
          </w:tblCellMar>
        </w:tblPrEx>
        <w:trPr>
          <w:trHeight w:val="276"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30310</w:t>
            </w:r>
          </w:p>
        </w:tc>
        <w:tc>
          <w:tcPr>
            <w:tcW w:w="28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个人农业生产补贴</w:t>
            </w:r>
          </w:p>
        </w:tc>
        <w:tc>
          <w:tcPr>
            <w:tcW w:w="1029"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30231</w:t>
            </w:r>
          </w:p>
        </w:tc>
        <w:tc>
          <w:tcPr>
            <w:tcW w:w="21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公务用车运行维护费</w:t>
            </w:r>
          </w:p>
        </w:tc>
        <w:tc>
          <w:tcPr>
            <w:tcW w:w="121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13.97 </w:t>
            </w:r>
          </w:p>
        </w:tc>
      </w:tr>
      <w:tr>
        <w:tblPrEx>
          <w:tblCellMar>
            <w:top w:w="0" w:type="dxa"/>
            <w:left w:w="108" w:type="dxa"/>
            <w:bottom w:w="0" w:type="dxa"/>
            <w:right w:w="108" w:type="dxa"/>
          </w:tblCellMar>
        </w:tblPrEx>
        <w:trPr>
          <w:trHeight w:val="245"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30399</w:t>
            </w:r>
          </w:p>
        </w:tc>
        <w:tc>
          <w:tcPr>
            <w:tcW w:w="28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其他对个人和家庭的补助</w:t>
            </w:r>
          </w:p>
        </w:tc>
        <w:tc>
          <w:tcPr>
            <w:tcW w:w="1029"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0"/>
                <w:sz w:val="20"/>
                <w:szCs w:val="20"/>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30239</w:t>
            </w:r>
          </w:p>
        </w:tc>
        <w:tc>
          <w:tcPr>
            <w:tcW w:w="21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其他交通费用</w:t>
            </w:r>
          </w:p>
        </w:tc>
        <w:tc>
          <w:tcPr>
            <w:tcW w:w="121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68.04 </w:t>
            </w:r>
          </w:p>
        </w:tc>
      </w:tr>
      <w:tr>
        <w:tblPrEx>
          <w:tblCellMar>
            <w:top w:w="0" w:type="dxa"/>
            <w:left w:w="108" w:type="dxa"/>
            <w:bottom w:w="0" w:type="dxa"/>
            <w:right w:w="108" w:type="dxa"/>
          </w:tblCellMar>
        </w:tblPrEx>
        <w:trPr>
          <w:trHeight w:val="245"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nil"/>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30240</w:t>
            </w:r>
          </w:p>
        </w:tc>
        <w:tc>
          <w:tcPr>
            <w:tcW w:w="21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税金及附加费用</w:t>
            </w:r>
          </w:p>
        </w:tc>
        <w:tc>
          <w:tcPr>
            <w:tcW w:w="121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17.25 </w:t>
            </w:r>
          </w:p>
        </w:tc>
      </w:tr>
      <w:tr>
        <w:tblPrEx>
          <w:tblCellMar>
            <w:top w:w="0" w:type="dxa"/>
            <w:left w:w="108" w:type="dxa"/>
            <w:bottom w:w="0" w:type="dxa"/>
            <w:right w:w="108" w:type="dxa"/>
          </w:tblCellMar>
        </w:tblPrEx>
        <w:trPr>
          <w:trHeight w:val="245" w:hRule="atLeast"/>
        </w:trPr>
        <w:tc>
          <w:tcPr>
            <w:tcW w:w="112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nil"/>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30299</w:t>
            </w:r>
          </w:p>
        </w:tc>
        <w:tc>
          <w:tcPr>
            <w:tcW w:w="21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其他商品和服务支出</w:t>
            </w:r>
          </w:p>
        </w:tc>
        <w:tc>
          <w:tcPr>
            <w:tcW w:w="121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101.00 </w:t>
            </w:r>
          </w:p>
        </w:tc>
      </w:tr>
      <w:tr>
        <w:tblPrEx>
          <w:tblCellMar>
            <w:top w:w="0" w:type="dxa"/>
            <w:left w:w="108" w:type="dxa"/>
            <w:bottom w:w="0" w:type="dxa"/>
            <w:right w:w="108" w:type="dxa"/>
          </w:tblCellMar>
        </w:tblPrEx>
        <w:trPr>
          <w:trHeight w:val="212"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307</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债务利息及费用支出</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67"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30701</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国内债务付息</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03"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30702</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国外债务付息</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11"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资本性支出</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66"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31001</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房屋建筑物购建</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56"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31002</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办公设备购置</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11"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31003</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专用设备购置</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58"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31005</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基础设施建设</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4"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31006</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大型修缮</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344"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31007</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信息网络及软件购置更新</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96"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31008</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物资储备</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75"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31009</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土地补偿</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75"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31010</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安置补助</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57"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31011</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地上附着物和青苗补偿</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57"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31012</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拆迁补偿</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57"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31013</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公务用车购置</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57"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31019</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其他交通工具购置</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90"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31021</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文物和陈列品购置</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32"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31022</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无形资产购置</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57"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31099</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其他资本性支出</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57"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399</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其他支出</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57"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39906</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赠与</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57"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39907</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国家赔偿费用支出</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57"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39908</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对民间非营利组织和群众性自治组织补贴</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57"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39999</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其他支出</w:t>
            </w: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57"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29"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212" w:type="dxa"/>
            <w:tcBorders>
              <w:top w:val="single" w:color="auto" w:sz="4" w:space="0"/>
              <w:left w:val="nil"/>
              <w:bottom w:val="single" w:color="auto" w:sz="4" w:space="0"/>
              <w:right w:val="single" w:color="auto" w:sz="4" w:space="0"/>
            </w:tcBorders>
            <w:vAlign w:val="bottom"/>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157" w:hRule="atLeast"/>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人员经费合计</w:t>
            </w:r>
          </w:p>
        </w:tc>
        <w:tc>
          <w:tcPr>
            <w:tcW w:w="1029" w:type="dxa"/>
            <w:tcBorders>
              <w:top w:val="single" w:color="auto" w:sz="4" w:space="0"/>
              <w:left w:val="nil"/>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2152.26</w:t>
            </w: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公用经费合计</w:t>
            </w:r>
          </w:p>
        </w:tc>
        <w:tc>
          <w:tcPr>
            <w:tcW w:w="1212" w:type="dxa"/>
            <w:tcBorders>
              <w:top w:val="single" w:color="auto" w:sz="4" w:space="0"/>
              <w:left w:val="nil"/>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rPr>
              <w:t>324.9</w:t>
            </w:r>
            <w:r>
              <w:rPr>
                <w:rFonts w:hint="eastAsia" w:asciiTheme="minorEastAsia" w:hAnsiTheme="minorEastAsia" w:eastAsiaTheme="minorEastAsia" w:cstheme="minorEastAsia"/>
                <w:color w:val="000000"/>
                <w:kern w:val="0"/>
                <w:sz w:val="20"/>
                <w:szCs w:val="20"/>
                <w:lang w:val="en-US" w:eastAsia="zh-CN"/>
              </w:rPr>
              <w:t>0</w:t>
            </w:r>
          </w:p>
        </w:tc>
      </w:tr>
    </w:tbl>
    <w:p>
      <w:pPr>
        <w:ind w:right="330"/>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 xml:space="preserve"> </w:t>
      </w:r>
    </w:p>
    <w:p>
      <w:pPr>
        <w:ind w:right="330"/>
        <w:jc w:val="left"/>
        <w:rPr>
          <w:rFonts w:hint="eastAsia" w:asciiTheme="minorEastAsia" w:hAnsiTheme="minorEastAsia" w:eastAsiaTheme="minorEastAsia" w:cstheme="minorEastAsia"/>
          <w:sz w:val="20"/>
          <w:szCs w:val="20"/>
        </w:rPr>
        <w:sectPr>
          <w:pgSz w:w="11906" w:h="16838"/>
          <w:pgMar w:top="1440" w:right="1797" w:bottom="1440" w:left="1797" w:header="851" w:footer="992" w:gutter="0"/>
          <w:pgNumType w:fmt="numberInDash"/>
          <w:cols w:space="720" w:num="1"/>
          <w:docGrid w:type="lines" w:linePitch="312" w:charSpace="0"/>
        </w:sectPr>
      </w:pPr>
      <w:r>
        <w:rPr>
          <w:rFonts w:hint="eastAsia" w:asciiTheme="minorEastAsia" w:hAnsiTheme="minorEastAsia" w:eastAsiaTheme="minorEastAsia" w:cstheme="minorEastAsia"/>
          <w:sz w:val="20"/>
          <w:szCs w:val="20"/>
          <w:lang w:eastAsia="zh-CN"/>
        </w:rPr>
        <w:t>注：本表反映部门本年度一般公共预算财政拨款基本支出明细情况</w:t>
      </w: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rPr>
          <w:rFonts w:hint="eastAsia"/>
        </w:rPr>
      </w:pPr>
    </w:p>
    <w:p>
      <w:pPr>
        <w:jc w:val="right"/>
        <w:rPr>
          <w:rFonts w:hint="eastAsia"/>
          <w:sz w:val="20"/>
          <w:szCs w:val="20"/>
        </w:rPr>
      </w:pPr>
      <w:r>
        <w:rPr>
          <w:rFonts w:hint="eastAsia"/>
          <w:sz w:val="20"/>
          <w:szCs w:val="20"/>
        </w:rPr>
        <w:t>单位：万元</w:t>
      </w:r>
    </w:p>
    <w:tbl>
      <w:tblPr>
        <w:tblStyle w:val="5"/>
        <w:tblW w:w="14049" w:type="dxa"/>
        <w:jc w:val="center"/>
        <w:tblLayout w:type="fixed"/>
        <w:tblCellMar>
          <w:top w:w="0" w:type="dxa"/>
          <w:left w:w="108" w:type="dxa"/>
          <w:bottom w:w="0" w:type="dxa"/>
          <w:right w:w="108" w:type="dxa"/>
        </w:tblCellMar>
      </w:tblPr>
      <w:tblGrid>
        <w:gridCol w:w="829"/>
        <w:gridCol w:w="1355"/>
        <w:gridCol w:w="1076"/>
        <w:gridCol w:w="1242"/>
        <w:gridCol w:w="1242"/>
        <w:gridCol w:w="1274"/>
        <w:gridCol w:w="748"/>
        <w:gridCol w:w="1382"/>
        <w:gridCol w:w="984"/>
        <w:gridCol w:w="1398"/>
        <w:gridCol w:w="1208"/>
        <w:gridCol w:w="1311"/>
      </w:tblGrid>
      <w:tr>
        <w:tblPrEx>
          <w:tblCellMar>
            <w:top w:w="0" w:type="dxa"/>
            <w:left w:w="108" w:type="dxa"/>
            <w:bottom w:w="0" w:type="dxa"/>
            <w:right w:w="108" w:type="dxa"/>
          </w:tblCellMar>
        </w:tblPrEx>
        <w:trPr>
          <w:trHeight w:val="540" w:hRule="atLeast"/>
          <w:jc w:val="center"/>
        </w:trPr>
        <w:tc>
          <w:tcPr>
            <w:tcW w:w="7018"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lang w:eastAsia="zh-CN"/>
              </w:rPr>
              <w:t>201</w:t>
            </w:r>
            <w:r>
              <w:rPr>
                <w:rFonts w:hint="eastAsia" w:asciiTheme="minorEastAsia" w:hAnsiTheme="minorEastAsia" w:eastAsiaTheme="minorEastAsia" w:cstheme="minorEastAsia"/>
                <w:b/>
                <w:bCs/>
                <w:kern w:val="0"/>
                <w:sz w:val="20"/>
                <w:szCs w:val="20"/>
                <w:lang w:val="en-US" w:eastAsia="zh-CN"/>
              </w:rPr>
              <w:t>9</w:t>
            </w:r>
            <w:r>
              <w:rPr>
                <w:rFonts w:hint="eastAsia" w:asciiTheme="minorEastAsia" w:hAnsiTheme="minorEastAsia" w:eastAsiaTheme="minorEastAsia" w:cstheme="minorEastAsia"/>
                <w:b/>
                <w:bCs/>
                <w:kern w:val="0"/>
                <w:sz w:val="20"/>
                <w:szCs w:val="20"/>
              </w:rPr>
              <w:t>年度预算数</w:t>
            </w:r>
          </w:p>
        </w:tc>
        <w:tc>
          <w:tcPr>
            <w:tcW w:w="7031" w:type="dxa"/>
            <w:gridSpan w:val="6"/>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lang w:eastAsia="zh-CN"/>
              </w:rPr>
              <w:t>201</w:t>
            </w:r>
            <w:r>
              <w:rPr>
                <w:rFonts w:hint="eastAsia" w:asciiTheme="minorEastAsia" w:hAnsiTheme="minorEastAsia" w:eastAsiaTheme="minorEastAsia" w:cstheme="minorEastAsia"/>
                <w:b/>
                <w:bCs/>
                <w:kern w:val="0"/>
                <w:sz w:val="20"/>
                <w:szCs w:val="20"/>
                <w:lang w:val="en-US" w:eastAsia="zh-CN"/>
              </w:rPr>
              <w:t>9</w:t>
            </w:r>
            <w:r>
              <w:rPr>
                <w:rFonts w:hint="eastAsia" w:asciiTheme="minorEastAsia" w:hAnsiTheme="minorEastAsia" w:eastAsiaTheme="minorEastAsia" w:cstheme="minorEastAsia"/>
                <w:b/>
                <w:bCs/>
                <w:kern w:val="0"/>
                <w:sz w:val="20"/>
                <w:szCs w:val="20"/>
              </w:rPr>
              <w:t>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合计</w:t>
            </w:r>
          </w:p>
        </w:tc>
        <w:tc>
          <w:tcPr>
            <w:tcW w:w="1355" w:type="dxa"/>
            <w:vMerge w:val="restart"/>
            <w:tcBorders>
              <w:top w:val="nil"/>
              <w:left w:val="nil"/>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因公出国(境）费</w:t>
            </w:r>
          </w:p>
        </w:tc>
        <w:tc>
          <w:tcPr>
            <w:tcW w:w="3560"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公务用车购置及运行费</w:t>
            </w:r>
          </w:p>
        </w:tc>
        <w:tc>
          <w:tcPr>
            <w:tcW w:w="1274" w:type="dxa"/>
            <w:vMerge w:val="restart"/>
            <w:tcBorders>
              <w:top w:val="nil"/>
              <w:left w:val="nil"/>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公务接待费</w:t>
            </w:r>
          </w:p>
        </w:tc>
        <w:tc>
          <w:tcPr>
            <w:tcW w:w="748"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合计</w:t>
            </w:r>
          </w:p>
        </w:tc>
        <w:tc>
          <w:tcPr>
            <w:tcW w:w="1382" w:type="dxa"/>
            <w:vMerge w:val="restart"/>
            <w:tcBorders>
              <w:top w:val="nil"/>
              <w:left w:val="nil"/>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因公出国(境）费</w:t>
            </w:r>
          </w:p>
        </w:tc>
        <w:tc>
          <w:tcPr>
            <w:tcW w:w="3590"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公务用车购置及运行费</w:t>
            </w:r>
          </w:p>
        </w:tc>
        <w:tc>
          <w:tcPr>
            <w:tcW w:w="1311" w:type="dxa"/>
            <w:vMerge w:val="restart"/>
            <w:tcBorders>
              <w:top w:val="nil"/>
              <w:left w:val="nil"/>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color w:val="000000"/>
                <w:kern w:val="0"/>
                <w:sz w:val="20"/>
                <w:szCs w:val="20"/>
              </w:rPr>
            </w:pPr>
          </w:p>
        </w:tc>
        <w:tc>
          <w:tcPr>
            <w:tcW w:w="1355" w:type="dxa"/>
            <w:vMerge w:val="continue"/>
            <w:tcBorders>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p>
        </w:tc>
        <w:tc>
          <w:tcPr>
            <w:tcW w:w="1076"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小计</w:t>
            </w:r>
          </w:p>
        </w:tc>
        <w:tc>
          <w:tcPr>
            <w:tcW w:w="1242"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公务用车 运行费</w:t>
            </w:r>
          </w:p>
        </w:tc>
        <w:tc>
          <w:tcPr>
            <w:tcW w:w="1274" w:type="dxa"/>
            <w:vMerge w:val="continue"/>
            <w:tcBorders>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p>
        </w:tc>
        <w:tc>
          <w:tcPr>
            <w:tcW w:w="7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color w:val="000000"/>
                <w:kern w:val="0"/>
                <w:sz w:val="20"/>
                <w:szCs w:val="20"/>
              </w:rPr>
            </w:pPr>
          </w:p>
        </w:tc>
        <w:tc>
          <w:tcPr>
            <w:tcW w:w="1382" w:type="dxa"/>
            <w:vMerge w:val="continue"/>
            <w:tcBorders>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p>
        </w:tc>
        <w:tc>
          <w:tcPr>
            <w:tcW w:w="984"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小计</w:t>
            </w:r>
          </w:p>
        </w:tc>
        <w:tc>
          <w:tcPr>
            <w:tcW w:w="139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公务用车</w:t>
            </w:r>
          </w:p>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购置费</w:t>
            </w:r>
          </w:p>
        </w:tc>
        <w:tc>
          <w:tcPr>
            <w:tcW w:w="120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kern w:val="0"/>
                <w:sz w:val="20"/>
                <w:szCs w:val="20"/>
              </w:rPr>
              <w:t>公务用车 运行费</w:t>
            </w:r>
          </w:p>
        </w:tc>
        <w:tc>
          <w:tcPr>
            <w:tcW w:w="1311" w:type="dxa"/>
            <w:vMerge w:val="continue"/>
            <w:tcBorders>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1</w:t>
            </w:r>
          </w:p>
        </w:tc>
        <w:tc>
          <w:tcPr>
            <w:tcW w:w="135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2</w:t>
            </w:r>
          </w:p>
        </w:tc>
        <w:tc>
          <w:tcPr>
            <w:tcW w:w="1076"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3</w:t>
            </w:r>
          </w:p>
        </w:tc>
        <w:tc>
          <w:tcPr>
            <w:tcW w:w="1242"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4</w:t>
            </w:r>
          </w:p>
        </w:tc>
        <w:tc>
          <w:tcPr>
            <w:tcW w:w="1242"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5</w:t>
            </w:r>
          </w:p>
        </w:tc>
        <w:tc>
          <w:tcPr>
            <w:tcW w:w="1274"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6</w:t>
            </w:r>
          </w:p>
        </w:tc>
        <w:tc>
          <w:tcPr>
            <w:tcW w:w="74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7</w:t>
            </w:r>
          </w:p>
        </w:tc>
        <w:tc>
          <w:tcPr>
            <w:tcW w:w="1382"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8</w:t>
            </w:r>
          </w:p>
        </w:tc>
        <w:tc>
          <w:tcPr>
            <w:tcW w:w="984"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9</w:t>
            </w:r>
          </w:p>
        </w:tc>
        <w:tc>
          <w:tcPr>
            <w:tcW w:w="139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10</w:t>
            </w:r>
          </w:p>
        </w:tc>
        <w:tc>
          <w:tcPr>
            <w:tcW w:w="120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11</w:t>
            </w:r>
          </w:p>
        </w:tc>
        <w:tc>
          <w:tcPr>
            <w:tcW w:w="1311"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12</w:t>
            </w:r>
          </w:p>
        </w:tc>
      </w:tr>
      <w:tr>
        <w:tblPrEx>
          <w:tblCellMar>
            <w:top w:w="0" w:type="dxa"/>
            <w:left w:w="108" w:type="dxa"/>
            <w:bottom w:w="0" w:type="dxa"/>
            <w:right w:w="108" w:type="dxa"/>
          </w:tblCellMar>
        </w:tblPrEx>
        <w:trPr>
          <w:trHeight w:val="319" w:hRule="atLeast"/>
          <w:jc w:val="center"/>
        </w:trPr>
        <w:tc>
          <w:tcPr>
            <w:tcW w:w="829" w:type="dxa"/>
            <w:tcBorders>
              <w:top w:val="nil"/>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19.68</w:t>
            </w:r>
          </w:p>
        </w:tc>
        <w:tc>
          <w:tcPr>
            <w:tcW w:w="1355" w:type="dxa"/>
            <w:tcBorders>
              <w:top w:val="nil"/>
              <w:left w:val="nil"/>
              <w:bottom w:val="single" w:color="auto" w:sz="4" w:space="0"/>
              <w:right w:val="single" w:color="auto" w:sz="4" w:space="0"/>
            </w:tcBorders>
            <w:vAlign w:val="top"/>
          </w:tcPr>
          <w:p>
            <w:pPr>
              <w:widowControl/>
              <w:ind w:firstLine="200" w:firstLineChars="100"/>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0</w:t>
            </w:r>
          </w:p>
        </w:tc>
        <w:tc>
          <w:tcPr>
            <w:tcW w:w="1076"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14.00</w:t>
            </w:r>
          </w:p>
        </w:tc>
        <w:tc>
          <w:tcPr>
            <w:tcW w:w="1242"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0</w:t>
            </w:r>
          </w:p>
        </w:tc>
        <w:tc>
          <w:tcPr>
            <w:tcW w:w="1242"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14.00</w:t>
            </w:r>
          </w:p>
        </w:tc>
        <w:tc>
          <w:tcPr>
            <w:tcW w:w="1274" w:type="dxa"/>
            <w:tcBorders>
              <w:top w:val="nil"/>
              <w:left w:val="nil"/>
              <w:bottom w:val="single" w:color="auto" w:sz="4" w:space="0"/>
              <w:right w:val="single" w:color="auto" w:sz="4" w:space="0"/>
            </w:tcBorders>
            <w:vAlign w:val="top"/>
          </w:tcPr>
          <w:p>
            <w:pPr>
              <w:widowControl/>
              <w:ind w:firstLine="200" w:firstLineChars="100"/>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5.68</w:t>
            </w:r>
          </w:p>
        </w:tc>
        <w:tc>
          <w:tcPr>
            <w:tcW w:w="748"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bCs/>
                <w:color w:val="000000"/>
                <w:kern w:val="0"/>
                <w:sz w:val="20"/>
                <w:szCs w:val="20"/>
              </w:rPr>
              <w:t>16.17</w:t>
            </w:r>
          </w:p>
        </w:tc>
        <w:tc>
          <w:tcPr>
            <w:tcW w:w="1382" w:type="dxa"/>
            <w:tcBorders>
              <w:top w:val="nil"/>
              <w:left w:val="nil"/>
              <w:bottom w:val="single" w:color="auto" w:sz="4" w:space="0"/>
              <w:right w:val="single" w:color="auto" w:sz="4" w:space="0"/>
            </w:tcBorders>
            <w:vAlign w:val="top"/>
          </w:tcPr>
          <w:p>
            <w:pPr>
              <w:widowControl/>
              <w:ind w:firstLine="200" w:firstLineChars="100"/>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lang w:val="en-US" w:eastAsia="zh-CN" w:bidi="ar-SA"/>
              </w:rPr>
              <w:t>0</w:t>
            </w:r>
          </w:p>
        </w:tc>
        <w:tc>
          <w:tcPr>
            <w:tcW w:w="984"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bCs/>
                <w:color w:val="000000"/>
                <w:kern w:val="0"/>
                <w:sz w:val="20"/>
                <w:szCs w:val="20"/>
              </w:rPr>
              <w:t>13.97</w:t>
            </w:r>
          </w:p>
        </w:tc>
        <w:tc>
          <w:tcPr>
            <w:tcW w:w="1398"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lang w:val="en-US" w:eastAsia="zh-CN" w:bidi="ar-SA"/>
              </w:rPr>
              <w:t>0</w:t>
            </w:r>
          </w:p>
        </w:tc>
        <w:tc>
          <w:tcPr>
            <w:tcW w:w="1208"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bCs/>
                <w:color w:val="000000"/>
                <w:kern w:val="0"/>
                <w:sz w:val="20"/>
                <w:szCs w:val="20"/>
              </w:rPr>
              <w:t>13.97</w:t>
            </w:r>
          </w:p>
        </w:tc>
        <w:tc>
          <w:tcPr>
            <w:tcW w:w="1311" w:type="dxa"/>
            <w:tcBorders>
              <w:top w:val="nil"/>
              <w:left w:val="nil"/>
              <w:bottom w:val="single" w:color="auto" w:sz="4" w:space="0"/>
              <w:right w:val="single" w:color="auto" w:sz="4" w:space="0"/>
            </w:tcBorders>
            <w:vAlign w:val="top"/>
          </w:tcPr>
          <w:p>
            <w:pPr>
              <w:widowControl/>
              <w:ind w:firstLine="200" w:firstLineChars="100"/>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bCs/>
                <w:color w:val="000000"/>
                <w:kern w:val="0"/>
                <w:sz w:val="20"/>
                <w:szCs w:val="20"/>
              </w:rPr>
              <w:t>2.20</w:t>
            </w:r>
          </w:p>
        </w:tc>
      </w:tr>
    </w:tbl>
    <w:p>
      <w:pPr>
        <w:rPr>
          <w:rFonts w:hint="eastAsia" w:asciiTheme="minorEastAsia" w:hAnsiTheme="minorEastAsia" w:eastAsiaTheme="minorEastAsia" w:cstheme="minorEastAsia"/>
          <w:sz w:val="20"/>
          <w:szCs w:val="20"/>
          <w:lang w:eastAsia="zh-CN"/>
        </w:rPr>
      </w:pPr>
    </w:p>
    <w:p>
      <w:pPr>
        <w:sectPr>
          <w:pgSz w:w="16838" w:h="11906" w:orient="landscape"/>
          <w:pgMar w:top="1797" w:right="1440" w:bottom="1797" w:left="1440" w:header="851" w:footer="992" w:gutter="0"/>
          <w:pgNumType w:fmt="numberInDash"/>
          <w:cols w:space="720" w:num="1"/>
          <w:docGrid w:type="lines" w:linePitch="312" w:charSpace="0"/>
        </w:sectPr>
      </w:pPr>
      <w:r>
        <w:rPr>
          <w:rFonts w:hint="eastAsia" w:asciiTheme="minorEastAsia" w:hAnsiTheme="minorEastAsia" w:eastAsiaTheme="minorEastAsia" w:cstheme="minorEastAsia"/>
          <w:sz w:val="20"/>
          <w:szCs w:val="20"/>
          <w:lang w:eastAsia="zh-CN"/>
        </w:rPr>
        <w:t>注：本表反映部门本年度“三公”经费支出预决算情况。其中，</w:t>
      </w:r>
      <w:r>
        <w:rPr>
          <w:rFonts w:hint="eastAsia" w:asciiTheme="minorEastAsia" w:hAnsiTheme="minorEastAsia" w:eastAsiaTheme="minorEastAsia" w:cstheme="minorEastAsia"/>
          <w:sz w:val="20"/>
          <w:szCs w:val="20"/>
          <w:lang w:val="en-US" w:eastAsia="zh-CN"/>
        </w:rPr>
        <w:t>2019年度预算数为“三公”经费年初预算数，决算数是包括当年一般公共预算财政拨款和以前年度结转资金安排的实际支出。</w:t>
      </w:r>
    </w:p>
    <w:p>
      <w:pPr>
        <w:rPr>
          <w:rFonts w:hint="eastAsia"/>
        </w:rPr>
      </w:pPr>
    </w:p>
    <w:p>
      <w:pPr>
        <w:rPr>
          <w:rFonts w:hint="eastAsia"/>
        </w:rPr>
      </w:pPr>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0"/>
                <w:szCs w:val="20"/>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eastAsia="zh-CN"/>
              </w:rPr>
              <w:t>支出功能分类</w:t>
            </w:r>
            <w:r>
              <w:rPr>
                <w:rFonts w:hint="eastAsia" w:asciiTheme="minorEastAsia" w:hAnsiTheme="minorEastAsia" w:eastAsiaTheme="minorEastAsia" w:cstheme="minorEastAsia"/>
                <w:kern w:val="0"/>
                <w:sz w:val="20"/>
                <w:szCs w:val="20"/>
              </w:rPr>
              <w:t>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年</w:t>
            </w:r>
            <w:r>
              <w:rPr>
                <w:rFonts w:hint="eastAsia" w:asciiTheme="minorEastAsia" w:hAnsiTheme="minorEastAsia" w:eastAsiaTheme="minorEastAsia" w:cstheme="minorEastAsia"/>
                <w:color w:val="000000"/>
                <w:kern w:val="0"/>
                <w:sz w:val="20"/>
                <w:szCs w:val="20"/>
                <w:lang w:eastAsia="zh-CN"/>
              </w:rPr>
              <w:t>初</w:t>
            </w:r>
            <w:r>
              <w:rPr>
                <w:rFonts w:hint="eastAsia" w:asciiTheme="minorEastAsia" w:hAnsiTheme="minorEastAsia" w:eastAsiaTheme="minorEastAsia" w:cstheme="minorEastAsia"/>
                <w:color w:val="000000"/>
                <w:kern w:val="0"/>
                <w:sz w:val="20"/>
                <w:szCs w:val="20"/>
              </w:rPr>
              <w:t>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hint="eastAsia" w:asciiTheme="minorEastAsia" w:hAnsiTheme="minorEastAsia" w:eastAsiaTheme="minorEastAsia" w:cstheme="minorEastAsia"/>
                <w:kern w:val="0"/>
                <w:sz w:val="20"/>
                <w:szCs w:val="20"/>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0"/>
                <w:szCs w:val="20"/>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hint="eastAsia" w:asciiTheme="minorEastAsia" w:hAnsiTheme="minorEastAsia" w:eastAsiaTheme="minorEastAsia" w:cstheme="minorEastAsia"/>
                <w:kern w:val="0"/>
                <w:sz w:val="20"/>
                <w:szCs w:val="20"/>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0"/>
                <w:szCs w:val="20"/>
              </w:rPr>
            </w:pPr>
          </w:p>
        </w:tc>
        <w:tc>
          <w:tcPr>
            <w:tcW w:w="765" w:type="dxa"/>
            <w:vMerge w:val="continue"/>
            <w:tcBorders>
              <w:top w:val="nil"/>
              <w:left w:val="single" w:color="auto" w:sz="4" w:space="0"/>
              <w:bottom w:val="nil"/>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040" w:type="dxa"/>
            <w:vMerge w:val="continue"/>
            <w:tcBorders>
              <w:top w:val="nil"/>
              <w:left w:val="single" w:color="auto" w:sz="4" w:space="0"/>
              <w:bottom w:val="nil"/>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040" w:type="dxa"/>
            <w:vMerge w:val="continue"/>
            <w:tcBorders>
              <w:top w:val="nil"/>
              <w:left w:val="single" w:color="auto" w:sz="4" w:space="0"/>
              <w:bottom w:val="nil"/>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类</w:t>
            </w:r>
          </w:p>
        </w:tc>
        <w:tc>
          <w:tcPr>
            <w:tcW w:w="138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款</w:t>
            </w:r>
          </w:p>
        </w:tc>
        <w:tc>
          <w:tcPr>
            <w:tcW w:w="138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项</w:t>
            </w:r>
          </w:p>
        </w:tc>
        <w:tc>
          <w:tcPr>
            <w:tcW w:w="138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r>
    </w:tbl>
    <w:p>
      <w:pPr>
        <w:spacing w:line="560" w:lineRule="exact"/>
        <w:rPr>
          <w:rFonts w:hint="eastAsia" w:ascii="仿宋_GB2312" w:eastAsia="仿宋_GB2312"/>
          <w:b/>
          <w:sz w:val="32"/>
          <w:szCs w:val="32"/>
        </w:rPr>
        <w:sectPr>
          <w:pgSz w:w="16838" w:h="11906" w:orient="landscape"/>
          <w:pgMar w:top="1797" w:right="1440" w:bottom="1797" w:left="1440" w:header="851" w:footer="992" w:gutter="0"/>
          <w:pgNumType w:fmt="numberInDash"/>
          <w:cols w:space="720" w:num="1"/>
          <w:docGrid w:type="lines" w:linePitch="312" w:charSpace="0"/>
        </w:sectPr>
      </w:pP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eastAsia="zh-CN"/>
        </w:rPr>
        <w:t>注：本表反映部门本年度政府性基金预算财政拨款收入支出及结转和结余情况。</w:t>
      </w:r>
    </w:p>
    <w:p>
      <w:pPr>
        <w:spacing w:line="56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第三部分：</w:t>
      </w:r>
      <w:r>
        <w:rPr>
          <w:rFonts w:hint="default" w:ascii="Times New Roman" w:hAnsi="Times New Roman" w:eastAsia="仿宋_GB2312" w:cs="Times New Roman"/>
          <w:b/>
          <w:bCs/>
          <w:color w:val="000000"/>
          <w:sz w:val="32"/>
          <w:szCs w:val="32"/>
          <w:u w:val="none"/>
          <w:lang w:eastAsia="zh-CN"/>
        </w:rPr>
        <w:t>柳州市行政审批局</w:t>
      </w:r>
      <w:r>
        <w:rPr>
          <w:rFonts w:hint="default" w:ascii="Times New Roman" w:hAnsi="Times New Roman" w:eastAsia="仿宋_GB2312" w:cs="Times New Roman"/>
          <w:b/>
          <w:sz w:val="32"/>
          <w:szCs w:val="32"/>
          <w:lang w:eastAsia="zh-CN"/>
        </w:rPr>
        <w:t>201</w:t>
      </w:r>
      <w:r>
        <w:rPr>
          <w:rFonts w:hint="default" w:ascii="Times New Roman" w:hAnsi="Times New Roman" w:eastAsia="仿宋_GB2312" w:cs="Times New Roman"/>
          <w:b/>
          <w:sz w:val="32"/>
          <w:szCs w:val="32"/>
          <w:lang w:val="en-US" w:eastAsia="zh-CN"/>
        </w:rPr>
        <w:t>9</w:t>
      </w:r>
      <w:r>
        <w:rPr>
          <w:rFonts w:hint="default" w:ascii="Times New Roman" w:hAnsi="Times New Roman" w:eastAsia="仿宋_GB2312" w:cs="Times New Roman"/>
          <w:b/>
          <w:sz w:val="32"/>
          <w:szCs w:val="32"/>
        </w:rPr>
        <w:t>年度部门决算情况说明</w:t>
      </w:r>
    </w:p>
    <w:p>
      <w:pPr>
        <w:autoSpaceDE w:val="0"/>
        <w:autoSpaceDN w:val="0"/>
        <w:adjustRightInd w:val="0"/>
        <w:spacing w:line="56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一、</w:t>
      </w:r>
      <w:r>
        <w:rPr>
          <w:rFonts w:hint="default" w:ascii="Times New Roman" w:hAnsi="Times New Roman" w:eastAsia="仿宋_GB2312" w:cs="Times New Roman"/>
          <w:b/>
          <w:kern w:val="0"/>
          <w:sz w:val="32"/>
          <w:szCs w:val="32"/>
          <w:lang w:eastAsia="zh-CN"/>
        </w:rPr>
        <w:t>201</w:t>
      </w:r>
      <w:r>
        <w:rPr>
          <w:rFonts w:hint="default" w:ascii="Times New Roman" w:hAnsi="Times New Roman" w:eastAsia="仿宋_GB2312" w:cs="Times New Roman"/>
          <w:b/>
          <w:kern w:val="0"/>
          <w:sz w:val="32"/>
          <w:szCs w:val="32"/>
          <w:lang w:val="en-US" w:eastAsia="zh-CN"/>
        </w:rPr>
        <w:t>9</w:t>
      </w:r>
      <w:r>
        <w:rPr>
          <w:rFonts w:hint="default" w:ascii="Times New Roman" w:hAnsi="Times New Roman" w:eastAsia="仿宋_GB2312" w:cs="Times New Roman"/>
          <w:b/>
          <w:kern w:val="0"/>
          <w:sz w:val="32"/>
          <w:szCs w:val="32"/>
        </w:rPr>
        <w:t>年度收入支出决算总体情况</w:t>
      </w:r>
    </w:p>
    <w:p>
      <w:pPr>
        <w:autoSpaceDE w:val="0"/>
        <w:autoSpaceDN w:val="0"/>
        <w:adjustRightInd w:val="0"/>
        <w:spacing w:line="560" w:lineRule="exact"/>
        <w:ind w:firstLine="643" w:firstLineChars="200"/>
        <w:jc w:val="left"/>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b w:val="0"/>
          <w:bCs/>
          <w:kern w:val="0"/>
          <w:sz w:val="32"/>
          <w:szCs w:val="32"/>
          <w:lang w:eastAsia="zh-CN"/>
        </w:rPr>
        <w:t>201</w:t>
      </w:r>
      <w:r>
        <w:rPr>
          <w:rFonts w:hint="default" w:ascii="Times New Roman" w:hAnsi="Times New Roman" w:eastAsia="仿宋_GB2312" w:cs="Times New Roman"/>
          <w:b w:val="0"/>
          <w:bCs/>
          <w:kern w:val="0"/>
          <w:sz w:val="32"/>
          <w:szCs w:val="32"/>
          <w:lang w:val="en-US" w:eastAsia="zh-CN"/>
        </w:rPr>
        <w:t>9</w:t>
      </w:r>
      <w:r>
        <w:rPr>
          <w:rFonts w:hint="default" w:ascii="Times New Roman" w:hAnsi="Times New Roman" w:eastAsia="仿宋_GB2312" w:cs="Times New Roman"/>
          <w:b w:val="0"/>
          <w:bCs/>
          <w:kern w:val="0"/>
          <w:sz w:val="32"/>
          <w:szCs w:val="32"/>
        </w:rPr>
        <w:t>年度收入总计</w:t>
      </w:r>
      <w:r>
        <w:rPr>
          <w:rFonts w:hint="default" w:ascii="Times New Roman" w:hAnsi="Times New Roman" w:eastAsia="仿宋_GB2312" w:cs="Times New Roman"/>
          <w:b w:val="0"/>
          <w:bCs/>
          <w:kern w:val="0"/>
          <w:sz w:val="32"/>
          <w:szCs w:val="32"/>
          <w:lang w:val="en-US" w:eastAsia="zh-CN"/>
        </w:rPr>
        <w:t>5955.58</w:t>
      </w:r>
      <w:r>
        <w:rPr>
          <w:rFonts w:hint="default" w:ascii="Times New Roman" w:hAnsi="Times New Roman" w:eastAsia="仿宋_GB2312" w:cs="Times New Roman"/>
          <w:b w:val="0"/>
          <w:bCs/>
          <w:kern w:val="0"/>
          <w:sz w:val="32"/>
          <w:szCs w:val="32"/>
        </w:rPr>
        <w:t>万元，支出总计</w:t>
      </w:r>
      <w:r>
        <w:rPr>
          <w:rFonts w:hint="default" w:ascii="Times New Roman" w:hAnsi="Times New Roman" w:eastAsia="仿宋_GB2312" w:cs="Times New Roman"/>
          <w:b w:val="0"/>
          <w:bCs/>
          <w:kern w:val="0"/>
          <w:sz w:val="32"/>
          <w:szCs w:val="32"/>
          <w:lang w:val="en-US" w:eastAsia="zh-CN"/>
        </w:rPr>
        <w:t>5955.58</w:t>
      </w:r>
    </w:p>
    <w:p>
      <w:pPr>
        <w:autoSpaceDE w:val="0"/>
        <w:autoSpaceDN w:val="0"/>
        <w:adjustRightInd w:val="0"/>
        <w:spacing w:line="560" w:lineRule="exact"/>
        <w:jc w:val="left"/>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rPr>
        <w:t>万元，与</w:t>
      </w:r>
      <w:r>
        <w:rPr>
          <w:rFonts w:hint="default" w:ascii="Times New Roman" w:hAnsi="Times New Roman" w:eastAsia="仿宋_GB2312" w:cs="Times New Roman"/>
          <w:b w:val="0"/>
          <w:bCs/>
          <w:kern w:val="0"/>
          <w:sz w:val="32"/>
          <w:szCs w:val="32"/>
          <w:lang w:eastAsia="zh-CN"/>
        </w:rPr>
        <w:t>201</w:t>
      </w:r>
      <w:r>
        <w:rPr>
          <w:rFonts w:hint="default" w:ascii="Times New Roman" w:hAnsi="Times New Roman" w:eastAsia="仿宋_GB2312" w:cs="Times New Roman"/>
          <w:b w:val="0"/>
          <w:bCs/>
          <w:kern w:val="0"/>
          <w:sz w:val="32"/>
          <w:szCs w:val="32"/>
          <w:lang w:val="en-US" w:eastAsia="zh-CN"/>
        </w:rPr>
        <w:t>8</w:t>
      </w:r>
      <w:r>
        <w:rPr>
          <w:rFonts w:hint="default" w:ascii="Times New Roman" w:hAnsi="Times New Roman" w:eastAsia="仿宋_GB2312" w:cs="Times New Roman"/>
          <w:b w:val="0"/>
          <w:bCs/>
          <w:kern w:val="0"/>
          <w:sz w:val="32"/>
          <w:szCs w:val="32"/>
        </w:rPr>
        <w:t>年相比，收、支分别</w:t>
      </w:r>
      <w:r>
        <w:rPr>
          <w:rFonts w:hint="default" w:ascii="Times New Roman" w:hAnsi="Times New Roman" w:eastAsia="仿宋_GB2312" w:cs="Times New Roman"/>
          <w:b w:val="0"/>
          <w:bCs/>
          <w:kern w:val="0"/>
          <w:sz w:val="32"/>
          <w:szCs w:val="32"/>
          <w:lang w:eastAsia="zh-CN"/>
        </w:rPr>
        <w:t>减少</w:t>
      </w:r>
      <w:r>
        <w:rPr>
          <w:rFonts w:hint="default" w:ascii="Times New Roman" w:hAnsi="Times New Roman" w:eastAsia="仿宋_GB2312" w:cs="Times New Roman"/>
          <w:b w:val="0"/>
          <w:bCs/>
          <w:kern w:val="0"/>
          <w:sz w:val="32"/>
          <w:szCs w:val="32"/>
          <w:lang w:val="en-US" w:eastAsia="zh-CN"/>
        </w:rPr>
        <w:t>859.35万元</w:t>
      </w:r>
      <w:r>
        <w:rPr>
          <w:rFonts w:hint="default" w:ascii="Times New Roman" w:hAnsi="Times New Roman" w:eastAsia="仿宋_GB2312" w:cs="Times New Roman"/>
          <w:b w:val="0"/>
          <w:bCs/>
          <w:kern w:val="0"/>
          <w:sz w:val="32"/>
          <w:szCs w:val="32"/>
        </w:rPr>
        <w:t>；分别</w:t>
      </w:r>
      <w:r>
        <w:rPr>
          <w:rFonts w:hint="eastAsia" w:eastAsia="仿宋_GB2312" w:cs="Times New Roman"/>
          <w:b w:val="0"/>
          <w:bCs/>
          <w:kern w:val="0"/>
          <w:sz w:val="32"/>
          <w:szCs w:val="32"/>
          <w:lang w:eastAsia="zh-CN"/>
        </w:rPr>
        <w:t>下降</w:t>
      </w:r>
      <w:r>
        <w:rPr>
          <w:rFonts w:hint="default" w:ascii="Times New Roman" w:hAnsi="Times New Roman" w:eastAsia="仿宋_GB2312" w:cs="Times New Roman"/>
          <w:b w:val="0"/>
          <w:bCs/>
          <w:kern w:val="0"/>
          <w:sz w:val="32"/>
          <w:szCs w:val="32"/>
          <w:lang w:val="en-US" w:eastAsia="zh-CN"/>
        </w:rPr>
        <w:t>12.6</w:t>
      </w:r>
      <w:r>
        <w:rPr>
          <w:rFonts w:hint="eastAsia" w:eastAsia="仿宋_GB2312" w:cs="Times New Roman"/>
          <w:b w:val="0"/>
          <w:bCs/>
          <w:kern w:val="0"/>
          <w:sz w:val="32"/>
          <w:szCs w:val="32"/>
          <w:lang w:val="en-US" w:eastAsia="zh-CN"/>
        </w:rPr>
        <w:t>1</w:t>
      </w:r>
      <w:r>
        <w:rPr>
          <w:rFonts w:hint="default" w:ascii="Times New Roman" w:hAnsi="Times New Roman" w:eastAsia="仿宋_GB2312" w:cs="Times New Roman"/>
          <w:b w:val="0"/>
          <w:bCs/>
          <w:kern w:val="0"/>
          <w:sz w:val="32"/>
          <w:szCs w:val="32"/>
        </w:rPr>
        <w:t>%</w:t>
      </w:r>
      <w:r>
        <w:rPr>
          <w:rFonts w:hint="default" w:ascii="Times New Roman" w:hAnsi="Times New Roman" w:eastAsia="仿宋_GB2312" w:cs="Times New Roman"/>
          <w:b w:val="0"/>
          <w:bCs/>
          <w:kern w:val="0"/>
          <w:sz w:val="32"/>
          <w:szCs w:val="32"/>
          <w:lang w:eastAsia="zh-CN"/>
        </w:rPr>
        <w:t>。</w:t>
      </w:r>
    </w:p>
    <w:p>
      <w:pPr>
        <w:autoSpaceDE w:val="0"/>
        <w:autoSpaceDN w:val="0"/>
        <w:adjustRightInd w:val="0"/>
        <w:spacing w:line="56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eastAsia="zh-CN"/>
        </w:rPr>
        <w:t>二、201</w:t>
      </w:r>
      <w:r>
        <w:rPr>
          <w:rFonts w:hint="default" w:ascii="Times New Roman" w:hAnsi="Times New Roman" w:eastAsia="仿宋_GB2312" w:cs="Times New Roman"/>
          <w:b/>
          <w:kern w:val="0"/>
          <w:sz w:val="32"/>
          <w:szCs w:val="32"/>
          <w:lang w:val="en-US" w:eastAsia="zh-CN"/>
        </w:rPr>
        <w:t>9</w:t>
      </w:r>
      <w:r>
        <w:rPr>
          <w:rFonts w:hint="default" w:ascii="Times New Roman" w:hAnsi="Times New Roman" w:eastAsia="仿宋_GB2312" w:cs="Times New Roman"/>
          <w:b/>
          <w:kern w:val="0"/>
          <w:sz w:val="32"/>
          <w:szCs w:val="32"/>
        </w:rPr>
        <w:t>年度收入决算情况</w:t>
      </w:r>
    </w:p>
    <w:p>
      <w:pPr>
        <w:autoSpaceDE w:val="0"/>
        <w:autoSpaceDN w:val="0"/>
        <w:adjustRightInd w:val="0"/>
        <w:spacing w:line="560" w:lineRule="exact"/>
        <w:ind w:firstLine="640"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val="0"/>
          <w:bCs/>
          <w:kern w:val="0"/>
          <w:sz w:val="32"/>
          <w:szCs w:val="32"/>
        </w:rPr>
        <w:t>本年收入总计</w:t>
      </w:r>
      <w:r>
        <w:rPr>
          <w:rFonts w:hint="default" w:ascii="Times New Roman" w:hAnsi="Times New Roman" w:eastAsia="仿宋_GB2312" w:cs="Times New Roman"/>
          <w:b w:val="0"/>
          <w:bCs/>
          <w:kern w:val="0"/>
          <w:sz w:val="32"/>
          <w:szCs w:val="32"/>
          <w:lang w:val="en-US" w:eastAsia="zh-CN"/>
        </w:rPr>
        <w:t>5955.58</w:t>
      </w:r>
      <w:r>
        <w:rPr>
          <w:rFonts w:hint="default" w:ascii="Times New Roman" w:hAnsi="Times New Roman" w:eastAsia="仿宋_GB2312" w:cs="Times New Roman"/>
          <w:b w:val="0"/>
          <w:bCs/>
          <w:kern w:val="0"/>
          <w:sz w:val="32"/>
          <w:szCs w:val="32"/>
        </w:rPr>
        <w:t>万元，其中：</w:t>
      </w:r>
      <w:r>
        <w:rPr>
          <w:rFonts w:hint="default" w:ascii="Times New Roman" w:hAnsi="Times New Roman" w:eastAsia="仿宋_GB2312" w:cs="Times New Roman"/>
          <w:b w:val="0"/>
          <w:bCs/>
          <w:kern w:val="0"/>
          <w:sz w:val="32"/>
          <w:szCs w:val="32"/>
          <w:lang w:eastAsia="zh-CN"/>
        </w:rPr>
        <w:t>一般公共预算财政拨款</w:t>
      </w:r>
      <w:r>
        <w:rPr>
          <w:rFonts w:hint="default" w:ascii="Times New Roman" w:hAnsi="Times New Roman" w:eastAsia="仿宋_GB2312" w:cs="Times New Roman"/>
          <w:b w:val="0"/>
          <w:bCs/>
          <w:kern w:val="0"/>
          <w:sz w:val="32"/>
          <w:szCs w:val="32"/>
        </w:rPr>
        <w:t>收入</w:t>
      </w:r>
      <w:r>
        <w:rPr>
          <w:rFonts w:hint="default" w:ascii="Times New Roman" w:hAnsi="Times New Roman" w:eastAsia="仿宋_GB2312" w:cs="Times New Roman"/>
          <w:b w:val="0"/>
          <w:bCs/>
          <w:kern w:val="0"/>
          <w:sz w:val="32"/>
          <w:szCs w:val="32"/>
          <w:lang w:val="en-US" w:eastAsia="zh-CN"/>
        </w:rPr>
        <w:t>5340.67</w:t>
      </w:r>
      <w:r>
        <w:rPr>
          <w:rFonts w:hint="default" w:ascii="Times New Roman" w:hAnsi="Times New Roman" w:eastAsia="仿宋_GB2312" w:cs="Times New Roman"/>
          <w:b w:val="0"/>
          <w:bCs/>
          <w:kern w:val="0"/>
          <w:sz w:val="32"/>
          <w:szCs w:val="32"/>
        </w:rPr>
        <w:t>万元</w:t>
      </w:r>
      <w:r>
        <w:rPr>
          <w:rFonts w:hint="eastAsia" w:eastAsia="仿宋_GB2312" w:cs="Times New Roman"/>
          <w:b w:val="0"/>
          <w:bCs/>
          <w:kern w:val="0"/>
          <w:sz w:val="32"/>
          <w:szCs w:val="32"/>
          <w:lang w:eastAsia="zh-CN"/>
        </w:rPr>
        <w:t>，</w:t>
      </w:r>
      <w:r>
        <w:rPr>
          <w:rFonts w:hint="default" w:ascii="Times New Roman" w:hAnsi="Times New Roman" w:eastAsia="仿宋_GB2312" w:cs="Times New Roman"/>
          <w:b w:val="0"/>
          <w:bCs/>
          <w:kern w:val="0"/>
          <w:sz w:val="32"/>
          <w:szCs w:val="32"/>
        </w:rPr>
        <w:t>占比</w:t>
      </w:r>
      <w:r>
        <w:rPr>
          <w:rFonts w:hint="default" w:ascii="Times New Roman" w:hAnsi="Times New Roman" w:eastAsia="仿宋_GB2312" w:cs="Times New Roman"/>
          <w:b w:val="0"/>
          <w:bCs/>
          <w:kern w:val="0"/>
          <w:sz w:val="32"/>
          <w:szCs w:val="32"/>
          <w:lang w:val="en-US" w:eastAsia="zh-CN"/>
        </w:rPr>
        <w:t>89.68%</w:t>
      </w:r>
      <w:r>
        <w:rPr>
          <w:rFonts w:hint="default" w:ascii="Times New Roman" w:hAnsi="Times New Roman" w:eastAsia="仿宋_GB2312" w:cs="Times New Roman"/>
          <w:b w:val="0"/>
          <w:bCs/>
          <w:kern w:val="0"/>
          <w:sz w:val="32"/>
          <w:szCs w:val="32"/>
        </w:rPr>
        <w:t>；其他收入</w:t>
      </w:r>
      <w:r>
        <w:rPr>
          <w:rFonts w:hint="default" w:ascii="Times New Roman" w:hAnsi="Times New Roman" w:eastAsia="仿宋_GB2312" w:cs="Times New Roman"/>
          <w:b w:val="0"/>
          <w:bCs/>
          <w:kern w:val="0"/>
          <w:sz w:val="32"/>
          <w:szCs w:val="32"/>
          <w:lang w:val="en-US" w:eastAsia="zh-CN"/>
        </w:rPr>
        <w:t>0.06</w:t>
      </w:r>
      <w:r>
        <w:rPr>
          <w:rFonts w:hint="default" w:ascii="Times New Roman" w:hAnsi="Times New Roman" w:eastAsia="仿宋_GB2312" w:cs="Times New Roman"/>
          <w:b w:val="0"/>
          <w:bCs/>
          <w:kern w:val="0"/>
          <w:sz w:val="32"/>
          <w:szCs w:val="32"/>
        </w:rPr>
        <w:t>万元，占比</w:t>
      </w:r>
      <w:r>
        <w:rPr>
          <w:rFonts w:hint="default" w:ascii="Times New Roman" w:hAnsi="Times New Roman" w:eastAsia="仿宋_GB2312" w:cs="Times New Roman"/>
          <w:b w:val="0"/>
          <w:bCs/>
          <w:kern w:val="0"/>
          <w:sz w:val="32"/>
          <w:szCs w:val="32"/>
          <w:lang w:val="en-US" w:eastAsia="zh-CN"/>
        </w:rPr>
        <w:t>0.001%；</w:t>
      </w:r>
      <w:r>
        <w:rPr>
          <w:rFonts w:hint="default" w:ascii="Times New Roman" w:hAnsi="Times New Roman" w:eastAsia="仿宋_GB2312" w:cs="Times New Roman"/>
          <w:bCs/>
          <w:kern w:val="0"/>
          <w:sz w:val="32"/>
          <w:szCs w:val="32"/>
        </w:rPr>
        <w:t>年初结转和结余</w:t>
      </w:r>
      <w:r>
        <w:rPr>
          <w:rFonts w:hint="default" w:ascii="Times New Roman" w:hAnsi="Times New Roman" w:eastAsia="仿宋_GB2312" w:cs="Times New Roman"/>
          <w:bCs/>
          <w:kern w:val="0"/>
          <w:sz w:val="32"/>
          <w:szCs w:val="32"/>
          <w:lang w:val="en-US" w:eastAsia="zh-CN"/>
        </w:rPr>
        <w:t>614.85</w:t>
      </w:r>
      <w:r>
        <w:rPr>
          <w:rFonts w:hint="default" w:ascii="Times New Roman" w:hAnsi="Times New Roman" w:eastAsia="仿宋_GB2312" w:cs="Times New Roman"/>
          <w:bCs/>
          <w:kern w:val="0"/>
          <w:sz w:val="32"/>
          <w:szCs w:val="32"/>
        </w:rPr>
        <w:t>万元，占1</w:t>
      </w:r>
      <w:r>
        <w:rPr>
          <w:rFonts w:hint="default" w:ascii="Times New Roman" w:hAnsi="Times New Roman" w:eastAsia="仿宋_GB2312" w:cs="Times New Roman"/>
          <w:bCs/>
          <w:kern w:val="0"/>
          <w:sz w:val="32"/>
          <w:szCs w:val="32"/>
          <w:lang w:val="en-US" w:eastAsia="zh-CN"/>
        </w:rPr>
        <w:t>0.32</w:t>
      </w:r>
      <w:r>
        <w:rPr>
          <w:rFonts w:hint="default" w:ascii="Times New Roman" w:hAnsi="Times New Roman" w:eastAsia="仿宋_GB2312" w:cs="Times New Roman"/>
          <w:bCs/>
          <w:kern w:val="0"/>
          <w:sz w:val="32"/>
          <w:szCs w:val="32"/>
        </w:rPr>
        <w:t>%。</w:t>
      </w:r>
    </w:p>
    <w:p>
      <w:pPr>
        <w:autoSpaceDE w:val="0"/>
        <w:autoSpaceDN w:val="0"/>
        <w:adjustRightInd w:val="0"/>
        <w:spacing w:line="56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eastAsia="zh-CN"/>
        </w:rPr>
        <w:t>三、201</w:t>
      </w:r>
      <w:r>
        <w:rPr>
          <w:rFonts w:hint="default" w:ascii="Times New Roman" w:hAnsi="Times New Roman" w:eastAsia="仿宋_GB2312" w:cs="Times New Roman"/>
          <w:b/>
          <w:kern w:val="0"/>
          <w:sz w:val="32"/>
          <w:szCs w:val="32"/>
          <w:lang w:val="en-US" w:eastAsia="zh-CN"/>
        </w:rPr>
        <w:t>9</w:t>
      </w:r>
      <w:r>
        <w:rPr>
          <w:rFonts w:hint="default" w:ascii="Times New Roman" w:hAnsi="Times New Roman" w:eastAsia="仿宋_GB2312" w:cs="Times New Roman"/>
          <w:b/>
          <w:kern w:val="0"/>
          <w:sz w:val="32"/>
          <w:szCs w:val="32"/>
        </w:rPr>
        <w:t>年度</w:t>
      </w:r>
      <w:r>
        <w:rPr>
          <w:rFonts w:hint="default" w:ascii="Times New Roman" w:hAnsi="Times New Roman" w:eastAsia="仿宋_GB2312" w:cs="Times New Roman"/>
          <w:b/>
          <w:kern w:val="0"/>
          <w:sz w:val="32"/>
          <w:szCs w:val="32"/>
          <w:lang w:eastAsia="zh-CN"/>
        </w:rPr>
        <w:t>支出</w:t>
      </w:r>
      <w:r>
        <w:rPr>
          <w:rFonts w:hint="default" w:ascii="Times New Roman" w:hAnsi="Times New Roman" w:eastAsia="仿宋_GB2312" w:cs="Times New Roman"/>
          <w:b/>
          <w:kern w:val="0"/>
          <w:sz w:val="32"/>
          <w:szCs w:val="32"/>
        </w:rPr>
        <w:t>决算情况</w:t>
      </w:r>
    </w:p>
    <w:p>
      <w:pPr>
        <w:autoSpaceDE w:val="0"/>
        <w:autoSpaceDN w:val="0"/>
        <w:adjustRightInd w:val="0"/>
        <w:spacing w:line="560" w:lineRule="exact"/>
        <w:ind w:firstLine="640" w:firstLineChars="200"/>
        <w:jc w:val="left"/>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rPr>
        <w:t>本年支出合计</w:t>
      </w:r>
      <w:r>
        <w:rPr>
          <w:rFonts w:hint="default" w:ascii="Times New Roman" w:hAnsi="Times New Roman" w:eastAsia="仿宋_GB2312" w:cs="Times New Roman"/>
          <w:b w:val="0"/>
          <w:bCs/>
          <w:kern w:val="0"/>
          <w:sz w:val="32"/>
          <w:szCs w:val="32"/>
          <w:lang w:val="en-US" w:eastAsia="zh-CN"/>
        </w:rPr>
        <w:t>5955.58</w:t>
      </w:r>
      <w:r>
        <w:rPr>
          <w:rFonts w:hint="default" w:ascii="Times New Roman" w:hAnsi="Times New Roman" w:eastAsia="仿宋_GB2312" w:cs="Times New Roman"/>
          <w:b w:val="0"/>
          <w:bCs/>
          <w:kern w:val="0"/>
          <w:sz w:val="32"/>
          <w:szCs w:val="32"/>
        </w:rPr>
        <w:t>万元，其中：基本支出</w:t>
      </w:r>
      <w:r>
        <w:rPr>
          <w:rFonts w:hint="default" w:ascii="Times New Roman" w:hAnsi="Times New Roman" w:eastAsia="仿宋_GB2312" w:cs="Times New Roman"/>
          <w:b w:val="0"/>
          <w:bCs/>
          <w:kern w:val="0"/>
          <w:sz w:val="32"/>
          <w:szCs w:val="32"/>
          <w:lang w:val="en-US" w:eastAsia="zh-CN"/>
        </w:rPr>
        <w:t>2477.16</w:t>
      </w:r>
      <w:r>
        <w:rPr>
          <w:rFonts w:hint="default" w:ascii="Times New Roman" w:hAnsi="Times New Roman" w:eastAsia="仿宋_GB2312" w:cs="Times New Roman"/>
          <w:b w:val="0"/>
          <w:bCs/>
          <w:kern w:val="0"/>
          <w:sz w:val="32"/>
          <w:szCs w:val="32"/>
        </w:rPr>
        <w:t>万元，占</w:t>
      </w:r>
      <w:r>
        <w:rPr>
          <w:rFonts w:hint="default" w:ascii="Times New Roman" w:hAnsi="Times New Roman" w:eastAsia="仿宋_GB2312" w:cs="Times New Roman"/>
          <w:b w:val="0"/>
          <w:bCs/>
          <w:kern w:val="0"/>
          <w:sz w:val="32"/>
          <w:szCs w:val="32"/>
          <w:lang w:val="en-US" w:eastAsia="zh-CN"/>
        </w:rPr>
        <w:t>41.59</w:t>
      </w:r>
      <w:r>
        <w:rPr>
          <w:rFonts w:hint="default" w:ascii="Times New Roman" w:hAnsi="Times New Roman" w:eastAsia="仿宋_GB2312" w:cs="Times New Roman"/>
          <w:b w:val="0"/>
          <w:bCs/>
          <w:kern w:val="0"/>
          <w:sz w:val="32"/>
          <w:szCs w:val="32"/>
        </w:rPr>
        <w:t>%；项目支出</w:t>
      </w:r>
      <w:r>
        <w:rPr>
          <w:rFonts w:hint="default" w:ascii="Times New Roman" w:hAnsi="Times New Roman" w:eastAsia="仿宋_GB2312" w:cs="Times New Roman"/>
          <w:b w:val="0"/>
          <w:bCs/>
          <w:kern w:val="0"/>
          <w:sz w:val="32"/>
          <w:szCs w:val="32"/>
          <w:lang w:val="en-US" w:eastAsia="zh-CN"/>
        </w:rPr>
        <w:t>2997.41</w:t>
      </w:r>
      <w:r>
        <w:rPr>
          <w:rFonts w:hint="default" w:ascii="Times New Roman" w:hAnsi="Times New Roman" w:eastAsia="仿宋_GB2312" w:cs="Times New Roman"/>
          <w:b w:val="0"/>
          <w:bCs/>
          <w:kern w:val="0"/>
          <w:sz w:val="32"/>
          <w:szCs w:val="32"/>
        </w:rPr>
        <w:t>万元</w:t>
      </w:r>
      <w:r>
        <w:rPr>
          <w:rFonts w:hint="default"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b w:val="0"/>
          <w:bCs/>
          <w:kern w:val="0"/>
          <w:sz w:val="32"/>
          <w:szCs w:val="32"/>
        </w:rPr>
        <w:t>占</w:t>
      </w:r>
      <w:r>
        <w:rPr>
          <w:rFonts w:hint="default" w:ascii="Times New Roman" w:hAnsi="Times New Roman" w:eastAsia="仿宋_GB2312" w:cs="Times New Roman"/>
          <w:b w:val="0"/>
          <w:bCs/>
          <w:kern w:val="0"/>
          <w:sz w:val="32"/>
          <w:szCs w:val="32"/>
          <w:lang w:val="en-US" w:eastAsia="zh-CN"/>
        </w:rPr>
        <w:t>50.33</w:t>
      </w:r>
      <w:r>
        <w:rPr>
          <w:rFonts w:hint="default" w:ascii="Times New Roman" w:hAnsi="Times New Roman" w:eastAsia="仿宋_GB2312" w:cs="Times New Roman"/>
          <w:b w:val="0"/>
          <w:bCs/>
          <w:kern w:val="0"/>
          <w:sz w:val="32"/>
          <w:szCs w:val="32"/>
        </w:rPr>
        <w:t>%；</w:t>
      </w:r>
      <w:r>
        <w:rPr>
          <w:rFonts w:hint="default" w:ascii="Times New Roman" w:hAnsi="Times New Roman" w:eastAsia="仿宋_GB2312" w:cs="Times New Roman"/>
          <w:bCs/>
          <w:kern w:val="0"/>
          <w:sz w:val="32"/>
          <w:szCs w:val="32"/>
        </w:rPr>
        <w:t>年末结转结余</w:t>
      </w:r>
      <w:r>
        <w:rPr>
          <w:rFonts w:hint="default" w:ascii="Times New Roman" w:hAnsi="Times New Roman" w:eastAsia="仿宋_GB2312" w:cs="Times New Roman"/>
          <w:bCs/>
          <w:kern w:val="0"/>
          <w:sz w:val="32"/>
          <w:szCs w:val="32"/>
          <w:lang w:val="en-US" w:eastAsia="zh-CN"/>
        </w:rPr>
        <w:t>481.01万元，占8.08%。</w:t>
      </w:r>
    </w:p>
    <w:p>
      <w:pPr>
        <w:autoSpaceDE w:val="0"/>
        <w:autoSpaceDN w:val="0"/>
        <w:adjustRightInd w:val="0"/>
        <w:spacing w:line="560" w:lineRule="exact"/>
        <w:ind w:firstLine="643" w:firstLineChars="200"/>
        <w:jc w:val="left"/>
        <w:rPr>
          <w:rFonts w:hint="default" w:ascii="Times New Roman" w:hAnsi="Times New Roman" w:eastAsia="仿宋_GB2312" w:cs="Times New Roman"/>
          <w:b/>
          <w:kern w:val="0"/>
          <w:sz w:val="32"/>
          <w:szCs w:val="32"/>
          <w:lang w:eastAsia="zh-CN"/>
        </w:rPr>
      </w:pPr>
      <w:r>
        <w:rPr>
          <w:rFonts w:hint="default" w:ascii="Times New Roman" w:hAnsi="Times New Roman" w:eastAsia="仿宋_GB2312" w:cs="Times New Roman"/>
          <w:b/>
          <w:bCs w:val="0"/>
          <w:kern w:val="0"/>
          <w:sz w:val="32"/>
          <w:szCs w:val="32"/>
          <w:lang w:eastAsia="zh-CN"/>
        </w:rPr>
        <w:t>四、</w:t>
      </w:r>
      <w:r>
        <w:rPr>
          <w:rFonts w:hint="default" w:ascii="Times New Roman" w:hAnsi="Times New Roman" w:eastAsia="仿宋_GB2312" w:cs="Times New Roman"/>
          <w:b/>
          <w:kern w:val="0"/>
          <w:sz w:val="32"/>
          <w:szCs w:val="32"/>
          <w:lang w:eastAsia="zh-CN"/>
        </w:rPr>
        <w:t>201</w:t>
      </w:r>
      <w:r>
        <w:rPr>
          <w:rFonts w:hint="default" w:ascii="Times New Roman" w:hAnsi="Times New Roman" w:eastAsia="仿宋_GB2312" w:cs="Times New Roman"/>
          <w:b/>
          <w:kern w:val="0"/>
          <w:sz w:val="32"/>
          <w:szCs w:val="32"/>
          <w:lang w:val="en-US" w:eastAsia="zh-CN"/>
        </w:rPr>
        <w:t>9</w:t>
      </w:r>
      <w:r>
        <w:rPr>
          <w:rFonts w:hint="default" w:ascii="Times New Roman" w:hAnsi="Times New Roman" w:eastAsia="仿宋_GB2312" w:cs="Times New Roman"/>
          <w:b/>
          <w:kern w:val="0"/>
          <w:sz w:val="32"/>
          <w:szCs w:val="32"/>
        </w:rPr>
        <w:t>年度</w:t>
      </w:r>
      <w:r>
        <w:rPr>
          <w:rFonts w:hint="default" w:ascii="Times New Roman" w:hAnsi="Times New Roman" w:eastAsia="仿宋_GB2312" w:cs="Times New Roman"/>
          <w:b/>
          <w:kern w:val="0"/>
          <w:sz w:val="32"/>
          <w:szCs w:val="32"/>
          <w:lang w:eastAsia="zh-CN"/>
        </w:rPr>
        <w:t>财政拨款收入支出决算情况</w:t>
      </w:r>
    </w:p>
    <w:p>
      <w:pPr>
        <w:autoSpaceDE w:val="0"/>
        <w:autoSpaceDN w:val="0"/>
        <w:adjustRightInd w:val="0"/>
        <w:spacing w:line="56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本部门</w:t>
      </w:r>
      <w:r>
        <w:rPr>
          <w:rFonts w:hint="default" w:ascii="Times New Roman" w:hAnsi="Times New Roman" w:eastAsia="仿宋_GB2312" w:cs="Times New Roman"/>
          <w:bCs/>
          <w:kern w:val="0"/>
          <w:sz w:val="32"/>
          <w:szCs w:val="32"/>
          <w:lang w:eastAsia="zh-CN"/>
        </w:rPr>
        <w:t>201</w:t>
      </w:r>
      <w:r>
        <w:rPr>
          <w:rFonts w:hint="default" w:ascii="Times New Roman" w:hAnsi="Times New Roman" w:eastAsia="仿宋_GB2312" w:cs="Times New Roman"/>
          <w:bCs/>
          <w:kern w:val="0"/>
          <w:sz w:val="32"/>
          <w:szCs w:val="32"/>
          <w:lang w:val="en-US" w:eastAsia="zh-CN"/>
        </w:rPr>
        <w:t>9</w:t>
      </w:r>
      <w:r>
        <w:rPr>
          <w:rFonts w:hint="default" w:ascii="Times New Roman" w:hAnsi="Times New Roman" w:eastAsia="仿宋_GB2312" w:cs="Times New Roman"/>
          <w:bCs/>
          <w:kern w:val="0"/>
          <w:sz w:val="32"/>
          <w:szCs w:val="32"/>
        </w:rPr>
        <w:t>年度财政拨款收、支总决算</w:t>
      </w:r>
      <w:r>
        <w:rPr>
          <w:rFonts w:hint="eastAsia" w:eastAsia="仿宋_GB2312" w:cs="Times New Roman"/>
          <w:bCs/>
          <w:kern w:val="0"/>
          <w:sz w:val="32"/>
          <w:szCs w:val="32"/>
          <w:lang w:val="en-US" w:eastAsia="zh-CN"/>
        </w:rPr>
        <w:t>5955.17</w:t>
      </w:r>
      <w:r>
        <w:rPr>
          <w:rFonts w:hint="default" w:ascii="Times New Roman" w:hAnsi="Times New Roman" w:eastAsia="仿宋_GB2312" w:cs="Times New Roman"/>
          <w:bCs/>
          <w:kern w:val="0"/>
          <w:sz w:val="32"/>
          <w:szCs w:val="32"/>
        </w:rPr>
        <w:t>万元、</w:t>
      </w:r>
      <w:r>
        <w:rPr>
          <w:rFonts w:hint="eastAsia" w:eastAsia="仿宋_GB2312" w:cs="Times New Roman"/>
          <w:bCs/>
          <w:kern w:val="0"/>
          <w:sz w:val="32"/>
          <w:szCs w:val="32"/>
          <w:lang w:val="en-US" w:eastAsia="zh-CN"/>
        </w:rPr>
        <w:t>5955.17</w:t>
      </w:r>
      <w:r>
        <w:rPr>
          <w:rFonts w:hint="default" w:ascii="Times New Roman" w:hAnsi="Times New Roman" w:eastAsia="仿宋_GB2312" w:cs="Times New Roman"/>
          <w:bCs/>
          <w:kern w:val="0"/>
          <w:sz w:val="32"/>
          <w:szCs w:val="32"/>
        </w:rPr>
        <w:t>万元。与</w:t>
      </w:r>
      <w:r>
        <w:rPr>
          <w:rFonts w:hint="default" w:ascii="Times New Roman" w:hAnsi="Times New Roman" w:eastAsia="仿宋_GB2312" w:cs="Times New Roman"/>
          <w:bCs/>
          <w:kern w:val="0"/>
          <w:sz w:val="32"/>
          <w:szCs w:val="32"/>
          <w:lang w:eastAsia="zh-CN"/>
        </w:rPr>
        <w:t>201</w:t>
      </w:r>
      <w:r>
        <w:rPr>
          <w:rFonts w:hint="default" w:ascii="Times New Roman" w:hAnsi="Times New Roman" w:eastAsia="仿宋_GB2312" w:cs="Times New Roman"/>
          <w:bCs/>
          <w:kern w:val="0"/>
          <w:sz w:val="32"/>
          <w:szCs w:val="32"/>
          <w:lang w:val="en-US" w:eastAsia="zh-CN"/>
        </w:rPr>
        <w:t>8</w:t>
      </w:r>
      <w:r>
        <w:rPr>
          <w:rFonts w:hint="default" w:ascii="Times New Roman" w:hAnsi="Times New Roman" w:eastAsia="仿宋_GB2312" w:cs="Times New Roman"/>
          <w:bCs/>
          <w:kern w:val="0"/>
          <w:sz w:val="32"/>
          <w:szCs w:val="32"/>
        </w:rPr>
        <w:t>年相比，财政拨款收、支总计各</w:t>
      </w:r>
      <w:r>
        <w:rPr>
          <w:rFonts w:hint="eastAsia" w:eastAsia="仿宋_GB2312" w:cs="Times New Roman"/>
          <w:bCs/>
          <w:kern w:val="0"/>
          <w:sz w:val="32"/>
          <w:szCs w:val="32"/>
          <w:lang w:eastAsia="zh-CN"/>
        </w:rPr>
        <w:t>减少</w:t>
      </w:r>
      <w:r>
        <w:rPr>
          <w:rFonts w:hint="eastAsia" w:eastAsia="仿宋_GB2312" w:cs="Times New Roman"/>
          <w:bCs/>
          <w:kern w:val="0"/>
          <w:sz w:val="32"/>
          <w:szCs w:val="32"/>
          <w:lang w:val="en-US" w:eastAsia="zh-CN"/>
        </w:rPr>
        <w:t>859.41</w:t>
      </w:r>
      <w:r>
        <w:rPr>
          <w:rFonts w:hint="default" w:ascii="Times New Roman" w:hAnsi="Times New Roman" w:eastAsia="仿宋_GB2312" w:cs="Times New Roman"/>
          <w:bCs/>
          <w:kern w:val="0"/>
          <w:sz w:val="32"/>
          <w:szCs w:val="32"/>
        </w:rPr>
        <w:t>万元，</w:t>
      </w:r>
      <w:r>
        <w:rPr>
          <w:rFonts w:hint="eastAsia" w:eastAsia="仿宋_GB2312" w:cs="Times New Roman"/>
          <w:bCs/>
          <w:kern w:val="0"/>
          <w:sz w:val="32"/>
          <w:szCs w:val="32"/>
          <w:lang w:eastAsia="zh-CN"/>
        </w:rPr>
        <w:t>下降</w:t>
      </w:r>
      <w:r>
        <w:rPr>
          <w:rFonts w:hint="eastAsia" w:eastAsia="仿宋_GB2312" w:cs="Times New Roman"/>
          <w:bCs/>
          <w:kern w:val="0"/>
          <w:sz w:val="32"/>
          <w:szCs w:val="32"/>
          <w:lang w:val="en-US" w:eastAsia="zh-CN"/>
        </w:rPr>
        <w:t>12.61</w:t>
      </w:r>
      <w:r>
        <w:rPr>
          <w:rFonts w:hint="default" w:ascii="Times New Roman" w:hAnsi="Times New Roman" w:eastAsia="仿宋_GB2312" w:cs="Times New Roman"/>
          <w:bCs/>
          <w:kern w:val="0"/>
          <w:sz w:val="32"/>
          <w:szCs w:val="32"/>
        </w:rPr>
        <w:t>%。</w:t>
      </w:r>
    </w:p>
    <w:p>
      <w:pPr>
        <w:autoSpaceDE w:val="0"/>
        <w:autoSpaceDN w:val="0"/>
        <w:adjustRightInd w:val="0"/>
        <w:spacing w:line="56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bCs w:val="0"/>
          <w:kern w:val="0"/>
          <w:sz w:val="32"/>
          <w:szCs w:val="32"/>
        </w:rPr>
        <w:t>五</w:t>
      </w:r>
      <w:r>
        <w:rPr>
          <w:rFonts w:hint="default" w:ascii="Times New Roman" w:hAnsi="Times New Roman" w:eastAsia="仿宋_GB2312" w:cs="Times New Roman"/>
          <w:b/>
          <w:bCs w:val="0"/>
          <w:kern w:val="0"/>
          <w:sz w:val="32"/>
          <w:szCs w:val="32"/>
          <w:lang w:eastAsia="zh-CN"/>
        </w:rPr>
        <w:t>、</w:t>
      </w:r>
      <w:r>
        <w:rPr>
          <w:rFonts w:hint="default" w:ascii="Times New Roman" w:hAnsi="Times New Roman" w:eastAsia="仿宋_GB2312" w:cs="Times New Roman"/>
          <w:b/>
          <w:kern w:val="0"/>
          <w:sz w:val="32"/>
          <w:szCs w:val="32"/>
          <w:lang w:eastAsia="zh-CN"/>
        </w:rPr>
        <w:t>201</w:t>
      </w:r>
      <w:r>
        <w:rPr>
          <w:rFonts w:hint="default" w:ascii="Times New Roman" w:hAnsi="Times New Roman" w:eastAsia="仿宋_GB2312" w:cs="Times New Roman"/>
          <w:b/>
          <w:kern w:val="0"/>
          <w:sz w:val="32"/>
          <w:szCs w:val="32"/>
          <w:lang w:val="en-US" w:eastAsia="zh-CN"/>
        </w:rPr>
        <w:t>9</w:t>
      </w:r>
      <w:r>
        <w:rPr>
          <w:rFonts w:hint="default" w:ascii="Times New Roman" w:hAnsi="Times New Roman" w:eastAsia="仿宋_GB2312" w:cs="Times New Roman"/>
          <w:b/>
          <w:kern w:val="0"/>
          <w:sz w:val="32"/>
          <w:szCs w:val="32"/>
        </w:rPr>
        <w:t>年度一般公共预算财政拨款支出决算情况</w:t>
      </w:r>
    </w:p>
    <w:p>
      <w:pPr>
        <w:autoSpaceDE w:val="0"/>
        <w:autoSpaceDN w:val="0"/>
        <w:adjustRightInd w:val="0"/>
        <w:spacing w:line="56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（一）财政拨款支出决算情况。 </w:t>
      </w:r>
    </w:p>
    <w:p>
      <w:pPr>
        <w:autoSpaceDE w:val="0"/>
        <w:autoSpaceDN w:val="0"/>
        <w:adjustRightInd w:val="0"/>
        <w:spacing w:line="56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部门</w:t>
      </w:r>
      <w:r>
        <w:rPr>
          <w:rFonts w:hint="default" w:ascii="Times New Roman" w:hAnsi="Times New Roman" w:eastAsia="仿宋_GB2312" w:cs="Times New Roman"/>
          <w:bCs/>
          <w:kern w:val="0"/>
          <w:sz w:val="32"/>
          <w:szCs w:val="32"/>
          <w:lang w:eastAsia="zh-CN"/>
        </w:rPr>
        <w:t>201</w:t>
      </w:r>
      <w:r>
        <w:rPr>
          <w:rFonts w:hint="default" w:ascii="Times New Roman" w:hAnsi="Times New Roman" w:eastAsia="仿宋_GB2312" w:cs="Times New Roman"/>
          <w:bCs/>
          <w:kern w:val="0"/>
          <w:sz w:val="32"/>
          <w:szCs w:val="32"/>
          <w:lang w:val="en-US" w:eastAsia="zh-CN"/>
        </w:rPr>
        <w:t>9</w:t>
      </w:r>
      <w:r>
        <w:rPr>
          <w:rFonts w:hint="default" w:ascii="Times New Roman" w:hAnsi="Times New Roman" w:eastAsia="仿宋_GB2312" w:cs="Times New Roman"/>
          <w:bCs/>
          <w:kern w:val="0"/>
          <w:sz w:val="32"/>
          <w:szCs w:val="32"/>
        </w:rPr>
        <w:t>年度财政拨款支出</w:t>
      </w:r>
      <w:r>
        <w:rPr>
          <w:rFonts w:hint="eastAsia" w:eastAsia="仿宋_GB2312" w:cs="Times New Roman"/>
          <w:bCs/>
          <w:kern w:val="0"/>
          <w:sz w:val="32"/>
          <w:szCs w:val="32"/>
          <w:lang w:val="en-US" w:eastAsia="zh-CN"/>
        </w:rPr>
        <w:t>5474.57</w:t>
      </w:r>
      <w:r>
        <w:rPr>
          <w:rFonts w:hint="default" w:ascii="Times New Roman" w:hAnsi="Times New Roman" w:eastAsia="仿宋_GB2312" w:cs="Times New Roman"/>
          <w:bCs/>
          <w:kern w:val="0"/>
          <w:sz w:val="32"/>
          <w:szCs w:val="32"/>
        </w:rPr>
        <w:t>万元，占本年支出合计的</w:t>
      </w:r>
      <w:r>
        <w:rPr>
          <w:rFonts w:hint="eastAsia" w:eastAsia="仿宋_GB2312" w:cs="Times New Roman"/>
          <w:bCs/>
          <w:kern w:val="0"/>
          <w:sz w:val="32"/>
          <w:szCs w:val="32"/>
          <w:lang w:val="en-US" w:eastAsia="zh-CN"/>
        </w:rPr>
        <w:t>91.92</w:t>
      </w:r>
      <w:r>
        <w:rPr>
          <w:rFonts w:hint="default" w:ascii="Times New Roman" w:hAnsi="Times New Roman" w:eastAsia="仿宋_GB2312" w:cs="Times New Roman"/>
          <w:bCs/>
          <w:kern w:val="0"/>
          <w:sz w:val="32"/>
          <w:szCs w:val="32"/>
        </w:rPr>
        <w:t>%。与</w:t>
      </w:r>
      <w:r>
        <w:rPr>
          <w:rFonts w:hint="default" w:ascii="Times New Roman" w:hAnsi="Times New Roman" w:eastAsia="仿宋_GB2312" w:cs="Times New Roman"/>
          <w:bCs/>
          <w:kern w:val="0"/>
          <w:sz w:val="32"/>
          <w:szCs w:val="32"/>
          <w:lang w:eastAsia="zh-CN"/>
        </w:rPr>
        <w:t>201</w:t>
      </w:r>
      <w:r>
        <w:rPr>
          <w:rFonts w:hint="default" w:ascii="Times New Roman" w:hAnsi="Times New Roman" w:eastAsia="仿宋_GB2312" w:cs="Times New Roman"/>
          <w:bCs/>
          <w:kern w:val="0"/>
          <w:sz w:val="32"/>
          <w:szCs w:val="32"/>
          <w:lang w:val="en-US" w:eastAsia="zh-CN"/>
        </w:rPr>
        <w:t>8</w:t>
      </w:r>
      <w:r>
        <w:rPr>
          <w:rFonts w:hint="default" w:ascii="Times New Roman" w:hAnsi="Times New Roman" w:eastAsia="仿宋_GB2312" w:cs="Times New Roman"/>
          <w:bCs/>
          <w:kern w:val="0"/>
          <w:sz w:val="32"/>
          <w:szCs w:val="32"/>
        </w:rPr>
        <w:t>年相比，财政拨款支出减</w:t>
      </w:r>
      <w:r>
        <w:rPr>
          <w:rFonts w:hint="eastAsia" w:eastAsia="仿宋_GB2312" w:cs="Times New Roman"/>
          <w:bCs/>
          <w:kern w:val="0"/>
          <w:sz w:val="32"/>
          <w:szCs w:val="32"/>
          <w:lang w:eastAsia="zh-CN"/>
        </w:rPr>
        <w:t>少</w:t>
      </w:r>
      <w:r>
        <w:rPr>
          <w:rFonts w:hint="eastAsia" w:eastAsia="仿宋_GB2312" w:cs="Times New Roman"/>
          <w:bCs/>
          <w:kern w:val="0"/>
          <w:sz w:val="32"/>
          <w:szCs w:val="32"/>
          <w:lang w:val="en-US" w:eastAsia="zh-CN"/>
        </w:rPr>
        <w:t>610.19</w:t>
      </w:r>
      <w:r>
        <w:rPr>
          <w:rFonts w:hint="default" w:ascii="Times New Roman" w:hAnsi="Times New Roman" w:eastAsia="仿宋_GB2312" w:cs="Times New Roman"/>
          <w:bCs/>
          <w:kern w:val="0"/>
          <w:sz w:val="32"/>
          <w:szCs w:val="32"/>
        </w:rPr>
        <w:t>万元，下降</w:t>
      </w:r>
      <w:r>
        <w:rPr>
          <w:rFonts w:hint="eastAsia" w:eastAsia="仿宋_GB2312" w:cs="Times New Roman"/>
          <w:bCs/>
          <w:kern w:val="0"/>
          <w:sz w:val="32"/>
          <w:szCs w:val="32"/>
          <w:lang w:val="en-US" w:eastAsia="zh-CN"/>
        </w:rPr>
        <w:t>10.03</w:t>
      </w:r>
      <w:r>
        <w:rPr>
          <w:rFonts w:hint="default" w:ascii="Times New Roman" w:hAnsi="Times New Roman" w:eastAsia="仿宋_GB2312" w:cs="Times New Roman"/>
          <w:bCs/>
          <w:kern w:val="0"/>
          <w:sz w:val="32"/>
          <w:szCs w:val="32"/>
        </w:rPr>
        <w:t>%。</w:t>
      </w:r>
    </w:p>
    <w:p>
      <w:pPr>
        <w:autoSpaceDE w:val="0"/>
        <w:autoSpaceDN w:val="0"/>
        <w:adjustRightInd w:val="0"/>
        <w:spacing w:line="560" w:lineRule="exact"/>
        <w:ind w:firstLine="640" w:firstLineChars="200"/>
        <w:jc w:val="left"/>
        <w:rPr>
          <w:rFonts w:hint="eastAsia"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（二）财政拨款支出决算结构情况</w:t>
      </w:r>
      <w:r>
        <w:rPr>
          <w:rFonts w:hint="eastAsia" w:eastAsia="仿宋_GB2312" w:cs="Times New Roman"/>
          <w:bCs/>
          <w:kern w:val="0"/>
          <w:sz w:val="32"/>
          <w:szCs w:val="32"/>
          <w:lang w:eastAsia="zh-CN"/>
        </w:rPr>
        <w:t>。</w:t>
      </w:r>
    </w:p>
    <w:p>
      <w:pPr>
        <w:autoSpaceDE w:val="0"/>
        <w:autoSpaceDN w:val="0"/>
        <w:adjustRightInd w:val="0"/>
        <w:spacing w:line="560" w:lineRule="exact"/>
        <w:ind w:firstLine="0" w:firstLineChars="0"/>
        <w:jc w:val="left"/>
        <w:rPr>
          <w:rFonts w:hint="eastAsia"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 xml:space="preserve">    </w:t>
      </w:r>
      <w:r>
        <w:rPr>
          <w:rFonts w:hint="default" w:ascii="Times New Roman" w:hAnsi="Times New Roman" w:eastAsia="仿宋_GB2312" w:cs="Times New Roman"/>
          <w:bCs/>
          <w:kern w:val="0"/>
          <w:sz w:val="32"/>
          <w:szCs w:val="32"/>
        </w:rPr>
        <w:t xml:space="preserve"> </w:t>
      </w:r>
      <w:r>
        <w:rPr>
          <w:rFonts w:hint="default" w:ascii="Times New Roman" w:hAnsi="Times New Roman" w:eastAsia="仿宋_GB2312" w:cs="Times New Roman"/>
          <w:bCs/>
          <w:kern w:val="0"/>
          <w:sz w:val="32"/>
          <w:szCs w:val="32"/>
          <w:lang w:eastAsia="zh-CN"/>
        </w:rPr>
        <w:t>201</w:t>
      </w:r>
      <w:r>
        <w:rPr>
          <w:rFonts w:hint="default" w:ascii="Times New Roman" w:hAnsi="Times New Roman" w:eastAsia="仿宋_GB2312" w:cs="Times New Roman"/>
          <w:bCs/>
          <w:kern w:val="0"/>
          <w:sz w:val="32"/>
          <w:szCs w:val="32"/>
          <w:lang w:val="en-US" w:eastAsia="zh-CN"/>
        </w:rPr>
        <w:t>9</w:t>
      </w:r>
      <w:r>
        <w:rPr>
          <w:rFonts w:hint="default" w:ascii="Times New Roman" w:hAnsi="Times New Roman" w:eastAsia="仿宋_GB2312" w:cs="Times New Roman"/>
          <w:bCs/>
          <w:kern w:val="0"/>
          <w:sz w:val="32"/>
          <w:szCs w:val="32"/>
        </w:rPr>
        <w:t xml:space="preserve"> 年度财政拨款支出</w:t>
      </w:r>
      <w:r>
        <w:rPr>
          <w:rFonts w:hint="eastAsia" w:eastAsia="仿宋_GB2312" w:cs="Times New Roman"/>
          <w:bCs/>
          <w:kern w:val="0"/>
          <w:sz w:val="32"/>
          <w:szCs w:val="32"/>
          <w:lang w:val="en-US" w:eastAsia="zh-CN"/>
        </w:rPr>
        <w:t>5474.57</w:t>
      </w:r>
      <w:r>
        <w:rPr>
          <w:rFonts w:hint="default" w:ascii="Times New Roman" w:hAnsi="Times New Roman" w:eastAsia="仿宋_GB2312" w:cs="Times New Roman"/>
          <w:bCs/>
          <w:kern w:val="0"/>
          <w:sz w:val="32"/>
          <w:szCs w:val="32"/>
        </w:rPr>
        <w:t xml:space="preserve">万元，主要用于以下方面：一般公共服务（类）支出 </w:t>
      </w:r>
      <w:r>
        <w:rPr>
          <w:rFonts w:hint="eastAsia" w:eastAsia="仿宋_GB2312" w:cs="Times New Roman"/>
          <w:bCs/>
          <w:kern w:val="0"/>
          <w:sz w:val="32"/>
          <w:szCs w:val="32"/>
          <w:lang w:val="en-US" w:eastAsia="zh-CN"/>
        </w:rPr>
        <w:t>4662.39</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85.16</w:t>
      </w:r>
      <w:r>
        <w:rPr>
          <w:rFonts w:hint="default" w:ascii="Times New Roman" w:hAnsi="Times New Roman" w:eastAsia="仿宋_GB2312" w:cs="Times New Roman"/>
          <w:bCs/>
          <w:kern w:val="0"/>
          <w:sz w:val="32"/>
          <w:szCs w:val="32"/>
        </w:rPr>
        <w:t>%；社会保障和就业（类）支出</w:t>
      </w:r>
      <w:r>
        <w:rPr>
          <w:rFonts w:hint="eastAsia" w:eastAsia="仿宋_GB2312" w:cs="Times New Roman"/>
          <w:bCs/>
          <w:kern w:val="0"/>
          <w:sz w:val="32"/>
          <w:szCs w:val="32"/>
          <w:lang w:val="en-US" w:eastAsia="zh-CN"/>
        </w:rPr>
        <w:t>271.66</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4.96</w:t>
      </w:r>
      <w:r>
        <w:rPr>
          <w:rFonts w:hint="default" w:ascii="Times New Roman" w:hAnsi="Times New Roman" w:eastAsia="仿宋_GB2312" w:cs="Times New Roman"/>
          <w:bCs/>
          <w:kern w:val="0"/>
          <w:sz w:val="32"/>
          <w:szCs w:val="32"/>
        </w:rPr>
        <w:t>%；</w:t>
      </w:r>
      <w:r>
        <w:rPr>
          <w:rFonts w:hint="eastAsia" w:eastAsia="仿宋_GB2312" w:cs="Times New Roman"/>
          <w:bCs/>
          <w:kern w:val="0"/>
          <w:sz w:val="32"/>
          <w:szCs w:val="32"/>
          <w:lang w:eastAsia="zh-CN"/>
        </w:rPr>
        <w:t>卫生健康</w:t>
      </w:r>
      <w:r>
        <w:rPr>
          <w:rFonts w:hint="default" w:ascii="Times New Roman" w:hAnsi="Times New Roman" w:eastAsia="仿宋_GB2312" w:cs="Times New Roman"/>
          <w:bCs/>
          <w:kern w:val="0"/>
          <w:sz w:val="32"/>
          <w:szCs w:val="32"/>
        </w:rPr>
        <w:t>（类）支出</w:t>
      </w:r>
      <w:r>
        <w:rPr>
          <w:rFonts w:hint="eastAsia" w:eastAsia="仿宋_GB2312" w:cs="Times New Roman"/>
          <w:bCs/>
          <w:kern w:val="0"/>
          <w:sz w:val="32"/>
          <w:szCs w:val="32"/>
          <w:lang w:val="en-US" w:eastAsia="zh-CN"/>
        </w:rPr>
        <w:t>172.32</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3.15</w:t>
      </w:r>
      <w:r>
        <w:rPr>
          <w:rFonts w:hint="default" w:ascii="Times New Roman" w:hAnsi="Times New Roman" w:eastAsia="仿宋_GB2312" w:cs="Times New Roman"/>
          <w:bCs/>
          <w:kern w:val="0"/>
          <w:sz w:val="32"/>
          <w:szCs w:val="32"/>
        </w:rPr>
        <w:t>%；</w:t>
      </w:r>
      <w:r>
        <w:rPr>
          <w:rFonts w:hint="eastAsia" w:eastAsia="仿宋_GB2312" w:cs="Times New Roman"/>
          <w:bCs/>
          <w:kern w:val="0"/>
          <w:sz w:val="32"/>
          <w:szCs w:val="32"/>
          <w:lang w:eastAsia="zh-CN"/>
        </w:rPr>
        <w:t>资源勘探信息（类）等支出</w:t>
      </w:r>
      <w:r>
        <w:rPr>
          <w:rFonts w:hint="eastAsia" w:eastAsia="仿宋_GB2312" w:cs="Times New Roman"/>
          <w:bCs/>
          <w:kern w:val="0"/>
          <w:sz w:val="32"/>
          <w:szCs w:val="32"/>
          <w:lang w:val="en-US" w:eastAsia="zh-CN"/>
        </w:rPr>
        <w:t>169.14万元，占3.09%；</w:t>
      </w:r>
      <w:r>
        <w:rPr>
          <w:rFonts w:hint="default" w:ascii="Times New Roman" w:hAnsi="Times New Roman" w:eastAsia="仿宋_GB2312" w:cs="Times New Roman"/>
          <w:bCs/>
          <w:kern w:val="0"/>
          <w:sz w:val="32"/>
          <w:szCs w:val="32"/>
        </w:rPr>
        <w:t>住房保障（类）支出</w:t>
      </w:r>
      <w:r>
        <w:rPr>
          <w:rFonts w:hint="eastAsia" w:eastAsia="仿宋_GB2312" w:cs="Times New Roman"/>
          <w:bCs/>
          <w:kern w:val="0"/>
          <w:sz w:val="32"/>
          <w:szCs w:val="32"/>
          <w:lang w:val="en-US" w:eastAsia="zh-CN"/>
        </w:rPr>
        <w:t>199.06</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3.64</w:t>
      </w:r>
      <w:r>
        <w:rPr>
          <w:rFonts w:hint="default" w:ascii="Times New Roman" w:hAnsi="Times New Roman" w:eastAsia="仿宋_GB2312" w:cs="Times New Roman"/>
          <w:bCs/>
          <w:kern w:val="0"/>
          <w:sz w:val="32"/>
          <w:szCs w:val="32"/>
        </w:rPr>
        <w:t>%</w:t>
      </w:r>
      <w:r>
        <w:rPr>
          <w:rFonts w:hint="eastAsia" w:eastAsia="仿宋_GB2312" w:cs="Times New Roman"/>
          <w:bCs/>
          <w:kern w:val="0"/>
          <w:sz w:val="32"/>
          <w:szCs w:val="32"/>
          <w:lang w:eastAsia="zh-CN"/>
        </w:rPr>
        <w:t>。</w:t>
      </w:r>
    </w:p>
    <w:p>
      <w:pPr>
        <w:autoSpaceDE w:val="0"/>
        <w:autoSpaceDN w:val="0"/>
        <w:adjustRightInd w:val="0"/>
        <w:spacing w:line="560" w:lineRule="exact"/>
        <w:ind w:firstLine="640" w:firstLineChars="200"/>
        <w:jc w:val="left"/>
        <w:rPr>
          <w:rFonts w:hint="eastAsia"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（三）财政拨款支出决算具体情况</w:t>
      </w:r>
      <w:r>
        <w:rPr>
          <w:rFonts w:hint="eastAsia" w:eastAsia="仿宋_GB2312" w:cs="Times New Roman"/>
          <w:bCs/>
          <w:kern w:val="0"/>
          <w:sz w:val="32"/>
          <w:szCs w:val="32"/>
          <w:lang w:eastAsia="zh-CN"/>
        </w:rPr>
        <w:t>。</w:t>
      </w:r>
    </w:p>
    <w:p>
      <w:pPr>
        <w:autoSpaceDE w:val="0"/>
        <w:autoSpaceDN w:val="0"/>
        <w:adjustRightInd w:val="0"/>
        <w:spacing w:line="56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eastAsia="zh-CN"/>
        </w:rPr>
        <w:t>201</w:t>
      </w:r>
      <w:r>
        <w:rPr>
          <w:rFonts w:hint="default" w:ascii="Times New Roman" w:hAnsi="Times New Roman" w:eastAsia="仿宋_GB2312" w:cs="Times New Roman"/>
          <w:bCs/>
          <w:kern w:val="0"/>
          <w:sz w:val="32"/>
          <w:szCs w:val="32"/>
          <w:lang w:val="en-US" w:eastAsia="zh-CN"/>
        </w:rPr>
        <w:t>9</w:t>
      </w:r>
      <w:r>
        <w:rPr>
          <w:rFonts w:hint="default" w:ascii="Times New Roman" w:hAnsi="Times New Roman" w:eastAsia="仿宋_GB2312" w:cs="Times New Roman"/>
          <w:bCs/>
          <w:kern w:val="0"/>
          <w:sz w:val="32"/>
          <w:szCs w:val="32"/>
        </w:rPr>
        <w:t>年度财政拨款支出年初预算为</w:t>
      </w:r>
      <w:r>
        <w:rPr>
          <w:rFonts w:hint="eastAsia" w:eastAsia="仿宋_GB2312" w:cs="Times New Roman"/>
          <w:bCs/>
          <w:kern w:val="0"/>
          <w:sz w:val="32"/>
          <w:szCs w:val="32"/>
          <w:lang w:val="en-US" w:eastAsia="zh-CN"/>
        </w:rPr>
        <w:t>4615.91</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5474.57</w:t>
      </w:r>
      <w:r>
        <w:rPr>
          <w:rFonts w:hint="default" w:ascii="Times New Roman" w:hAnsi="Times New Roman" w:eastAsia="仿宋_GB2312" w:cs="Times New Roman"/>
          <w:bCs/>
          <w:kern w:val="0"/>
          <w:sz w:val="32"/>
          <w:szCs w:val="32"/>
        </w:rPr>
        <w:t>万元，完成年初预算的</w:t>
      </w:r>
      <w:r>
        <w:rPr>
          <w:rFonts w:hint="eastAsia" w:eastAsia="仿宋_GB2312" w:cs="Times New Roman"/>
          <w:bCs/>
          <w:kern w:val="0"/>
          <w:sz w:val="32"/>
          <w:szCs w:val="32"/>
          <w:lang w:val="en-US" w:eastAsia="zh-CN"/>
        </w:rPr>
        <w:t>118.60</w:t>
      </w:r>
      <w:r>
        <w:rPr>
          <w:rFonts w:hint="default" w:ascii="Times New Roman" w:hAnsi="Times New Roman" w:eastAsia="仿宋_GB2312" w:cs="Times New Roman"/>
          <w:bCs/>
          <w:kern w:val="0"/>
          <w:sz w:val="32"/>
          <w:szCs w:val="32"/>
        </w:rPr>
        <w:t>%。决算数大于预算数的主要原因：一是年中追加安排财政拨款支出预算，涉及项目有</w:t>
      </w:r>
      <w:r>
        <w:rPr>
          <w:rFonts w:hint="eastAsia" w:eastAsia="仿宋_GB2312" w:cs="Times New Roman"/>
          <w:bCs/>
          <w:kern w:val="0"/>
          <w:sz w:val="32"/>
          <w:szCs w:val="32"/>
          <w:lang w:eastAsia="zh-CN"/>
        </w:rPr>
        <w:t>增人增资、企业开办印章刻制经费支出等</w:t>
      </w:r>
      <w:r>
        <w:rPr>
          <w:rFonts w:hint="default" w:ascii="Times New Roman" w:hAnsi="Times New Roman" w:eastAsia="仿宋_GB2312" w:cs="Times New Roman"/>
          <w:bCs/>
          <w:kern w:val="0"/>
          <w:sz w:val="32"/>
          <w:szCs w:val="32"/>
        </w:rPr>
        <w:t>；二是部分支出按规定，通过使用以前年度财政拨款结转资金解决。其中：</w:t>
      </w:r>
    </w:p>
    <w:p>
      <w:pPr>
        <w:autoSpaceDE w:val="0"/>
        <w:autoSpaceDN w:val="0"/>
        <w:adjustRightInd w:val="0"/>
        <w:spacing w:line="560" w:lineRule="exact"/>
        <w:ind w:firstLine="640" w:firstLineChars="200"/>
        <w:jc w:val="left"/>
        <w:rPr>
          <w:rFonts w:eastAsia="仿宋_GB2312"/>
          <w:bCs/>
          <w:kern w:val="0"/>
          <w:sz w:val="32"/>
          <w:szCs w:val="32"/>
        </w:rPr>
      </w:pPr>
      <w:r>
        <w:rPr>
          <w:rFonts w:eastAsia="仿宋_GB2312"/>
          <w:bCs/>
          <w:kern w:val="0"/>
          <w:sz w:val="32"/>
          <w:szCs w:val="32"/>
        </w:rPr>
        <w:t>1. 201类03款01项行政运行。年初预算为</w:t>
      </w:r>
      <w:r>
        <w:rPr>
          <w:rFonts w:hint="eastAsia" w:eastAsia="仿宋_GB2312"/>
          <w:bCs/>
          <w:kern w:val="0"/>
          <w:sz w:val="32"/>
          <w:szCs w:val="32"/>
          <w:lang w:val="en-US" w:eastAsia="zh-CN"/>
        </w:rPr>
        <w:t>798.52</w:t>
      </w:r>
      <w:r>
        <w:rPr>
          <w:rFonts w:eastAsia="仿宋_GB2312"/>
          <w:bCs/>
          <w:kern w:val="0"/>
          <w:sz w:val="32"/>
          <w:szCs w:val="32"/>
        </w:rPr>
        <w:t>万元，支出决算为</w:t>
      </w:r>
      <w:r>
        <w:rPr>
          <w:rFonts w:hint="eastAsia" w:eastAsia="仿宋_GB2312"/>
          <w:bCs/>
          <w:kern w:val="0"/>
          <w:sz w:val="32"/>
          <w:szCs w:val="32"/>
          <w:lang w:val="en-US" w:eastAsia="zh-CN"/>
        </w:rPr>
        <w:t>882.78</w:t>
      </w:r>
      <w:r>
        <w:rPr>
          <w:rFonts w:eastAsia="仿宋_GB2312"/>
          <w:bCs/>
          <w:kern w:val="0"/>
          <w:sz w:val="32"/>
          <w:szCs w:val="32"/>
        </w:rPr>
        <w:t>万元，完成年初预算的</w:t>
      </w:r>
      <w:r>
        <w:rPr>
          <w:rFonts w:hint="eastAsia" w:eastAsia="仿宋_GB2312"/>
          <w:bCs/>
          <w:kern w:val="0"/>
          <w:sz w:val="32"/>
          <w:szCs w:val="32"/>
          <w:lang w:val="en-US" w:eastAsia="zh-CN"/>
        </w:rPr>
        <w:t>110.55</w:t>
      </w:r>
      <w:r>
        <w:rPr>
          <w:rFonts w:eastAsia="仿宋_GB2312"/>
          <w:bCs/>
          <w:kern w:val="0"/>
          <w:sz w:val="32"/>
          <w:szCs w:val="32"/>
        </w:rPr>
        <w:t>%。决算数大于预算数的主要原因一是</w:t>
      </w:r>
      <w:r>
        <w:rPr>
          <w:rFonts w:hint="eastAsia" w:eastAsia="仿宋_GB2312"/>
          <w:bCs/>
          <w:kern w:val="0"/>
          <w:sz w:val="32"/>
          <w:szCs w:val="32"/>
          <w:lang w:eastAsia="zh-CN"/>
        </w:rPr>
        <w:t>增人增资</w:t>
      </w:r>
      <w:r>
        <w:rPr>
          <w:rFonts w:eastAsia="仿宋_GB2312"/>
          <w:bCs/>
          <w:kern w:val="0"/>
          <w:sz w:val="32"/>
          <w:szCs w:val="32"/>
        </w:rPr>
        <w:t>；二是下达了</w:t>
      </w:r>
      <w:r>
        <w:rPr>
          <w:rFonts w:hint="eastAsia" w:eastAsia="仿宋_GB2312"/>
          <w:bCs/>
          <w:kern w:val="0"/>
          <w:sz w:val="32"/>
          <w:szCs w:val="32"/>
          <w:lang w:eastAsia="zh-CN"/>
        </w:rPr>
        <w:t>绩效考评奖励</w:t>
      </w:r>
      <w:r>
        <w:rPr>
          <w:rFonts w:eastAsia="仿宋_GB2312"/>
          <w:bCs/>
          <w:kern w:val="0"/>
          <w:sz w:val="32"/>
          <w:szCs w:val="32"/>
        </w:rPr>
        <w:t>；三是</w:t>
      </w:r>
      <w:r>
        <w:rPr>
          <w:rFonts w:hint="eastAsia" w:eastAsia="仿宋_GB2312"/>
          <w:bCs/>
          <w:kern w:val="0"/>
          <w:sz w:val="32"/>
          <w:szCs w:val="32"/>
        </w:rPr>
        <w:t>使用</w:t>
      </w:r>
      <w:r>
        <w:rPr>
          <w:rFonts w:eastAsia="仿宋_GB2312"/>
          <w:bCs/>
          <w:kern w:val="0"/>
          <w:sz w:val="32"/>
          <w:szCs w:val="32"/>
        </w:rPr>
        <w:t>上年结转指标：公用经费、</w:t>
      </w:r>
      <w:r>
        <w:rPr>
          <w:rFonts w:hint="eastAsia" w:eastAsia="仿宋_GB2312"/>
          <w:bCs/>
          <w:kern w:val="0"/>
          <w:sz w:val="32"/>
          <w:szCs w:val="32"/>
          <w:lang w:eastAsia="zh-CN"/>
        </w:rPr>
        <w:t>增人增资</w:t>
      </w:r>
      <w:r>
        <w:rPr>
          <w:rFonts w:eastAsia="仿宋_GB2312"/>
          <w:bCs/>
          <w:kern w:val="0"/>
          <w:sz w:val="32"/>
          <w:szCs w:val="32"/>
        </w:rPr>
        <w:t>等。</w:t>
      </w:r>
    </w:p>
    <w:p>
      <w:pPr>
        <w:autoSpaceDE w:val="0"/>
        <w:autoSpaceDN w:val="0"/>
        <w:adjustRightInd w:val="0"/>
        <w:spacing w:line="560" w:lineRule="exact"/>
        <w:ind w:firstLine="640" w:firstLineChars="200"/>
        <w:jc w:val="left"/>
        <w:rPr>
          <w:rFonts w:eastAsia="仿宋_GB2312"/>
          <w:bCs/>
          <w:kern w:val="0"/>
          <w:sz w:val="32"/>
          <w:szCs w:val="32"/>
        </w:rPr>
      </w:pPr>
      <w:r>
        <w:rPr>
          <w:rFonts w:eastAsia="仿宋_GB2312"/>
          <w:bCs/>
          <w:kern w:val="0"/>
          <w:sz w:val="32"/>
          <w:szCs w:val="32"/>
        </w:rPr>
        <w:t>2. 201类03款06项政务公开审批。年初预算为</w:t>
      </w:r>
      <w:r>
        <w:rPr>
          <w:rFonts w:hint="eastAsia" w:eastAsia="仿宋_GB2312"/>
          <w:bCs/>
          <w:kern w:val="0"/>
          <w:sz w:val="32"/>
          <w:szCs w:val="32"/>
          <w:lang w:val="en-US" w:eastAsia="zh-CN"/>
        </w:rPr>
        <w:t>2328.90</w:t>
      </w:r>
      <w:r>
        <w:rPr>
          <w:rFonts w:eastAsia="仿宋_GB2312"/>
          <w:bCs/>
          <w:kern w:val="0"/>
          <w:sz w:val="32"/>
          <w:szCs w:val="32"/>
        </w:rPr>
        <w:t>万元，支出决算为</w:t>
      </w:r>
      <w:r>
        <w:rPr>
          <w:rFonts w:hint="eastAsia" w:eastAsia="仿宋_GB2312"/>
          <w:bCs/>
          <w:kern w:val="0"/>
          <w:sz w:val="32"/>
          <w:szCs w:val="32"/>
          <w:lang w:val="en-US" w:eastAsia="zh-CN"/>
        </w:rPr>
        <w:t>2828.27</w:t>
      </w:r>
      <w:r>
        <w:rPr>
          <w:rFonts w:eastAsia="仿宋_GB2312"/>
          <w:bCs/>
          <w:kern w:val="0"/>
          <w:sz w:val="32"/>
          <w:szCs w:val="32"/>
        </w:rPr>
        <w:t>万元，完成年初预算的</w:t>
      </w:r>
      <w:r>
        <w:rPr>
          <w:rFonts w:hint="eastAsia" w:eastAsia="仿宋_GB2312"/>
          <w:bCs/>
          <w:kern w:val="0"/>
          <w:sz w:val="32"/>
          <w:szCs w:val="32"/>
          <w:lang w:val="en-US" w:eastAsia="zh-CN"/>
        </w:rPr>
        <w:t>121.44</w:t>
      </w:r>
      <w:r>
        <w:rPr>
          <w:rFonts w:eastAsia="仿宋_GB2312"/>
          <w:bCs/>
          <w:kern w:val="0"/>
          <w:sz w:val="32"/>
          <w:szCs w:val="32"/>
        </w:rPr>
        <w:t xml:space="preserve"> %。决算数大于预算数的主要原因一是下达了</w:t>
      </w:r>
      <w:r>
        <w:rPr>
          <w:rFonts w:hint="eastAsia" w:eastAsia="仿宋_GB2312"/>
          <w:bCs/>
          <w:kern w:val="0"/>
          <w:sz w:val="32"/>
          <w:szCs w:val="32"/>
          <w:lang w:eastAsia="zh-CN"/>
        </w:rPr>
        <w:t>聘用人员经费</w:t>
      </w:r>
      <w:r>
        <w:rPr>
          <w:rFonts w:eastAsia="仿宋_GB2312"/>
          <w:bCs/>
          <w:kern w:val="0"/>
          <w:sz w:val="32"/>
          <w:szCs w:val="32"/>
        </w:rPr>
        <w:t>；二是下达了</w:t>
      </w:r>
      <w:r>
        <w:rPr>
          <w:rFonts w:hint="eastAsia" w:eastAsia="仿宋_GB2312"/>
          <w:sz w:val="32"/>
          <w:szCs w:val="32"/>
          <w:lang w:eastAsia="zh-CN"/>
        </w:rPr>
        <w:t>柳州市企业开办印章刻制经费</w:t>
      </w:r>
      <w:r>
        <w:rPr>
          <w:rFonts w:eastAsia="仿宋_GB2312"/>
          <w:bCs/>
          <w:kern w:val="0"/>
          <w:sz w:val="32"/>
          <w:szCs w:val="32"/>
        </w:rPr>
        <w:t>；三是</w:t>
      </w:r>
      <w:r>
        <w:rPr>
          <w:rFonts w:hint="eastAsia" w:eastAsia="仿宋_GB2312"/>
          <w:bCs/>
          <w:kern w:val="0"/>
          <w:sz w:val="32"/>
          <w:szCs w:val="32"/>
        </w:rPr>
        <w:t>使用</w:t>
      </w:r>
      <w:r>
        <w:rPr>
          <w:rFonts w:eastAsia="仿宋_GB2312"/>
          <w:bCs/>
          <w:kern w:val="0"/>
          <w:sz w:val="32"/>
          <w:szCs w:val="32"/>
        </w:rPr>
        <w:t xml:space="preserve">上年结转指标：审批成本性支出、信息网络建设等。 </w:t>
      </w:r>
    </w:p>
    <w:p>
      <w:pPr>
        <w:autoSpaceDE w:val="0"/>
        <w:autoSpaceDN w:val="0"/>
        <w:adjustRightInd w:val="0"/>
        <w:spacing w:line="560" w:lineRule="exact"/>
        <w:ind w:firstLine="640" w:firstLineChars="200"/>
        <w:jc w:val="left"/>
        <w:rPr>
          <w:rFonts w:eastAsia="仿宋_GB2312"/>
          <w:bCs/>
          <w:kern w:val="0"/>
          <w:sz w:val="32"/>
          <w:szCs w:val="32"/>
        </w:rPr>
      </w:pPr>
      <w:r>
        <w:rPr>
          <w:rFonts w:eastAsia="仿宋_GB2312"/>
          <w:bCs/>
          <w:kern w:val="0"/>
          <w:sz w:val="32"/>
          <w:szCs w:val="32"/>
        </w:rPr>
        <w:t>3. 201类03款50项事业运行。年初预算为</w:t>
      </w:r>
      <w:r>
        <w:rPr>
          <w:rFonts w:hint="eastAsia" w:eastAsia="仿宋_GB2312"/>
          <w:bCs/>
          <w:kern w:val="0"/>
          <w:sz w:val="32"/>
          <w:szCs w:val="32"/>
          <w:lang w:val="en-US" w:eastAsia="zh-CN"/>
        </w:rPr>
        <w:t>877.92</w:t>
      </w:r>
      <w:r>
        <w:rPr>
          <w:rFonts w:eastAsia="仿宋_GB2312"/>
          <w:bCs/>
          <w:kern w:val="0"/>
          <w:sz w:val="32"/>
          <w:szCs w:val="32"/>
        </w:rPr>
        <w:t>万元，支出决算为</w:t>
      </w:r>
      <w:r>
        <w:rPr>
          <w:rFonts w:hint="eastAsia" w:eastAsia="仿宋_GB2312"/>
          <w:bCs/>
          <w:kern w:val="0"/>
          <w:sz w:val="32"/>
          <w:szCs w:val="32"/>
          <w:lang w:val="en-US" w:eastAsia="zh-CN"/>
        </w:rPr>
        <w:t>951.35</w:t>
      </w:r>
      <w:r>
        <w:rPr>
          <w:rFonts w:eastAsia="仿宋_GB2312"/>
          <w:bCs/>
          <w:kern w:val="0"/>
          <w:sz w:val="32"/>
          <w:szCs w:val="32"/>
        </w:rPr>
        <w:t>万元，完成年初预算的</w:t>
      </w:r>
      <w:r>
        <w:rPr>
          <w:rFonts w:hint="eastAsia" w:eastAsia="仿宋_GB2312"/>
          <w:bCs/>
          <w:kern w:val="0"/>
          <w:sz w:val="32"/>
          <w:szCs w:val="32"/>
          <w:lang w:val="en-US" w:eastAsia="zh-CN"/>
        </w:rPr>
        <w:t>108.36</w:t>
      </w:r>
      <w:r>
        <w:rPr>
          <w:rFonts w:eastAsia="仿宋_GB2312"/>
          <w:bCs/>
          <w:kern w:val="0"/>
          <w:sz w:val="32"/>
          <w:szCs w:val="32"/>
        </w:rPr>
        <w:t>%。决算数大于预算数的主要原因一是在编人员增人增资；二是下达了预发201</w:t>
      </w:r>
      <w:r>
        <w:rPr>
          <w:rFonts w:hint="eastAsia" w:eastAsia="仿宋_GB2312"/>
          <w:bCs/>
          <w:kern w:val="0"/>
          <w:sz w:val="32"/>
          <w:szCs w:val="32"/>
          <w:lang w:val="en-US" w:eastAsia="zh-CN"/>
        </w:rPr>
        <w:t>9</w:t>
      </w:r>
      <w:r>
        <w:rPr>
          <w:rFonts w:eastAsia="仿宋_GB2312"/>
          <w:bCs/>
          <w:kern w:val="0"/>
          <w:sz w:val="32"/>
          <w:szCs w:val="32"/>
        </w:rPr>
        <w:t>年度绩效考评奖；三是下达了201</w:t>
      </w:r>
      <w:r>
        <w:rPr>
          <w:rFonts w:hint="eastAsia" w:eastAsia="仿宋_GB2312"/>
          <w:bCs/>
          <w:kern w:val="0"/>
          <w:sz w:val="32"/>
          <w:szCs w:val="32"/>
          <w:lang w:val="en-US" w:eastAsia="zh-CN"/>
        </w:rPr>
        <w:t>8</w:t>
      </w:r>
      <w:r>
        <w:rPr>
          <w:rFonts w:eastAsia="仿宋_GB2312"/>
          <w:bCs/>
          <w:kern w:val="0"/>
          <w:sz w:val="32"/>
          <w:szCs w:val="32"/>
        </w:rPr>
        <w:t>年度绩效考评奖；四是</w:t>
      </w:r>
      <w:r>
        <w:rPr>
          <w:rFonts w:hint="eastAsia" w:eastAsia="仿宋_GB2312"/>
          <w:bCs/>
          <w:kern w:val="0"/>
          <w:sz w:val="32"/>
          <w:szCs w:val="32"/>
        </w:rPr>
        <w:t>使用</w:t>
      </w:r>
      <w:r>
        <w:rPr>
          <w:rFonts w:eastAsia="仿宋_GB2312"/>
          <w:bCs/>
          <w:kern w:val="0"/>
          <w:sz w:val="32"/>
          <w:szCs w:val="32"/>
        </w:rPr>
        <w:t>上年结转指标：公用经费、</w:t>
      </w:r>
      <w:r>
        <w:rPr>
          <w:rFonts w:hint="eastAsia" w:eastAsia="仿宋_GB2312"/>
          <w:bCs/>
          <w:kern w:val="0"/>
          <w:sz w:val="32"/>
          <w:szCs w:val="32"/>
          <w:lang w:eastAsia="zh-CN"/>
        </w:rPr>
        <w:t>增人增资</w:t>
      </w:r>
      <w:r>
        <w:rPr>
          <w:rFonts w:eastAsia="仿宋_GB2312"/>
          <w:bCs/>
          <w:kern w:val="0"/>
          <w:sz w:val="32"/>
          <w:szCs w:val="32"/>
        </w:rPr>
        <w:t>等。</w:t>
      </w:r>
    </w:p>
    <w:p>
      <w:pPr>
        <w:autoSpaceDE w:val="0"/>
        <w:autoSpaceDN w:val="0"/>
        <w:adjustRightInd w:val="0"/>
        <w:spacing w:line="560" w:lineRule="exact"/>
        <w:ind w:firstLine="640" w:firstLineChars="200"/>
        <w:jc w:val="left"/>
        <w:rPr>
          <w:rFonts w:eastAsia="仿宋_GB2312"/>
          <w:bCs/>
          <w:kern w:val="0"/>
          <w:sz w:val="32"/>
          <w:szCs w:val="32"/>
        </w:rPr>
      </w:pPr>
      <w:r>
        <w:rPr>
          <w:rFonts w:eastAsia="仿宋_GB2312"/>
          <w:bCs/>
          <w:kern w:val="0"/>
          <w:sz w:val="32"/>
          <w:szCs w:val="32"/>
        </w:rPr>
        <w:t>4. 208类05款01项归口管理的行政单位离退休。年初预算为</w:t>
      </w:r>
      <w:r>
        <w:rPr>
          <w:rFonts w:hint="eastAsia" w:eastAsia="仿宋_GB2312"/>
          <w:bCs/>
          <w:kern w:val="0"/>
          <w:sz w:val="32"/>
          <w:szCs w:val="32"/>
          <w:lang w:val="en-US" w:eastAsia="zh-CN"/>
        </w:rPr>
        <w:t>4.10</w:t>
      </w:r>
      <w:r>
        <w:rPr>
          <w:rFonts w:eastAsia="仿宋_GB2312"/>
          <w:bCs/>
          <w:kern w:val="0"/>
          <w:sz w:val="32"/>
          <w:szCs w:val="32"/>
        </w:rPr>
        <w:t>万元，支出决算为</w:t>
      </w:r>
      <w:r>
        <w:rPr>
          <w:rFonts w:hint="eastAsia" w:eastAsia="仿宋_GB2312"/>
          <w:bCs/>
          <w:kern w:val="0"/>
          <w:sz w:val="32"/>
          <w:szCs w:val="32"/>
          <w:lang w:val="en-US" w:eastAsia="zh-CN"/>
        </w:rPr>
        <w:t>5.02</w:t>
      </w:r>
      <w:r>
        <w:rPr>
          <w:rFonts w:eastAsia="仿宋_GB2312"/>
          <w:bCs/>
          <w:kern w:val="0"/>
          <w:sz w:val="32"/>
          <w:szCs w:val="32"/>
        </w:rPr>
        <w:t>万元，完成年初预算的</w:t>
      </w:r>
      <w:r>
        <w:rPr>
          <w:rFonts w:hint="eastAsia" w:eastAsia="仿宋_GB2312"/>
          <w:bCs/>
          <w:kern w:val="0"/>
          <w:sz w:val="32"/>
          <w:szCs w:val="32"/>
          <w:lang w:val="en-US" w:eastAsia="zh-CN"/>
        </w:rPr>
        <w:t>122.44</w:t>
      </w:r>
      <w:r>
        <w:rPr>
          <w:rFonts w:eastAsia="仿宋_GB2312"/>
          <w:bCs/>
          <w:kern w:val="0"/>
          <w:sz w:val="32"/>
          <w:szCs w:val="32"/>
        </w:rPr>
        <w:t>%。决算数大于预算数的主要原因一是年</w:t>
      </w:r>
      <w:r>
        <w:rPr>
          <w:rFonts w:hint="eastAsia" w:eastAsia="仿宋_GB2312"/>
          <w:bCs/>
          <w:kern w:val="0"/>
          <w:sz w:val="32"/>
          <w:szCs w:val="32"/>
          <w:lang w:eastAsia="zh-CN"/>
        </w:rPr>
        <w:t>末</w:t>
      </w:r>
      <w:r>
        <w:rPr>
          <w:rFonts w:eastAsia="仿宋_GB2312"/>
          <w:bCs/>
          <w:kern w:val="0"/>
          <w:sz w:val="32"/>
          <w:szCs w:val="32"/>
        </w:rPr>
        <w:t>财政下达了退休人员</w:t>
      </w:r>
      <w:r>
        <w:rPr>
          <w:rFonts w:hint="eastAsia" w:eastAsia="仿宋_GB2312"/>
          <w:bCs/>
          <w:kern w:val="0"/>
          <w:sz w:val="32"/>
          <w:szCs w:val="32"/>
          <w:lang w:eastAsia="zh-CN"/>
        </w:rPr>
        <w:t>变动经费</w:t>
      </w:r>
      <w:r>
        <w:rPr>
          <w:rFonts w:eastAsia="仿宋_GB2312"/>
          <w:bCs/>
          <w:kern w:val="0"/>
          <w:sz w:val="32"/>
          <w:szCs w:val="32"/>
        </w:rPr>
        <w:t>；二是</w:t>
      </w:r>
      <w:r>
        <w:rPr>
          <w:rFonts w:hint="eastAsia" w:eastAsia="仿宋_GB2312"/>
          <w:bCs/>
          <w:kern w:val="0"/>
          <w:sz w:val="32"/>
          <w:szCs w:val="32"/>
          <w:lang w:eastAsia="zh-CN"/>
        </w:rPr>
        <w:t>使用了上年结转经费</w:t>
      </w:r>
      <w:r>
        <w:rPr>
          <w:rFonts w:eastAsia="仿宋_GB2312"/>
          <w:bCs/>
          <w:kern w:val="0"/>
          <w:sz w:val="32"/>
          <w:szCs w:val="32"/>
        </w:rPr>
        <w:t>。</w:t>
      </w:r>
    </w:p>
    <w:p>
      <w:pPr>
        <w:autoSpaceDE w:val="0"/>
        <w:autoSpaceDN w:val="0"/>
        <w:adjustRightInd w:val="0"/>
        <w:spacing w:line="560" w:lineRule="exact"/>
        <w:ind w:firstLine="640" w:firstLineChars="200"/>
        <w:jc w:val="left"/>
        <w:rPr>
          <w:rFonts w:eastAsia="仿宋_GB2312"/>
          <w:bCs/>
          <w:kern w:val="0"/>
          <w:sz w:val="32"/>
          <w:szCs w:val="32"/>
        </w:rPr>
      </w:pPr>
      <w:r>
        <w:rPr>
          <w:rFonts w:eastAsia="仿宋_GB2312"/>
          <w:bCs/>
          <w:color w:val="auto"/>
          <w:kern w:val="0"/>
          <w:sz w:val="32"/>
          <w:szCs w:val="32"/>
        </w:rPr>
        <w:t>5.</w:t>
      </w:r>
      <w:r>
        <w:rPr>
          <w:color w:val="auto"/>
        </w:rPr>
        <w:t xml:space="preserve"> </w:t>
      </w:r>
      <w:r>
        <w:rPr>
          <w:rFonts w:eastAsia="仿宋_GB2312"/>
          <w:bCs/>
          <w:color w:val="auto"/>
          <w:kern w:val="0"/>
          <w:sz w:val="32"/>
          <w:szCs w:val="32"/>
        </w:rPr>
        <w:t>208类05款02项事业单位离退休。年初预算为</w:t>
      </w:r>
      <w:r>
        <w:rPr>
          <w:rFonts w:hint="eastAsia" w:eastAsia="仿宋_GB2312"/>
          <w:bCs/>
          <w:color w:val="auto"/>
          <w:kern w:val="0"/>
          <w:sz w:val="32"/>
          <w:szCs w:val="32"/>
          <w:lang w:val="en-US" w:eastAsia="zh-CN"/>
        </w:rPr>
        <w:t>2.15</w:t>
      </w:r>
      <w:r>
        <w:rPr>
          <w:rFonts w:eastAsia="仿宋_GB2312"/>
          <w:bCs/>
          <w:color w:val="auto"/>
          <w:kern w:val="0"/>
          <w:sz w:val="32"/>
          <w:szCs w:val="32"/>
        </w:rPr>
        <w:t>万元，</w:t>
      </w:r>
      <w:r>
        <w:rPr>
          <w:rFonts w:eastAsia="仿宋_GB2312"/>
          <w:bCs/>
          <w:kern w:val="0"/>
          <w:sz w:val="32"/>
          <w:szCs w:val="32"/>
        </w:rPr>
        <w:t>支出决算为</w:t>
      </w:r>
      <w:r>
        <w:rPr>
          <w:rFonts w:hint="eastAsia" w:eastAsia="仿宋_GB2312"/>
          <w:bCs/>
          <w:kern w:val="0"/>
          <w:sz w:val="32"/>
          <w:szCs w:val="32"/>
          <w:lang w:val="en-US" w:eastAsia="zh-CN"/>
        </w:rPr>
        <w:t>2.90</w:t>
      </w:r>
      <w:r>
        <w:rPr>
          <w:rFonts w:eastAsia="仿宋_GB2312"/>
          <w:bCs/>
          <w:kern w:val="0"/>
          <w:sz w:val="32"/>
          <w:szCs w:val="32"/>
        </w:rPr>
        <w:t>万元，完成年初预算的</w:t>
      </w:r>
      <w:r>
        <w:rPr>
          <w:rFonts w:hint="eastAsia" w:eastAsia="仿宋_GB2312"/>
          <w:bCs/>
          <w:kern w:val="0"/>
          <w:sz w:val="32"/>
          <w:szCs w:val="32"/>
          <w:lang w:val="en-US" w:eastAsia="zh-CN"/>
        </w:rPr>
        <w:t>134.88</w:t>
      </w:r>
      <w:r>
        <w:rPr>
          <w:rFonts w:eastAsia="仿宋_GB2312"/>
          <w:bCs/>
          <w:kern w:val="0"/>
          <w:sz w:val="32"/>
          <w:szCs w:val="32"/>
        </w:rPr>
        <w:t>%。决算数大于预算数的主要原因一是年</w:t>
      </w:r>
      <w:r>
        <w:rPr>
          <w:rFonts w:hint="eastAsia" w:eastAsia="仿宋_GB2312"/>
          <w:bCs/>
          <w:kern w:val="0"/>
          <w:sz w:val="32"/>
          <w:szCs w:val="32"/>
          <w:lang w:eastAsia="zh-CN"/>
        </w:rPr>
        <w:t>末</w:t>
      </w:r>
      <w:r>
        <w:rPr>
          <w:rFonts w:eastAsia="仿宋_GB2312"/>
          <w:bCs/>
          <w:kern w:val="0"/>
          <w:sz w:val="32"/>
          <w:szCs w:val="32"/>
        </w:rPr>
        <w:t>财政下达了退休人员</w:t>
      </w:r>
      <w:r>
        <w:rPr>
          <w:rFonts w:hint="eastAsia" w:eastAsia="仿宋_GB2312"/>
          <w:bCs/>
          <w:kern w:val="0"/>
          <w:sz w:val="32"/>
          <w:szCs w:val="32"/>
          <w:lang w:eastAsia="zh-CN"/>
        </w:rPr>
        <w:t>变动经费</w:t>
      </w:r>
      <w:r>
        <w:rPr>
          <w:rFonts w:eastAsia="仿宋_GB2312"/>
          <w:bCs/>
          <w:kern w:val="0"/>
          <w:sz w:val="32"/>
          <w:szCs w:val="32"/>
        </w:rPr>
        <w:t>；二是</w:t>
      </w:r>
      <w:r>
        <w:rPr>
          <w:rFonts w:hint="eastAsia" w:eastAsia="仿宋_GB2312"/>
          <w:bCs/>
          <w:kern w:val="0"/>
          <w:sz w:val="32"/>
          <w:szCs w:val="32"/>
          <w:lang w:eastAsia="zh-CN"/>
        </w:rPr>
        <w:t>使用了上年结转经费</w:t>
      </w:r>
      <w:r>
        <w:rPr>
          <w:rFonts w:eastAsia="仿宋_GB2312"/>
          <w:bCs/>
          <w:kern w:val="0"/>
          <w:sz w:val="32"/>
          <w:szCs w:val="32"/>
        </w:rPr>
        <w:t>。</w:t>
      </w:r>
    </w:p>
    <w:p>
      <w:pPr>
        <w:autoSpaceDE w:val="0"/>
        <w:autoSpaceDN w:val="0"/>
        <w:adjustRightInd w:val="0"/>
        <w:spacing w:line="560" w:lineRule="exact"/>
        <w:ind w:firstLine="640"/>
        <w:jc w:val="left"/>
        <w:rPr>
          <w:rFonts w:eastAsia="仿宋_GB2312"/>
          <w:bCs/>
          <w:kern w:val="0"/>
          <w:sz w:val="32"/>
          <w:szCs w:val="32"/>
        </w:rPr>
      </w:pPr>
      <w:r>
        <w:rPr>
          <w:rFonts w:eastAsia="仿宋_GB2312"/>
          <w:bCs/>
          <w:kern w:val="0"/>
          <w:sz w:val="32"/>
          <w:szCs w:val="32"/>
        </w:rPr>
        <w:t>6.208类05款05项机关事业单位基本养老保险缴费支出。年初预算为</w:t>
      </w:r>
      <w:r>
        <w:rPr>
          <w:rFonts w:hint="eastAsia" w:eastAsia="仿宋_GB2312"/>
          <w:bCs/>
          <w:kern w:val="0"/>
          <w:sz w:val="32"/>
          <w:szCs w:val="32"/>
          <w:lang w:val="en-US" w:eastAsia="zh-CN"/>
        </w:rPr>
        <w:t>290.33</w:t>
      </w:r>
      <w:r>
        <w:rPr>
          <w:rFonts w:eastAsia="仿宋_GB2312"/>
          <w:bCs/>
          <w:kern w:val="0"/>
          <w:sz w:val="32"/>
          <w:szCs w:val="32"/>
        </w:rPr>
        <w:t>万元，支出决算为</w:t>
      </w:r>
      <w:r>
        <w:rPr>
          <w:rFonts w:hint="eastAsia" w:eastAsia="仿宋_GB2312"/>
          <w:bCs/>
          <w:kern w:val="0"/>
          <w:sz w:val="32"/>
          <w:szCs w:val="32"/>
          <w:lang w:val="en-US" w:eastAsia="zh-CN"/>
        </w:rPr>
        <w:t>263.73</w:t>
      </w:r>
      <w:r>
        <w:rPr>
          <w:rFonts w:eastAsia="仿宋_GB2312"/>
          <w:bCs/>
          <w:kern w:val="0"/>
          <w:sz w:val="32"/>
          <w:szCs w:val="32"/>
        </w:rPr>
        <w:t>万元，完成年初预算的</w:t>
      </w:r>
      <w:r>
        <w:rPr>
          <w:rFonts w:hint="eastAsia" w:eastAsia="仿宋_GB2312"/>
          <w:bCs/>
          <w:kern w:val="0"/>
          <w:sz w:val="32"/>
          <w:szCs w:val="32"/>
          <w:lang w:val="en-US" w:eastAsia="zh-CN"/>
        </w:rPr>
        <w:t>90.84</w:t>
      </w:r>
      <w:r>
        <w:rPr>
          <w:rFonts w:eastAsia="仿宋_GB2312"/>
          <w:bCs/>
          <w:kern w:val="0"/>
          <w:sz w:val="32"/>
          <w:szCs w:val="32"/>
        </w:rPr>
        <w:t>%。决算数小于预算数的主要原因：</w:t>
      </w:r>
      <w:r>
        <w:rPr>
          <w:rFonts w:hint="eastAsia" w:eastAsia="仿宋_GB2312"/>
          <w:bCs/>
          <w:kern w:val="0"/>
          <w:sz w:val="32"/>
          <w:szCs w:val="32"/>
          <w:lang w:eastAsia="zh-CN"/>
        </w:rPr>
        <w:t>年末结转结余</w:t>
      </w:r>
      <w:r>
        <w:rPr>
          <w:rFonts w:eastAsia="仿宋_GB2312"/>
          <w:bCs/>
          <w:kern w:val="0"/>
          <w:sz w:val="32"/>
          <w:szCs w:val="32"/>
        </w:rPr>
        <w:t>。</w:t>
      </w:r>
    </w:p>
    <w:p>
      <w:pPr>
        <w:autoSpaceDE w:val="0"/>
        <w:autoSpaceDN w:val="0"/>
        <w:adjustRightInd w:val="0"/>
        <w:spacing w:line="560" w:lineRule="exact"/>
        <w:ind w:firstLine="640"/>
        <w:jc w:val="left"/>
        <w:rPr>
          <w:rFonts w:eastAsia="仿宋_GB2312"/>
          <w:bCs/>
          <w:kern w:val="0"/>
          <w:sz w:val="32"/>
          <w:szCs w:val="32"/>
        </w:rPr>
      </w:pPr>
      <w:r>
        <w:rPr>
          <w:rFonts w:eastAsia="仿宋_GB2312"/>
          <w:bCs/>
          <w:kern w:val="0"/>
          <w:sz w:val="32"/>
          <w:szCs w:val="32"/>
        </w:rPr>
        <w:t>7.210类11款01项行政单位医疗。年初预算为</w:t>
      </w:r>
      <w:r>
        <w:rPr>
          <w:rFonts w:hint="eastAsia" w:eastAsia="仿宋_GB2312"/>
          <w:bCs/>
          <w:kern w:val="0"/>
          <w:sz w:val="32"/>
          <w:szCs w:val="32"/>
          <w:lang w:val="en-US" w:eastAsia="zh-CN"/>
        </w:rPr>
        <w:t>54.22</w:t>
      </w:r>
      <w:r>
        <w:rPr>
          <w:rFonts w:eastAsia="仿宋_GB2312"/>
          <w:bCs/>
          <w:kern w:val="0"/>
          <w:sz w:val="32"/>
          <w:szCs w:val="32"/>
        </w:rPr>
        <w:t>万元，支出决算为</w:t>
      </w:r>
      <w:r>
        <w:rPr>
          <w:rFonts w:hint="eastAsia" w:eastAsia="仿宋_GB2312"/>
          <w:bCs/>
          <w:kern w:val="0"/>
          <w:sz w:val="32"/>
          <w:szCs w:val="32"/>
          <w:lang w:val="en-US" w:eastAsia="zh-CN"/>
        </w:rPr>
        <w:t>56.00</w:t>
      </w:r>
      <w:r>
        <w:rPr>
          <w:rFonts w:eastAsia="仿宋_GB2312"/>
          <w:bCs/>
          <w:kern w:val="0"/>
          <w:sz w:val="32"/>
          <w:szCs w:val="32"/>
        </w:rPr>
        <w:t>万元，完成年初预算的</w:t>
      </w:r>
      <w:r>
        <w:rPr>
          <w:rFonts w:hint="eastAsia" w:eastAsia="仿宋_GB2312"/>
          <w:bCs/>
          <w:kern w:val="0"/>
          <w:sz w:val="32"/>
          <w:szCs w:val="32"/>
          <w:lang w:val="en-US" w:eastAsia="zh-CN"/>
        </w:rPr>
        <w:t>103.28</w:t>
      </w:r>
      <w:r>
        <w:rPr>
          <w:rFonts w:eastAsia="仿宋_GB2312"/>
          <w:bCs/>
          <w:kern w:val="0"/>
          <w:sz w:val="32"/>
          <w:szCs w:val="32"/>
        </w:rPr>
        <w:t>%。决算数大于预算数的主要原因：</w:t>
      </w:r>
      <w:r>
        <w:rPr>
          <w:rFonts w:hint="eastAsia" w:eastAsia="仿宋_GB2312"/>
          <w:bCs/>
          <w:kern w:val="0"/>
          <w:sz w:val="32"/>
          <w:szCs w:val="32"/>
        </w:rPr>
        <w:t>因增人增资，</w:t>
      </w:r>
      <w:r>
        <w:rPr>
          <w:rFonts w:eastAsia="仿宋_GB2312"/>
          <w:bCs/>
          <w:kern w:val="0"/>
          <w:sz w:val="32"/>
          <w:szCs w:val="32"/>
        </w:rPr>
        <w:t>下达了医疗保险。</w:t>
      </w:r>
    </w:p>
    <w:p>
      <w:pPr>
        <w:autoSpaceDE w:val="0"/>
        <w:autoSpaceDN w:val="0"/>
        <w:adjustRightInd w:val="0"/>
        <w:spacing w:line="560" w:lineRule="exact"/>
        <w:ind w:firstLine="640"/>
        <w:jc w:val="left"/>
        <w:rPr>
          <w:rFonts w:eastAsia="仿宋_GB2312"/>
          <w:bCs/>
          <w:kern w:val="0"/>
          <w:sz w:val="32"/>
          <w:szCs w:val="32"/>
        </w:rPr>
      </w:pPr>
      <w:r>
        <w:rPr>
          <w:rFonts w:eastAsia="仿宋_GB2312"/>
          <w:bCs/>
          <w:kern w:val="0"/>
          <w:sz w:val="32"/>
          <w:szCs w:val="32"/>
        </w:rPr>
        <w:t>8.</w:t>
      </w:r>
      <w:r>
        <w:t xml:space="preserve"> </w:t>
      </w:r>
      <w:r>
        <w:rPr>
          <w:rFonts w:eastAsia="仿宋_GB2312"/>
          <w:bCs/>
          <w:kern w:val="0"/>
          <w:sz w:val="32"/>
          <w:szCs w:val="32"/>
        </w:rPr>
        <w:t>210类11款02项事业单位医疗。年初预算为</w:t>
      </w:r>
      <w:r>
        <w:rPr>
          <w:rFonts w:hint="eastAsia" w:eastAsia="仿宋_GB2312"/>
          <w:bCs/>
          <w:kern w:val="0"/>
          <w:sz w:val="32"/>
          <w:szCs w:val="32"/>
          <w:lang w:val="en-US" w:eastAsia="zh-CN"/>
        </w:rPr>
        <w:t>55.28</w:t>
      </w:r>
      <w:r>
        <w:rPr>
          <w:rFonts w:eastAsia="仿宋_GB2312"/>
          <w:bCs/>
          <w:kern w:val="0"/>
          <w:sz w:val="32"/>
          <w:szCs w:val="32"/>
        </w:rPr>
        <w:t>万元，支出决算为54.</w:t>
      </w:r>
      <w:r>
        <w:rPr>
          <w:rFonts w:hint="eastAsia" w:eastAsia="仿宋_GB2312"/>
          <w:bCs/>
          <w:kern w:val="0"/>
          <w:sz w:val="32"/>
          <w:szCs w:val="32"/>
          <w:lang w:val="en-US" w:eastAsia="zh-CN"/>
        </w:rPr>
        <w:t>54</w:t>
      </w:r>
      <w:r>
        <w:rPr>
          <w:rFonts w:eastAsia="仿宋_GB2312"/>
          <w:bCs/>
          <w:kern w:val="0"/>
          <w:sz w:val="32"/>
          <w:szCs w:val="32"/>
        </w:rPr>
        <w:t>万元，完成年初预算的</w:t>
      </w:r>
      <w:r>
        <w:rPr>
          <w:rFonts w:hint="eastAsia" w:eastAsia="仿宋_GB2312"/>
          <w:bCs/>
          <w:kern w:val="0"/>
          <w:sz w:val="32"/>
          <w:szCs w:val="32"/>
          <w:lang w:val="en-US" w:eastAsia="zh-CN"/>
        </w:rPr>
        <w:t>98.66</w:t>
      </w:r>
      <w:r>
        <w:rPr>
          <w:rFonts w:eastAsia="仿宋_GB2312"/>
          <w:bCs/>
          <w:kern w:val="0"/>
          <w:sz w:val="32"/>
          <w:szCs w:val="32"/>
        </w:rPr>
        <w:t>%。决算数</w:t>
      </w:r>
      <w:r>
        <w:rPr>
          <w:rFonts w:hint="eastAsia" w:eastAsia="仿宋_GB2312"/>
          <w:bCs/>
          <w:kern w:val="0"/>
          <w:sz w:val="32"/>
          <w:szCs w:val="32"/>
          <w:lang w:eastAsia="zh-CN"/>
        </w:rPr>
        <w:t>小</w:t>
      </w:r>
      <w:r>
        <w:rPr>
          <w:rFonts w:eastAsia="仿宋_GB2312"/>
          <w:bCs/>
          <w:kern w:val="0"/>
          <w:sz w:val="32"/>
          <w:szCs w:val="32"/>
        </w:rPr>
        <w:t>于预算数的主要原因：</w:t>
      </w:r>
      <w:r>
        <w:rPr>
          <w:rFonts w:hint="eastAsia" w:eastAsia="仿宋_GB2312"/>
          <w:bCs/>
          <w:kern w:val="0"/>
          <w:sz w:val="32"/>
          <w:szCs w:val="32"/>
          <w:lang w:eastAsia="zh-CN"/>
        </w:rPr>
        <w:t>年末结转结余</w:t>
      </w:r>
      <w:r>
        <w:rPr>
          <w:rFonts w:eastAsia="仿宋_GB2312"/>
          <w:bCs/>
          <w:kern w:val="0"/>
          <w:sz w:val="32"/>
          <w:szCs w:val="32"/>
        </w:rPr>
        <w:t>。</w:t>
      </w:r>
    </w:p>
    <w:p>
      <w:pPr>
        <w:autoSpaceDE w:val="0"/>
        <w:autoSpaceDN w:val="0"/>
        <w:adjustRightInd w:val="0"/>
        <w:spacing w:line="560" w:lineRule="exact"/>
        <w:ind w:firstLine="640"/>
        <w:jc w:val="left"/>
        <w:rPr>
          <w:rFonts w:eastAsia="仿宋_GB2312"/>
          <w:bCs/>
          <w:kern w:val="0"/>
          <w:sz w:val="32"/>
          <w:szCs w:val="32"/>
        </w:rPr>
      </w:pPr>
      <w:r>
        <w:rPr>
          <w:rFonts w:eastAsia="仿宋_GB2312"/>
          <w:bCs/>
          <w:kern w:val="0"/>
          <w:sz w:val="32"/>
          <w:szCs w:val="32"/>
        </w:rPr>
        <w:t>9. 210类11款03项公务员医疗补助。年初预算为</w:t>
      </w:r>
      <w:r>
        <w:rPr>
          <w:rFonts w:hint="eastAsia" w:eastAsia="仿宋_GB2312"/>
          <w:bCs/>
          <w:kern w:val="0"/>
          <w:sz w:val="32"/>
          <w:szCs w:val="32"/>
          <w:lang w:val="en-US" w:eastAsia="zh-CN"/>
        </w:rPr>
        <w:t>30.30</w:t>
      </w:r>
      <w:r>
        <w:rPr>
          <w:rFonts w:eastAsia="仿宋_GB2312"/>
          <w:bCs/>
          <w:kern w:val="0"/>
          <w:sz w:val="32"/>
          <w:szCs w:val="32"/>
        </w:rPr>
        <w:t>万元，支出决算为</w:t>
      </w:r>
      <w:r>
        <w:rPr>
          <w:rFonts w:hint="eastAsia" w:eastAsia="仿宋_GB2312"/>
          <w:bCs/>
          <w:kern w:val="0"/>
          <w:sz w:val="32"/>
          <w:szCs w:val="32"/>
          <w:lang w:val="en-US" w:eastAsia="zh-CN"/>
        </w:rPr>
        <w:t>61.78</w:t>
      </w:r>
      <w:r>
        <w:rPr>
          <w:rFonts w:eastAsia="仿宋_GB2312"/>
          <w:bCs/>
          <w:kern w:val="0"/>
          <w:sz w:val="32"/>
          <w:szCs w:val="32"/>
        </w:rPr>
        <w:t>万元，完成年初预算的</w:t>
      </w:r>
      <w:r>
        <w:rPr>
          <w:rFonts w:hint="eastAsia" w:eastAsia="仿宋_GB2312"/>
          <w:bCs/>
          <w:kern w:val="0"/>
          <w:sz w:val="32"/>
          <w:szCs w:val="32"/>
          <w:lang w:val="en-US" w:eastAsia="zh-CN"/>
        </w:rPr>
        <w:t>203.89</w:t>
      </w:r>
      <w:r>
        <w:rPr>
          <w:rFonts w:eastAsia="仿宋_GB2312"/>
          <w:bCs/>
          <w:kern w:val="0"/>
          <w:sz w:val="32"/>
          <w:szCs w:val="32"/>
        </w:rPr>
        <w:t>%。决算数大于预算数的主要原因：下达了公务员医疗补助</w:t>
      </w:r>
      <w:r>
        <w:rPr>
          <w:rFonts w:hint="eastAsia" w:eastAsia="仿宋_GB2312"/>
          <w:bCs/>
          <w:kern w:val="0"/>
          <w:sz w:val="32"/>
          <w:szCs w:val="32"/>
          <w:lang w:eastAsia="zh-CN"/>
        </w:rPr>
        <w:t>差额</w:t>
      </w:r>
      <w:r>
        <w:rPr>
          <w:rFonts w:eastAsia="仿宋_GB2312"/>
          <w:bCs/>
          <w:kern w:val="0"/>
          <w:sz w:val="32"/>
          <w:szCs w:val="32"/>
        </w:rPr>
        <w:t>。</w:t>
      </w:r>
    </w:p>
    <w:p>
      <w:pPr>
        <w:autoSpaceDE w:val="0"/>
        <w:autoSpaceDN w:val="0"/>
        <w:adjustRightInd w:val="0"/>
        <w:spacing w:line="560" w:lineRule="exact"/>
        <w:ind w:firstLine="640"/>
        <w:jc w:val="left"/>
        <w:rPr>
          <w:rFonts w:eastAsia="仿宋_GB2312"/>
          <w:bCs/>
          <w:kern w:val="0"/>
          <w:sz w:val="32"/>
          <w:szCs w:val="32"/>
        </w:rPr>
      </w:pPr>
      <w:r>
        <w:rPr>
          <w:rFonts w:eastAsia="仿宋_GB2312"/>
          <w:bCs/>
          <w:kern w:val="0"/>
          <w:sz w:val="32"/>
          <w:szCs w:val="32"/>
        </w:rPr>
        <w:t>10. 21</w:t>
      </w:r>
      <w:r>
        <w:rPr>
          <w:rFonts w:hint="eastAsia" w:eastAsia="仿宋_GB2312"/>
          <w:bCs/>
          <w:kern w:val="0"/>
          <w:sz w:val="32"/>
          <w:szCs w:val="32"/>
          <w:lang w:val="en-US" w:eastAsia="zh-CN"/>
        </w:rPr>
        <w:t>5</w:t>
      </w:r>
      <w:r>
        <w:rPr>
          <w:rFonts w:eastAsia="仿宋_GB2312"/>
          <w:bCs/>
          <w:kern w:val="0"/>
          <w:sz w:val="32"/>
          <w:szCs w:val="32"/>
        </w:rPr>
        <w:t>类</w:t>
      </w:r>
      <w:r>
        <w:rPr>
          <w:rFonts w:hint="eastAsia" w:eastAsia="仿宋_GB2312"/>
          <w:bCs/>
          <w:kern w:val="0"/>
          <w:sz w:val="32"/>
          <w:szCs w:val="32"/>
          <w:lang w:val="en-US" w:eastAsia="zh-CN"/>
        </w:rPr>
        <w:t>08</w:t>
      </w:r>
      <w:r>
        <w:rPr>
          <w:rFonts w:eastAsia="仿宋_GB2312"/>
          <w:bCs/>
          <w:kern w:val="0"/>
          <w:sz w:val="32"/>
          <w:szCs w:val="32"/>
        </w:rPr>
        <w:t>款</w:t>
      </w:r>
      <w:r>
        <w:rPr>
          <w:rFonts w:hint="eastAsia" w:eastAsia="仿宋_GB2312"/>
          <w:bCs/>
          <w:kern w:val="0"/>
          <w:sz w:val="32"/>
          <w:szCs w:val="32"/>
          <w:lang w:val="en-US" w:eastAsia="zh-CN"/>
        </w:rPr>
        <w:t>05</w:t>
      </w:r>
      <w:r>
        <w:rPr>
          <w:rFonts w:eastAsia="仿宋_GB2312"/>
          <w:bCs/>
          <w:kern w:val="0"/>
          <w:sz w:val="32"/>
          <w:szCs w:val="32"/>
        </w:rPr>
        <w:t>项</w:t>
      </w:r>
      <w:r>
        <w:rPr>
          <w:rFonts w:hint="eastAsia" w:ascii="仿宋_GB2312" w:hAnsi="仿宋_GB2312" w:eastAsia="仿宋_GB2312" w:cs="仿宋_GB2312"/>
          <w:b w:val="0"/>
          <w:sz w:val="32"/>
          <w:szCs w:val="32"/>
        </w:rPr>
        <w:t>中小企业发展专项</w:t>
      </w:r>
      <w:r>
        <w:rPr>
          <w:rFonts w:hint="eastAsia" w:ascii="仿宋_GB2312" w:hAnsi="仿宋_GB2312" w:eastAsia="仿宋_GB2312" w:cs="仿宋_GB2312"/>
          <w:b w:val="0"/>
          <w:sz w:val="32"/>
          <w:szCs w:val="32"/>
          <w:lang w:eastAsia="zh-CN"/>
        </w:rPr>
        <w:t>支出</w:t>
      </w:r>
      <w:r>
        <w:rPr>
          <w:rFonts w:eastAsia="仿宋_GB2312"/>
          <w:bCs/>
          <w:kern w:val="0"/>
          <w:sz w:val="32"/>
          <w:szCs w:val="32"/>
        </w:rPr>
        <w:t>。年初预算为0万元，支出决算为</w:t>
      </w:r>
      <w:r>
        <w:rPr>
          <w:rFonts w:hint="eastAsia" w:eastAsia="仿宋_GB2312"/>
          <w:bCs/>
          <w:kern w:val="0"/>
          <w:sz w:val="32"/>
          <w:szCs w:val="32"/>
          <w:lang w:val="en-US" w:eastAsia="zh-CN"/>
        </w:rPr>
        <w:t>169.14</w:t>
      </w:r>
      <w:r>
        <w:rPr>
          <w:rFonts w:eastAsia="仿宋_GB2312"/>
          <w:bCs/>
          <w:kern w:val="0"/>
          <w:sz w:val="32"/>
          <w:szCs w:val="32"/>
        </w:rPr>
        <w:t>万元，完成年初预算的100%。决算数大于预算数的主要原因：</w:t>
      </w:r>
      <w:r>
        <w:rPr>
          <w:rFonts w:hint="eastAsia" w:eastAsia="仿宋_GB2312"/>
          <w:bCs/>
          <w:kern w:val="0"/>
          <w:sz w:val="32"/>
          <w:szCs w:val="32"/>
          <w:lang w:val="en-US" w:eastAsia="zh-CN"/>
        </w:rPr>
        <w:t>2019年</w:t>
      </w:r>
      <w:r>
        <w:rPr>
          <w:rFonts w:ascii="Times New Roman" w:hAnsi="Times New Roman" w:eastAsia="仿宋_GB2312"/>
          <w:b w:val="0"/>
          <w:bCs/>
          <w:sz w:val="32"/>
          <w:szCs w:val="32"/>
        </w:rPr>
        <w:t>9月财政下达了柳州市企业开办印章刻制经费</w:t>
      </w:r>
      <w:r>
        <w:rPr>
          <w:rFonts w:eastAsia="仿宋_GB2312"/>
          <w:bCs/>
          <w:kern w:val="0"/>
          <w:sz w:val="32"/>
          <w:szCs w:val="32"/>
        </w:rPr>
        <w:t>。</w:t>
      </w:r>
    </w:p>
    <w:p>
      <w:pPr>
        <w:autoSpaceDE w:val="0"/>
        <w:autoSpaceDN w:val="0"/>
        <w:adjustRightInd w:val="0"/>
        <w:spacing w:line="560" w:lineRule="exact"/>
        <w:ind w:firstLine="640"/>
        <w:jc w:val="left"/>
        <w:rPr>
          <w:rFonts w:eastAsia="仿宋_GB2312"/>
          <w:bCs/>
          <w:kern w:val="0"/>
          <w:sz w:val="32"/>
          <w:szCs w:val="32"/>
        </w:rPr>
      </w:pPr>
      <w:r>
        <w:rPr>
          <w:rFonts w:eastAsia="仿宋_GB2312"/>
          <w:bCs/>
          <w:kern w:val="0"/>
          <w:sz w:val="32"/>
          <w:szCs w:val="32"/>
        </w:rPr>
        <w:t>11.</w:t>
      </w:r>
      <w:r>
        <w:t xml:space="preserve"> </w:t>
      </w:r>
      <w:r>
        <w:rPr>
          <w:rFonts w:eastAsia="仿宋_GB2312"/>
          <w:bCs/>
          <w:kern w:val="0"/>
          <w:sz w:val="32"/>
          <w:szCs w:val="32"/>
        </w:rPr>
        <w:t>221类02款01项住房公积金。年初预算为</w:t>
      </w:r>
      <w:r>
        <w:rPr>
          <w:rFonts w:hint="eastAsia" w:eastAsia="仿宋_GB2312"/>
          <w:bCs/>
          <w:kern w:val="0"/>
          <w:sz w:val="32"/>
          <w:szCs w:val="32"/>
          <w:lang w:val="en-US" w:eastAsia="zh-CN"/>
        </w:rPr>
        <w:t>174.20</w:t>
      </w:r>
      <w:r>
        <w:rPr>
          <w:rFonts w:eastAsia="仿宋_GB2312"/>
          <w:bCs/>
          <w:kern w:val="0"/>
          <w:sz w:val="32"/>
          <w:szCs w:val="32"/>
        </w:rPr>
        <w:t>万元，支出决算为</w:t>
      </w:r>
      <w:r>
        <w:rPr>
          <w:rFonts w:hint="eastAsia" w:eastAsia="仿宋_GB2312"/>
          <w:bCs/>
          <w:kern w:val="0"/>
          <w:sz w:val="32"/>
          <w:szCs w:val="32"/>
          <w:lang w:val="en-US" w:eastAsia="zh-CN"/>
        </w:rPr>
        <w:t>184.66</w:t>
      </w:r>
      <w:r>
        <w:rPr>
          <w:rFonts w:eastAsia="仿宋_GB2312"/>
          <w:bCs/>
          <w:kern w:val="0"/>
          <w:sz w:val="32"/>
          <w:szCs w:val="32"/>
        </w:rPr>
        <w:t>万元，完成年初预算的</w:t>
      </w:r>
      <w:r>
        <w:rPr>
          <w:rFonts w:hint="eastAsia" w:eastAsia="仿宋_GB2312"/>
          <w:bCs/>
          <w:kern w:val="0"/>
          <w:sz w:val="32"/>
          <w:szCs w:val="32"/>
          <w:lang w:val="en-US" w:eastAsia="zh-CN"/>
        </w:rPr>
        <w:t>106.00</w:t>
      </w:r>
      <w:r>
        <w:rPr>
          <w:rFonts w:eastAsia="仿宋_GB2312"/>
          <w:bCs/>
          <w:kern w:val="0"/>
          <w:sz w:val="32"/>
          <w:szCs w:val="32"/>
        </w:rPr>
        <w:t>%。决算数大于预算数的主要原因：行政编人员增人增资。</w:t>
      </w:r>
    </w:p>
    <w:p>
      <w:pPr>
        <w:autoSpaceDE w:val="0"/>
        <w:autoSpaceDN w:val="0"/>
        <w:adjustRightInd w:val="0"/>
        <w:spacing w:line="560" w:lineRule="exact"/>
        <w:ind w:firstLine="640"/>
        <w:jc w:val="left"/>
        <w:rPr>
          <w:rFonts w:eastAsia="仿宋_GB2312"/>
          <w:bCs/>
          <w:kern w:val="0"/>
          <w:sz w:val="32"/>
          <w:szCs w:val="32"/>
        </w:rPr>
      </w:pPr>
      <w:r>
        <w:rPr>
          <w:rFonts w:eastAsia="仿宋_GB2312"/>
          <w:bCs/>
          <w:kern w:val="0"/>
          <w:sz w:val="32"/>
          <w:szCs w:val="32"/>
        </w:rPr>
        <w:t>12.</w:t>
      </w:r>
      <w:r>
        <w:t xml:space="preserve"> </w:t>
      </w:r>
      <w:r>
        <w:rPr>
          <w:rFonts w:eastAsia="仿宋_GB2312"/>
          <w:bCs/>
          <w:kern w:val="0"/>
          <w:sz w:val="32"/>
          <w:szCs w:val="32"/>
        </w:rPr>
        <w:t>221类02款03项购房补贴。年初预算为0万元，支出决算为</w:t>
      </w:r>
      <w:r>
        <w:rPr>
          <w:rFonts w:hint="eastAsia" w:eastAsia="仿宋_GB2312"/>
          <w:bCs/>
          <w:kern w:val="0"/>
          <w:sz w:val="32"/>
          <w:szCs w:val="32"/>
          <w:lang w:val="en-US" w:eastAsia="zh-CN"/>
        </w:rPr>
        <w:t>14.40</w:t>
      </w:r>
      <w:r>
        <w:rPr>
          <w:rFonts w:eastAsia="仿宋_GB2312"/>
          <w:bCs/>
          <w:kern w:val="0"/>
          <w:sz w:val="32"/>
          <w:szCs w:val="32"/>
        </w:rPr>
        <w:t>万元，完成年初预算的100%。决算数大于预算数的主要原因：201</w:t>
      </w:r>
      <w:r>
        <w:rPr>
          <w:rFonts w:hint="eastAsia" w:eastAsia="仿宋_GB2312"/>
          <w:bCs/>
          <w:kern w:val="0"/>
          <w:sz w:val="32"/>
          <w:szCs w:val="32"/>
          <w:lang w:val="en-US" w:eastAsia="zh-CN"/>
        </w:rPr>
        <w:t>9</w:t>
      </w:r>
      <w:r>
        <w:rPr>
          <w:rFonts w:eastAsia="仿宋_GB2312"/>
          <w:bCs/>
          <w:kern w:val="0"/>
          <w:sz w:val="32"/>
          <w:szCs w:val="32"/>
        </w:rPr>
        <w:t>年</w:t>
      </w:r>
      <w:r>
        <w:rPr>
          <w:rFonts w:hint="eastAsia" w:eastAsia="仿宋_GB2312"/>
          <w:bCs/>
          <w:kern w:val="0"/>
          <w:sz w:val="32"/>
          <w:szCs w:val="32"/>
          <w:lang w:val="en-US" w:eastAsia="zh-CN"/>
        </w:rPr>
        <w:t>7</w:t>
      </w:r>
      <w:r>
        <w:rPr>
          <w:rFonts w:eastAsia="仿宋_GB2312"/>
          <w:bCs/>
          <w:kern w:val="0"/>
          <w:sz w:val="32"/>
          <w:szCs w:val="32"/>
        </w:rPr>
        <w:t>月财政下达了在编人员住房补贴款。</w:t>
      </w:r>
    </w:p>
    <w:p>
      <w:pPr>
        <w:autoSpaceDE w:val="0"/>
        <w:autoSpaceDN w:val="0"/>
        <w:adjustRightInd w:val="0"/>
        <w:spacing w:line="560" w:lineRule="exact"/>
        <w:ind w:firstLine="643" w:firstLineChars="200"/>
        <w:jc w:val="left"/>
        <w:rPr>
          <w:rFonts w:hint="default" w:ascii="Times New Roman" w:hAnsi="Times New Roman" w:eastAsia="仿宋_GB2312" w:cs="Times New Roman"/>
          <w:b/>
          <w:bCs w:val="0"/>
          <w:kern w:val="0"/>
          <w:sz w:val="32"/>
          <w:szCs w:val="32"/>
          <w:lang w:eastAsia="zh-CN"/>
        </w:rPr>
      </w:pPr>
      <w:r>
        <w:rPr>
          <w:rFonts w:hint="default" w:ascii="Times New Roman" w:hAnsi="Times New Roman" w:eastAsia="仿宋_GB2312" w:cs="Times New Roman"/>
          <w:b/>
          <w:bCs w:val="0"/>
          <w:kern w:val="0"/>
          <w:sz w:val="32"/>
          <w:szCs w:val="32"/>
        </w:rPr>
        <w:t>六、</w:t>
      </w:r>
      <w:r>
        <w:rPr>
          <w:rFonts w:hint="default" w:ascii="Times New Roman" w:hAnsi="Times New Roman" w:eastAsia="仿宋_GB2312" w:cs="Times New Roman"/>
          <w:b/>
          <w:bCs w:val="0"/>
          <w:kern w:val="0"/>
          <w:sz w:val="32"/>
          <w:szCs w:val="32"/>
          <w:lang w:eastAsia="zh-CN"/>
        </w:rPr>
        <w:t>201</w:t>
      </w:r>
      <w:r>
        <w:rPr>
          <w:rFonts w:hint="default" w:ascii="Times New Roman" w:hAnsi="Times New Roman" w:eastAsia="仿宋_GB2312" w:cs="Times New Roman"/>
          <w:b/>
          <w:bCs w:val="0"/>
          <w:kern w:val="0"/>
          <w:sz w:val="32"/>
          <w:szCs w:val="32"/>
          <w:lang w:val="en-US" w:eastAsia="zh-CN"/>
        </w:rPr>
        <w:t>9</w:t>
      </w:r>
      <w:r>
        <w:rPr>
          <w:rFonts w:hint="default" w:ascii="Times New Roman" w:hAnsi="Times New Roman" w:eastAsia="仿宋_GB2312" w:cs="Times New Roman"/>
          <w:b/>
          <w:bCs w:val="0"/>
          <w:kern w:val="0"/>
          <w:sz w:val="32"/>
          <w:szCs w:val="32"/>
        </w:rPr>
        <w:t>年度一般公共预算财政拨款基本支出决算情况</w:t>
      </w:r>
    </w:p>
    <w:p>
      <w:pPr>
        <w:autoSpaceDE w:val="0"/>
        <w:autoSpaceDN w:val="0"/>
        <w:adjustRightInd w:val="0"/>
        <w:spacing w:line="560" w:lineRule="exact"/>
        <w:ind w:firstLine="640" w:firstLineChars="200"/>
        <w:jc w:val="left"/>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lang w:eastAsia="zh-CN"/>
        </w:rPr>
        <w:t>201</w:t>
      </w:r>
      <w:r>
        <w:rPr>
          <w:rFonts w:hint="default" w:ascii="Times New Roman" w:hAnsi="Times New Roman" w:eastAsia="仿宋_GB2312" w:cs="Times New Roman"/>
          <w:b w:val="0"/>
          <w:bCs/>
          <w:kern w:val="0"/>
          <w:sz w:val="32"/>
          <w:szCs w:val="32"/>
          <w:lang w:val="en-US" w:eastAsia="zh-CN"/>
        </w:rPr>
        <w:t>9</w:t>
      </w:r>
      <w:r>
        <w:rPr>
          <w:rFonts w:hint="default" w:ascii="Times New Roman" w:hAnsi="Times New Roman" w:eastAsia="仿宋_GB2312" w:cs="Times New Roman"/>
          <w:b w:val="0"/>
          <w:bCs/>
          <w:kern w:val="0"/>
          <w:sz w:val="32"/>
          <w:szCs w:val="32"/>
        </w:rPr>
        <w:t>年度财政拨款基本支出</w:t>
      </w:r>
      <w:r>
        <w:rPr>
          <w:rFonts w:hint="eastAsia" w:eastAsia="仿宋_GB2312" w:cs="Times New Roman"/>
          <w:b w:val="0"/>
          <w:bCs/>
          <w:kern w:val="0"/>
          <w:sz w:val="32"/>
          <w:szCs w:val="32"/>
          <w:lang w:val="en-US" w:eastAsia="zh-CN"/>
        </w:rPr>
        <w:t>2477.16</w:t>
      </w:r>
      <w:r>
        <w:rPr>
          <w:rFonts w:hint="default" w:ascii="Times New Roman" w:hAnsi="Times New Roman" w:eastAsia="仿宋_GB2312" w:cs="Times New Roman"/>
          <w:b w:val="0"/>
          <w:bCs/>
          <w:kern w:val="0"/>
          <w:sz w:val="32"/>
          <w:szCs w:val="32"/>
        </w:rPr>
        <w:t>万元，其中：</w:t>
      </w:r>
    </w:p>
    <w:p>
      <w:pPr>
        <w:autoSpaceDE w:val="0"/>
        <w:autoSpaceDN w:val="0"/>
        <w:adjustRightInd w:val="0"/>
        <w:spacing w:line="560" w:lineRule="exact"/>
        <w:ind w:firstLine="640" w:firstLineChars="200"/>
        <w:jc w:val="left"/>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人员经费</w:t>
      </w:r>
      <w:r>
        <w:rPr>
          <w:rFonts w:hint="eastAsia" w:eastAsia="仿宋_GB2312" w:cs="Times New Roman"/>
          <w:b w:val="0"/>
          <w:bCs/>
          <w:kern w:val="0"/>
          <w:sz w:val="32"/>
          <w:szCs w:val="32"/>
          <w:lang w:val="en-US" w:eastAsia="zh-CN"/>
        </w:rPr>
        <w:t>2152.25</w:t>
      </w:r>
      <w:r>
        <w:rPr>
          <w:rFonts w:hint="default" w:ascii="Times New Roman" w:hAnsi="Times New Roman" w:eastAsia="仿宋_GB2312" w:cs="Times New Roman"/>
          <w:b w:val="0"/>
          <w:bCs/>
          <w:kern w:val="0"/>
          <w:sz w:val="32"/>
          <w:szCs w:val="32"/>
        </w:rPr>
        <w:t>万元，主要包括：基本工资、津贴补贴、 奖金、绩效工资、机关事业单位基本养老保险缴费、</w:t>
      </w:r>
      <w:r>
        <w:rPr>
          <w:rFonts w:hint="eastAsia" w:eastAsia="仿宋_GB2312" w:cs="Times New Roman"/>
          <w:b w:val="0"/>
          <w:bCs/>
          <w:kern w:val="0"/>
          <w:sz w:val="32"/>
          <w:szCs w:val="32"/>
          <w:lang w:eastAsia="zh-CN"/>
        </w:rPr>
        <w:t>职工基本医疗保险缴费、公务员医疗补助缴费、</w:t>
      </w:r>
      <w:r>
        <w:rPr>
          <w:rFonts w:hint="default" w:ascii="Times New Roman" w:hAnsi="Times New Roman" w:eastAsia="仿宋_GB2312" w:cs="Times New Roman"/>
          <w:b w:val="0"/>
          <w:bCs/>
          <w:kern w:val="0"/>
          <w:sz w:val="32"/>
          <w:szCs w:val="32"/>
        </w:rPr>
        <w:t>其他社会保障缴费、退休费、生活补助、住房公积金；</w:t>
      </w:r>
    </w:p>
    <w:p>
      <w:pPr>
        <w:autoSpaceDE w:val="0"/>
        <w:autoSpaceDN w:val="0"/>
        <w:adjustRightInd w:val="0"/>
        <w:spacing w:line="560" w:lineRule="exact"/>
        <w:ind w:firstLine="640" w:firstLineChars="200"/>
        <w:jc w:val="left"/>
        <w:rPr>
          <w:rFonts w:hint="eastAsia" w:eastAsia="仿宋_GB2312" w:cs="Times New Roman"/>
          <w:b w:val="0"/>
          <w:bCs/>
          <w:kern w:val="0"/>
          <w:sz w:val="32"/>
          <w:szCs w:val="32"/>
          <w:lang w:eastAsia="zh-CN"/>
        </w:rPr>
      </w:pPr>
      <w:r>
        <w:rPr>
          <w:rFonts w:hint="default" w:ascii="Times New Roman" w:hAnsi="Times New Roman" w:eastAsia="仿宋_GB2312" w:cs="Times New Roman"/>
          <w:b w:val="0"/>
          <w:bCs/>
          <w:kern w:val="0"/>
          <w:sz w:val="32"/>
          <w:szCs w:val="32"/>
        </w:rPr>
        <w:t>公用经费</w:t>
      </w:r>
      <w:r>
        <w:rPr>
          <w:rFonts w:hint="eastAsia" w:eastAsia="仿宋_GB2312" w:cs="Times New Roman"/>
          <w:b w:val="0"/>
          <w:bCs/>
          <w:kern w:val="0"/>
          <w:sz w:val="32"/>
          <w:szCs w:val="32"/>
          <w:lang w:val="en-US" w:eastAsia="zh-CN"/>
        </w:rPr>
        <w:t>324.90</w:t>
      </w:r>
      <w:r>
        <w:rPr>
          <w:rFonts w:hint="default" w:ascii="Times New Roman" w:hAnsi="Times New Roman" w:eastAsia="仿宋_GB2312" w:cs="Times New Roman"/>
          <w:b w:val="0"/>
          <w:bCs/>
          <w:kern w:val="0"/>
          <w:sz w:val="32"/>
          <w:szCs w:val="32"/>
        </w:rPr>
        <w:t>万元，主要包括：办公费、邮电费、差旅费、会议费、培训费、公务接待费、工会经费、福利费、公务用车运行维护费、其他交通费用、税金及附加费用、其他商品和服务支出</w:t>
      </w:r>
      <w:r>
        <w:rPr>
          <w:rFonts w:hint="eastAsia" w:eastAsia="仿宋_GB2312" w:cs="Times New Roman"/>
          <w:b w:val="0"/>
          <w:bCs/>
          <w:kern w:val="0"/>
          <w:sz w:val="32"/>
          <w:szCs w:val="32"/>
          <w:lang w:eastAsia="zh-CN"/>
        </w:rPr>
        <w:t>。</w:t>
      </w:r>
    </w:p>
    <w:p>
      <w:pPr>
        <w:autoSpaceDE w:val="0"/>
        <w:autoSpaceDN w:val="0"/>
        <w:adjustRightInd w:val="0"/>
        <w:spacing w:line="560" w:lineRule="exact"/>
        <w:ind w:firstLine="643"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val="0"/>
          <w:kern w:val="0"/>
          <w:sz w:val="32"/>
          <w:szCs w:val="32"/>
        </w:rPr>
        <w:t>七、</w:t>
      </w:r>
      <w:r>
        <w:rPr>
          <w:rFonts w:hint="default" w:ascii="Times New Roman" w:hAnsi="Times New Roman" w:eastAsia="仿宋_GB2312" w:cs="Times New Roman"/>
          <w:b/>
          <w:bCs w:val="0"/>
          <w:kern w:val="0"/>
          <w:sz w:val="32"/>
          <w:szCs w:val="32"/>
          <w:lang w:eastAsia="zh-CN"/>
        </w:rPr>
        <w:t>201</w:t>
      </w:r>
      <w:r>
        <w:rPr>
          <w:rFonts w:hint="default" w:ascii="Times New Roman" w:hAnsi="Times New Roman" w:eastAsia="仿宋_GB2312" w:cs="Times New Roman"/>
          <w:b/>
          <w:bCs w:val="0"/>
          <w:kern w:val="0"/>
          <w:sz w:val="32"/>
          <w:szCs w:val="32"/>
          <w:lang w:val="en-US" w:eastAsia="zh-CN"/>
        </w:rPr>
        <w:t>9</w:t>
      </w:r>
      <w:r>
        <w:rPr>
          <w:rFonts w:hint="default" w:ascii="Times New Roman" w:hAnsi="Times New Roman" w:eastAsia="仿宋_GB2312" w:cs="Times New Roman"/>
          <w:b/>
          <w:bCs w:val="0"/>
          <w:kern w:val="0"/>
          <w:sz w:val="32"/>
          <w:szCs w:val="32"/>
        </w:rPr>
        <w:t xml:space="preserve"> 年度一般公共预算财政拨款“三公”经费支出决算情况</w:t>
      </w:r>
      <w:r>
        <w:rPr>
          <w:rFonts w:hint="default" w:ascii="Times New Roman" w:hAnsi="Times New Roman" w:eastAsia="仿宋_GB2312" w:cs="Times New Roman"/>
          <w:bCs/>
          <w:kern w:val="0"/>
          <w:sz w:val="32"/>
          <w:szCs w:val="32"/>
        </w:rPr>
        <w:t xml:space="preserve"> </w:t>
      </w:r>
    </w:p>
    <w:p>
      <w:pPr>
        <w:autoSpaceDE w:val="0"/>
        <w:autoSpaceDN w:val="0"/>
        <w:adjustRightInd w:val="0"/>
        <w:spacing w:line="56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（一）“三公”经费财政拨款支出决算总体情况</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 xml:space="preserve"> </w:t>
      </w:r>
    </w:p>
    <w:p>
      <w:pPr>
        <w:autoSpaceDE w:val="0"/>
        <w:autoSpaceDN w:val="0"/>
        <w:adjustRightInd w:val="0"/>
        <w:spacing w:line="560" w:lineRule="exact"/>
        <w:ind w:firstLine="640" w:firstLineChars="200"/>
        <w:jc w:val="left"/>
        <w:rPr>
          <w:rFonts w:eastAsia="仿宋_GB2312"/>
          <w:bCs/>
          <w:kern w:val="0"/>
          <w:sz w:val="32"/>
          <w:szCs w:val="32"/>
        </w:rPr>
      </w:pPr>
      <w:r>
        <w:rPr>
          <w:rFonts w:hint="default" w:ascii="Times New Roman" w:hAnsi="Times New Roman" w:eastAsia="仿宋_GB2312" w:cs="Times New Roman"/>
          <w:bCs/>
          <w:kern w:val="0"/>
          <w:sz w:val="32"/>
          <w:szCs w:val="32"/>
          <w:lang w:eastAsia="zh-CN"/>
        </w:rPr>
        <w:t>201</w:t>
      </w:r>
      <w:r>
        <w:rPr>
          <w:rFonts w:hint="default" w:ascii="Times New Roman" w:hAnsi="Times New Roman" w:eastAsia="仿宋_GB2312" w:cs="Times New Roman"/>
          <w:bCs/>
          <w:kern w:val="0"/>
          <w:sz w:val="32"/>
          <w:szCs w:val="32"/>
          <w:lang w:val="en-US" w:eastAsia="zh-CN"/>
        </w:rPr>
        <w:t>9</w:t>
      </w:r>
      <w:r>
        <w:rPr>
          <w:rFonts w:hint="default" w:ascii="Times New Roman" w:hAnsi="Times New Roman" w:eastAsia="仿宋_GB2312" w:cs="Times New Roman"/>
          <w:bCs/>
          <w:kern w:val="0"/>
          <w:sz w:val="32"/>
          <w:szCs w:val="32"/>
        </w:rPr>
        <w:t xml:space="preserve"> 年度“三公”经费财政拨款支出预算为</w:t>
      </w:r>
      <w:r>
        <w:rPr>
          <w:rFonts w:hint="eastAsia" w:eastAsia="仿宋_GB2312" w:cs="Times New Roman"/>
          <w:bCs/>
          <w:kern w:val="0"/>
          <w:sz w:val="32"/>
          <w:szCs w:val="32"/>
          <w:lang w:val="en-US" w:eastAsia="zh-CN"/>
        </w:rPr>
        <w:t>19.68</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16.17</w:t>
      </w:r>
      <w:r>
        <w:rPr>
          <w:rFonts w:hint="default" w:ascii="Times New Roman" w:hAnsi="Times New Roman" w:eastAsia="仿宋_GB2312" w:cs="Times New Roman"/>
          <w:bCs/>
          <w:kern w:val="0"/>
          <w:sz w:val="32"/>
          <w:szCs w:val="32"/>
        </w:rPr>
        <w:t>万元，完成预算的</w:t>
      </w:r>
      <w:r>
        <w:rPr>
          <w:rFonts w:hint="eastAsia" w:eastAsia="仿宋_GB2312" w:cs="Times New Roman"/>
          <w:bCs/>
          <w:kern w:val="0"/>
          <w:sz w:val="32"/>
          <w:szCs w:val="32"/>
          <w:lang w:val="en-US" w:eastAsia="zh-CN"/>
        </w:rPr>
        <w:t>82.16</w:t>
      </w:r>
      <w:r>
        <w:rPr>
          <w:rFonts w:hint="default" w:ascii="Times New Roman" w:hAnsi="Times New Roman" w:eastAsia="仿宋_GB2312" w:cs="Times New Roman"/>
          <w:bCs/>
          <w:kern w:val="0"/>
          <w:sz w:val="32"/>
          <w:szCs w:val="32"/>
        </w:rPr>
        <w:t>%，其中：因公出国（境）费支出决算为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万元，完成预算的</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%；公务用车购置及运行</w:t>
      </w:r>
      <w:r>
        <w:rPr>
          <w:rFonts w:hint="eastAsia" w:eastAsia="仿宋_GB2312" w:cs="Times New Roman"/>
          <w:bCs/>
          <w:kern w:val="0"/>
          <w:sz w:val="32"/>
          <w:szCs w:val="32"/>
          <w:lang w:eastAsia="zh-CN"/>
        </w:rPr>
        <w:t>维护</w:t>
      </w:r>
      <w:r>
        <w:rPr>
          <w:rFonts w:hint="default" w:ascii="Times New Roman" w:hAnsi="Times New Roman" w:eastAsia="仿宋_GB2312" w:cs="Times New Roman"/>
          <w:bCs/>
          <w:kern w:val="0"/>
          <w:sz w:val="32"/>
          <w:szCs w:val="32"/>
        </w:rPr>
        <w:t>费支出决算为</w:t>
      </w:r>
      <w:r>
        <w:rPr>
          <w:rFonts w:hint="eastAsia" w:eastAsia="仿宋_GB2312" w:cs="Times New Roman"/>
          <w:bCs/>
          <w:kern w:val="0"/>
          <w:sz w:val="32"/>
          <w:szCs w:val="32"/>
          <w:lang w:val="en-US" w:eastAsia="zh-CN"/>
        </w:rPr>
        <w:t>13.97</w:t>
      </w:r>
      <w:r>
        <w:rPr>
          <w:rFonts w:hint="default" w:ascii="Times New Roman" w:hAnsi="Times New Roman" w:eastAsia="仿宋_GB2312" w:cs="Times New Roman"/>
          <w:bCs/>
          <w:kern w:val="0"/>
          <w:sz w:val="32"/>
          <w:szCs w:val="32"/>
        </w:rPr>
        <w:t>万元，完成预算的</w:t>
      </w:r>
      <w:r>
        <w:rPr>
          <w:rFonts w:hint="eastAsia" w:eastAsia="仿宋_GB2312" w:cs="Times New Roman"/>
          <w:bCs/>
          <w:kern w:val="0"/>
          <w:sz w:val="32"/>
          <w:szCs w:val="32"/>
          <w:lang w:val="en-US" w:eastAsia="zh-CN"/>
        </w:rPr>
        <w:t>99.79</w:t>
      </w:r>
      <w:r>
        <w:rPr>
          <w:rFonts w:hint="default" w:ascii="Times New Roman" w:hAnsi="Times New Roman" w:eastAsia="仿宋_GB2312" w:cs="Times New Roman"/>
          <w:bCs/>
          <w:kern w:val="0"/>
          <w:sz w:val="32"/>
          <w:szCs w:val="32"/>
        </w:rPr>
        <w:t>%；公务接待费支出决算为</w:t>
      </w:r>
      <w:r>
        <w:rPr>
          <w:rFonts w:hint="eastAsia" w:eastAsia="仿宋_GB2312" w:cs="Times New Roman"/>
          <w:bCs/>
          <w:kern w:val="0"/>
          <w:sz w:val="32"/>
          <w:szCs w:val="32"/>
          <w:lang w:val="en-US" w:eastAsia="zh-CN"/>
        </w:rPr>
        <w:t>2.20</w:t>
      </w:r>
      <w:r>
        <w:rPr>
          <w:rFonts w:hint="default" w:ascii="Times New Roman" w:hAnsi="Times New Roman" w:eastAsia="仿宋_GB2312" w:cs="Times New Roman"/>
          <w:bCs/>
          <w:kern w:val="0"/>
          <w:sz w:val="32"/>
          <w:szCs w:val="32"/>
        </w:rPr>
        <w:t>万元，完成预算的</w:t>
      </w:r>
      <w:r>
        <w:rPr>
          <w:rFonts w:hint="eastAsia" w:eastAsia="仿宋_GB2312" w:cs="Times New Roman"/>
          <w:bCs/>
          <w:kern w:val="0"/>
          <w:sz w:val="32"/>
          <w:szCs w:val="32"/>
          <w:lang w:val="en-US" w:eastAsia="zh-CN"/>
        </w:rPr>
        <w:t>38.73</w:t>
      </w:r>
      <w:r>
        <w:rPr>
          <w:rFonts w:hint="default" w:ascii="Times New Roman" w:hAnsi="Times New Roman" w:eastAsia="仿宋_GB2312" w:cs="Times New Roman"/>
          <w:bCs/>
          <w:kern w:val="0"/>
          <w:sz w:val="32"/>
          <w:szCs w:val="32"/>
        </w:rPr>
        <w:t>%。</w:t>
      </w:r>
      <w:r>
        <w:rPr>
          <w:rFonts w:eastAsia="仿宋_GB2312"/>
          <w:bCs/>
          <w:kern w:val="0"/>
          <w:sz w:val="32"/>
          <w:szCs w:val="32"/>
        </w:rPr>
        <w:t>201</w:t>
      </w:r>
      <w:r>
        <w:rPr>
          <w:rFonts w:hint="eastAsia" w:eastAsia="仿宋_GB2312"/>
          <w:bCs/>
          <w:kern w:val="0"/>
          <w:sz w:val="32"/>
          <w:szCs w:val="32"/>
          <w:lang w:val="en-US" w:eastAsia="zh-CN"/>
        </w:rPr>
        <w:t>9</w:t>
      </w:r>
      <w:r>
        <w:rPr>
          <w:rFonts w:eastAsia="仿宋_GB2312"/>
          <w:bCs/>
          <w:kern w:val="0"/>
          <w:sz w:val="32"/>
          <w:szCs w:val="32"/>
        </w:rPr>
        <w:t>年度“三公”经费支出决算数小于预算数的主要原因是认真</w:t>
      </w:r>
      <w:r>
        <w:rPr>
          <w:rFonts w:hint="eastAsia" w:eastAsia="仿宋_GB2312"/>
          <w:bCs/>
          <w:kern w:val="0"/>
          <w:sz w:val="32"/>
          <w:szCs w:val="32"/>
          <w:lang w:eastAsia="zh-CN"/>
        </w:rPr>
        <w:t>贯彻落实中央八项规定</w:t>
      </w:r>
      <w:r>
        <w:rPr>
          <w:rFonts w:eastAsia="仿宋_GB2312"/>
          <w:bCs/>
          <w:kern w:val="0"/>
          <w:sz w:val="32"/>
          <w:szCs w:val="32"/>
        </w:rPr>
        <w:t>精神和厉行节约要求，进一步从严控制“三公”经费开支，全年实际支出比预算有所节约。</w:t>
      </w:r>
    </w:p>
    <w:p>
      <w:pPr>
        <w:autoSpaceDE w:val="0"/>
        <w:autoSpaceDN w:val="0"/>
        <w:adjustRightInd w:val="0"/>
        <w:spacing w:line="56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eastAsia="zh-CN"/>
        </w:rPr>
        <w:t>201</w:t>
      </w:r>
      <w:r>
        <w:rPr>
          <w:rFonts w:hint="default" w:ascii="Times New Roman" w:hAnsi="Times New Roman" w:eastAsia="仿宋_GB2312" w:cs="Times New Roman"/>
          <w:bCs/>
          <w:kern w:val="0"/>
          <w:sz w:val="32"/>
          <w:szCs w:val="32"/>
          <w:lang w:val="en-US" w:eastAsia="zh-CN"/>
        </w:rPr>
        <w:t>9</w:t>
      </w:r>
      <w:r>
        <w:rPr>
          <w:rFonts w:hint="default" w:ascii="Times New Roman" w:hAnsi="Times New Roman" w:eastAsia="仿宋_GB2312" w:cs="Times New Roman"/>
          <w:bCs/>
          <w:kern w:val="0"/>
          <w:sz w:val="32"/>
          <w:szCs w:val="32"/>
        </w:rPr>
        <w:t>年度“三公”经费财政拨款支出决算数比</w:t>
      </w:r>
      <w:r>
        <w:rPr>
          <w:rFonts w:hint="default" w:ascii="Times New Roman" w:hAnsi="Times New Roman" w:eastAsia="仿宋_GB2312" w:cs="Times New Roman"/>
          <w:bCs/>
          <w:kern w:val="0"/>
          <w:sz w:val="32"/>
          <w:szCs w:val="32"/>
          <w:lang w:eastAsia="zh-CN"/>
        </w:rPr>
        <w:t>201</w:t>
      </w:r>
      <w:r>
        <w:rPr>
          <w:rFonts w:hint="default" w:ascii="Times New Roman" w:hAnsi="Times New Roman" w:eastAsia="仿宋_GB2312" w:cs="Times New Roman"/>
          <w:bCs/>
          <w:kern w:val="0"/>
          <w:sz w:val="32"/>
          <w:szCs w:val="32"/>
          <w:lang w:val="en-US" w:eastAsia="zh-CN"/>
        </w:rPr>
        <w:t>8</w:t>
      </w:r>
      <w:r>
        <w:rPr>
          <w:rFonts w:hint="default" w:ascii="Times New Roman" w:hAnsi="Times New Roman" w:eastAsia="仿宋_GB2312" w:cs="Times New Roman"/>
          <w:bCs/>
          <w:kern w:val="0"/>
          <w:sz w:val="32"/>
          <w:szCs w:val="32"/>
        </w:rPr>
        <w:t>年减少</w:t>
      </w:r>
      <w:r>
        <w:rPr>
          <w:rFonts w:hint="eastAsia" w:eastAsia="仿宋_GB2312" w:cs="Times New Roman"/>
          <w:bCs/>
          <w:kern w:val="0"/>
          <w:sz w:val="32"/>
          <w:szCs w:val="32"/>
          <w:lang w:val="en-US" w:eastAsia="zh-CN"/>
        </w:rPr>
        <w:t>0.29</w:t>
      </w:r>
      <w:r>
        <w:rPr>
          <w:rFonts w:hint="default" w:ascii="Times New Roman" w:hAnsi="Times New Roman" w:eastAsia="仿宋_GB2312" w:cs="Times New Roman"/>
          <w:bCs/>
          <w:kern w:val="0"/>
          <w:sz w:val="32"/>
          <w:szCs w:val="32"/>
        </w:rPr>
        <w:t>万元，下降</w:t>
      </w:r>
      <w:r>
        <w:rPr>
          <w:rFonts w:hint="eastAsia" w:eastAsia="仿宋_GB2312" w:cs="Times New Roman"/>
          <w:bCs/>
          <w:kern w:val="0"/>
          <w:sz w:val="32"/>
          <w:szCs w:val="32"/>
          <w:lang w:val="en-US" w:eastAsia="zh-CN"/>
        </w:rPr>
        <w:t>1.76</w:t>
      </w:r>
      <w:r>
        <w:rPr>
          <w:rFonts w:hint="default" w:ascii="Times New Roman" w:hAnsi="Times New Roman" w:eastAsia="仿宋_GB2312" w:cs="Times New Roman"/>
          <w:bCs/>
          <w:kern w:val="0"/>
          <w:sz w:val="32"/>
          <w:szCs w:val="32"/>
        </w:rPr>
        <w:t>%，其中：因公出国（境）费支出决算减少</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万元，下降</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%；公务用车购置及运行</w:t>
      </w:r>
      <w:r>
        <w:rPr>
          <w:rFonts w:hint="eastAsia" w:eastAsia="仿宋_GB2312" w:cs="Times New Roman"/>
          <w:bCs/>
          <w:kern w:val="0"/>
          <w:sz w:val="32"/>
          <w:szCs w:val="32"/>
          <w:lang w:eastAsia="zh-CN"/>
        </w:rPr>
        <w:t>维护</w:t>
      </w:r>
      <w:r>
        <w:rPr>
          <w:rFonts w:hint="default" w:ascii="Times New Roman" w:hAnsi="Times New Roman" w:eastAsia="仿宋_GB2312" w:cs="Times New Roman"/>
          <w:bCs/>
          <w:kern w:val="0"/>
          <w:sz w:val="32"/>
          <w:szCs w:val="32"/>
        </w:rPr>
        <w:t>费支出决算减少</w:t>
      </w:r>
      <w:r>
        <w:rPr>
          <w:rFonts w:hint="eastAsia" w:eastAsia="仿宋_GB2312" w:cs="Times New Roman"/>
          <w:bCs/>
          <w:kern w:val="0"/>
          <w:sz w:val="32"/>
          <w:szCs w:val="32"/>
          <w:lang w:val="en-US" w:eastAsia="zh-CN"/>
        </w:rPr>
        <w:t>0.37</w:t>
      </w:r>
      <w:r>
        <w:rPr>
          <w:rFonts w:hint="default" w:ascii="Times New Roman" w:hAnsi="Times New Roman" w:eastAsia="仿宋_GB2312" w:cs="Times New Roman"/>
          <w:bCs/>
          <w:kern w:val="0"/>
          <w:sz w:val="32"/>
          <w:szCs w:val="32"/>
        </w:rPr>
        <w:t>万元，下降</w:t>
      </w:r>
      <w:r>
        <w:rPr>
          <w:rFonts w:hint="eastAsia" w:eastAsia="仿宋_GB2312" w:cs="Times New Roman"/>
          <w:bCs/>
          <w:kern w:val="0"/>
          <w:sz w:val="32"/>
          <w:szCs w:val="32"/>
          <w:lang w:val="en-US" w:eastAsia="zh-CN"/>
        </w:rPr>
        <w:t>2.58</w:t>
      </w:r>
      <w:r>
        <w:rPr>
          <w:rFonts w:hint="default" w:ascii="Times New Roman" w:hAnsi="Times New Roman" w:eastAsia="仿宋_GB2312" w:cs="Times New Roman"/>
          <w:bCs/>
          <w:kern w:val="0"/>
          <w:sz w:val="32"/>
          <w:szCs w:val="32"/>
        </w:rPr>
        <w:t>%；公务接待费支出决算</w:t>
      </w:r>
      <w:r>
        <w:rPr>
          <w:rFonts w:hint="eastAsia" w:eastAsia="仿宋_GB2312" w:cs="Times New Roman"/>
          <w:bCs/>
          <w:kern w:val="0"/>
          <w:sz w:val="32"/>
          <w:szCs w:val="32"/>
          <w:lang w:eastAsia="zh-CN"/>
        </w:rPr>
        <w:t>增加</w:t>
      </w:r>
      <w:r>
        <w:rPr>
          <w:rFonts w:hint="eastAsia" w:eastAsia="仿宋_GB2312" w:cs="Times New Roman"/>
          <w:bCs/>
          <w:kern w:val="0"/>
          <w:sz w:val="32"/>
          <w:szCs w:val="32"/>
          <w:lang w:val="en-US" w:eastAsia="zh-CN"/>
        </w:rPr>
        <w:t>0.08</w:t>
      </w:r>
      <w:r>
        <w:rPr>
          <w:rFonts w:hint="default" w:ascii="Times New Roman" w:hAnsi="Times New Roman" w:eastAsia="仿宋_GB2312" w:cs="Times New Roman"/>
          <w:bCs/>
          <w:kern w:val="0"/>
          <w:sz w:val="32"/>
          <w:szCs w:val="32"/>
        </w:rPr>
        <w:t>万元，</w:t>
      </w:r>
      <w:r>
        <w:rPr>
          <w:rFonts w:hint="eastAsia" w:eastAsia="仿宋_GB2312" w:cs="Times New Roman"/>
          <w:bCs/>
          <w:kern w:val="0"/>
          <w:sz w:val="32"/>
          <w:szCs w:val="32"/>
          <w:lang w:eastAsia="zh-CN"/>
        </w:rPr>
        <w:t>增加</w:t>
      </w:r>
      <w:r>
        <w:rPr>
          <w:rFonts w:hint="eastAsia" w:eastAsia="仿宋_GB2312" w:cs="Times New Roman"/>
          <w:bCs/>
          <w:kern w:val="0"/>
          <w:sz w:val="32"/>
          <w:szCs w:val="32"/>
          <w:lang w:val="en-US" w:eastAsia="zh-CN"/>
        </w:rPr>
        <w:t>3.77</w:t>
      </w:r>
      <w:r>
        <w:rPr>
          <w:rFonts w:hint="default" w:ascii="Times New Roman" w:hAnsi="Times New Roman" w:eastAsia="仿宋_GB2312" w:cs="Times New Roman"/>
          <w:bCs/>
          <w:kern w:val="0"/>
          <w:sz w:val="32"/>
          <w:szCs w:val="32"/>
        </w:rPr>
        <w:t>%。</w:t>
      </w:r>
    </w:p>
    <w:p>
      <w:pPr>
        <w:autoSpaceDE w:val="0"/>
        <w:autoSpaceDN w:val="0"/>
        <w:adjustRightInd w:val="0"/>
        <w:spacing w:line="560" w:lineRule="exact"/>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val="en-US" w:eastAsia="zh-CN"/>
        </w:rPr>
        <w:t xml:space="preserve">    </w:t>
      </w:r>
      <w:r>
        <w:rPr>
          <w:rFonts w:hint="default" w:ascii="Times New Roman" w:hAnsi="Times New Roman" w:eastAsia="仿宋_GB2312" w:cs="Times New Roman"/>
          <w:bCs/>
          <w:kern w:val="0"/>
          <w:sz w:val="32"/>
          <w:szCs w:val="32"/>
          <w:lang w:eastAsia="zh-CN"/>
        </w:rPr>
        <w:t>公</w:t>
      </w:r>
      <w:r>
        <w:rPr>
          <w:rFonts w:hint="default" w:ascii="Times New Roman" w:hAnsi="Times New Roman" w:eastAsia="仿宋_GB2312" w:cs="Times New Roman"/>
          <w:bCs/>
          <w:kern w:val="0"/>
          <w:sz w:val="32"/>
          <w:szCs w:val="32"/>
        </w:rPr>
        <w:t>务用车购置及运行</w:t>
      </w:r>
      <w:r>
        <w:rPr>
          <w:rFonts w:hint="eastAsia" w:eastAsia="仿宋_GB2312" w:cs="Times New Roman"/>
          <w:bCs/>
          <w:kern w:val="0"/>
          <w:sz w:val="32"/>
          <w:szCs w:val="32"/>
          <w:lang w:eastAsia="zh-CN"/>
        </w:rPr>
        <w:t>维护</w:t>
      </w:r>
      <w:r>
        <w:rPr>
          <w:rFonts w:hint="default" w:ascii="Times New Roman" w:hAnsi="Times New Roman" w:eastAsia="仿宋_GB2312" w:cs="Times New Roman"/>
          <w:bCs/>
          <w:kern w:val="0"/>
          <w:sz w:val="32"/>
          <w:szCs w:val="32"/>
        </w:rPr>
        <w:t>费支出减少的主要原因是</w:t>
      </w:r>
      <w:r>
        <w:rPr>
          <w:rFonts w:eastAsia="仿宋_GB2312"/>
          <w:bCs/>
          <w:kern w:val="0"/>
          <w:sz w:val="32"/>
          <w:szCs w:val="32"/>
        </w:rPr>
        <w:t>201</w:t>
      </w:r>
      <w:r>
        <w:rPr>
          <w:rFonts w:hint="eastAsia" w:eastAsia="仿宋_GB2312"/>
          <w:bCs/>
          <w:kern w:val="0"/>
          <w:sz w:val="32"/>
          <w:szCs w:val="32"/>
          <w:lang w:val="en-US" w:eastAsia="zh-CN"/>
        </w:rPr>
        <w:t>9</w:t>
      </w:r>
      <w:r>
        <w:rPr>
          <w:rFonts w:eastAsia="仿宋_GB2312"/>
          <w:bCs/>
          <w:kern w:val="0"/>
          <w:sz w:val="32"/>
          <w:szCs w:val="32"/>
        </w:rPr>
        <w:t>年外出勘验次数</w:t>
      </w:r>
      <w:r>
        <w:rPr>
          <w:rFonts w:hint="eastAsia" w:eastAsia="仿宋_GB2312"/>
          <w:bCs/>
          <w:kern w:val="0"/>
          <w:sz w:val="32"/>
          <w:szCs w:val="32"/>
          <w:lang w:eastAsia="zh-CN"/>
        </w:rPr>
        <w:t>减少</w:t>
      </w:r>
      <w:r>
        <w:rPr>
          <w:rFonts w:eastAsia="仿宋_GB2312"/>
          <w:bCs/>
          <w:kern w:val="0"/>
          <w:sz w:val="32"/>
          <w:szCs w:val="32"/>
        </w:rPr>
        <w:t>，因此公务用车运行维护费也有所</w:t>
      </w:r>
      <w:r>
        <w:rPr>
          <w:rFonts w:hint="eastAsia" w:eastAsia="仿宋_GB2312"/>
          <w:bCs/>
          <w:kern w:val="0"/>
          <w:sz w:val="32"/>
          <w:szCs w:val="32"/>
          <w:lang w:eastAsia="zh-CN"/>
        </w:rPr>
        <w:t>降低</w:t>
      </w:r>
      <w:r>
        <w:rPr>
          <w:rFonts w:hint="default" w:ascii="Times New Roman" w:hAnsi="Times New Roman" w:eastAsia="仿宋_GB2312" w:cs="Times New Roman"/>
          <w:bCs/>
          <w:kern w:val="0"/>
          <w:sz w:val="32"/>
          <w:szCs w:val="32"/>
        </w:rPr>
        <w:t>；公务接待费支出</w:t>
      </w:r>
      <w:r>
        <w:rPr>
          <w:rFonts w:hint="eastAsia" w:eastAsia="仿宋_GB2312" w:cs="Times New Roman"/>
          <w:bCs/>
          <w:kern w:val="0"/>
          <w:sz w:val="32"/>
          <w:szCs w:val="32"/>
          <w:lang w:eastAsia="zh-CN"/>
        </w:rPr>
        <w:t>增加</w:t>
      </w:r>
      <w:r>
        <w:rPr>
          <w:rFonts w:hint="default" w:ascii="Times New Roman" w:hAnsi="Times New Roman" w:eastAsia="仿宋_GB2312" w:cs="Times New Roman"/>
          <w:bCs/>
          <w:kern w:val="0"/>
          <w:sz w:val="32"/>
          <w:szCs w:val="32"/>
        </w:rPr>
        <w:t>的主要原因是</w:t>
      </w:r>
      <w:r>
        <w:rPr>
          <w:rFonts w:eastAsia="仿宋_GB2312"/>
          <w:bCs/>
          <w:kern w:val="0"/>
          <w:sz w:val="32"/>
          <w:szCs w:val="32"/>
        </w:rPr>
        <w:t>201</w:t>
      </w:r>
      <w:r>
        <w:rPr>
          <w:rFonts w:hint="eastAsia" w:eastAsia="仿宋_GB2312"/>
          <w:bCs/>
          <w:kern w:val="0"/>
          <w:sz w:val="32"/>
          <w:szCs w:val="32"/>
          <w:lang w:val="en-US" w:eastAsia="zh-CN"/>
        </w:rPr>
        <w:t>9</w:t>
      </w:r>
      <w:r>
        <w:rPr>
          <w:rFonts w:eastAsia="仿宋_GB2312"/>
          <w:bCs/>
          <w:kern w:val="0"/>
          <w:sz w:val="32"/>
          <w:szCs w:val="32"/>
        </w:rPr>
        <w:t>年外单位到本局学习考察的次数比上年</w:t>
      </w:r>
      <w:r>
        <w:rPr>
          <w:rFonts w:hint="eastAsia" w:eastAsia="仿宋_GB2312"/>
          <w:bCs/>
          <w:kern w:val="0"/>
          <w:sz w:val="32"/>
          <w:szCs w:val="32"/>
          <w:lang w:eastAsia="zh-CN"/>
        </w:rPr>
        <w:t>增加</w:t>
      </w:r>
      <w:r>
        <w:rPr>
          <w:rFonts w:eastAsia="仿宋_GB2312"/>
          <w:bCs/>
          <w:kern w:val="0"/>
          <w:sz w:val="32"/>
          <w:szCs w:val="32"/>
        </w:rPr>
        <w:t>，接待人数和费用也随之</w:t>
      </w:r>
      <w:r>
        <w:rPr>
          <w:rFonts w:hint="eastAsia" w:eastAsia="仿宋_GB2312"/>
          <w:bCs/>
          <w:kern w:val="0"/>
          <w:sz w:val="32"/>
          <w:szCs w:val="32"/>
          <w:lang w:eastAsia="zh-CN"/>
        </w:rPr>
        <w:t>增加</w:t>
      </w:r>
      <w:r>
        <w:rPr>
          <w:rFonts w:eastAsia="仿宋_GB2312"/>
          <w:bCs/>
          <w:kern w:val="0"/>
          <w:sz w:val="32"/>
          <w:szCs w:val="32"/>
        </w:rPr>
        <w:t>。</w:t>
      </w:r>
    </w:p>
    <w:p>
      <w:pPr>
        <w:autoSpaceDE w:val="0"/>
        <w:autoSpaceDN w:val="0"/>
        <w:adjustRightInd w:val="0"/>
        <w:spacing w:line="560" w:lineRule="exact"/>
        <w:ind w:firstLine="0" w:firstLineChars="0"/>
        <w:jc w:val="left"/>
        <w:rPr>
          <w:rFonts w:hint="eastAsia"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val="en-US" w:eastAsia="zh-CN"/>
        </w:rPr>
        <w:t xml:space="preserve">    </w:t>
      </w:r>
      <w:r>
        <w:rPr>
          <w:rFonts w:hint="default" w:ascii="Times New Roman" w:hAnsi="Times New Roman" w:eastAsia="仿宋_GB2312" w:cs="Times New Roman"/>
          <w:bCs/>
          <w:kern w:val="0"/>
          <w:sz w:val="32"/>
          <w:szCs w:val="32"/>
        </w:rPr>
        <w:t>（二）“三公”经费财政拨款支出决算具体情况</w:t>
      </w:r>
      <w:r>
        <w:rPr>
          <w:rFonts w:hint="eastAsia" w:eastAsia="仿宋_GB2312" w:cs="Times New Roman"/>
          <w:bCs/>
          <w:kern w:val="0"/>
          <w:sz w:val="32"/>
          <w:szCs w:val="32"/>
          <w:lang w:eastAsia="zh-CN"/>
        </w:rPr>
        <w:t>。</w:t>
      </w:r>
    </w:p>
    <w:p>
      <w:pPr>
        <w:autoSpaceDE w:val="0"/>
        <w:autoSpaceDN w:val="0"/>
        <w:adjustRightInd w:val="0"/>
        <w:spacing w:line="560" w:lineRule="exact"/>
        <w:ind w:firstLine="0" w:firstLineChars="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w:t>
      </w:r>
      <w:r>
        <w:rPr>
          <w:rFonts w:hint="default" w:ascii="Times New Roman" w:hAnsi="Times New Roman" w:eastAsia="仿宋_GB2312" w:cs="Times New Roman"/>
          <w:bCs/>
          <w:kern w:val="0"/>
          <w:sz w:val="32"/>
          <w:szCs w:val="32"/>
          <w:lang w:eastAsia="zh-CN"/>
        </w:rPr>
        <w:t>201</w:t>
      </w:r>
      <w:r>
        <w:rPr>
          <w:rFonts w:hint="default" w:ascii="Times New Roman" w:hAnsi="Times New Roman" w:eastAsia="仿宋_GB2312" w:cs="Times New Roman"/>
          <w:bCs/>
          <w:kern w:val="0"/>
          <w:sz w:val="32"/>
          <w:szCs w:val="32"/>
          <w:lang w:val="en-US" w:eastAsia="zh-CN"/>
        </w:rPr>
        <w:t>9</w:t>
      </w:r>
      <w:r>
        <w:rPr>
          <w:rFonts w:hint="default" w:ascii="Times New Roman" w:hAnsi="Times New Roman" w:eastAsia="仿宋_GB2312" w:cs="Times New Roman"/>
          <w:bCs/>
          <w:kern w:val="0"/>
          <w:sz w:val="32"/>
          <w:szCs w:val="32"/>
        </w:rPr>
        <w:t>年度“三公”经费财政拨款支出决算中，因公出国（境</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费支出决算</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%；公务用车购置及运行</w:t>
      </w:r>
      <w:r>
        <w:rPr>
          <w:rFonts w:hint="eastAsia" w:eastAsia="仿宋_GB2312" w:cs="Times New Roman"/>
          <w:bCs/>
          <w:kern w:val="0"/>
          <w:sz w:val="32"/>
          <w:szCs w:val="32"/>
          <w:lang w:eastAsia="zh-CN"/>
        </w:rPr>
        <w:t>维护</w:t>
      </w:r>
      <w:r>
        <w:rPr>
          <w:rFonts w:hint="default" w:ascii="Times New Roman" w:hAnsi="Times New Roman" w:eastAsia="仿宋_GB2312" w:cs="Times New Roman"/>
          <w:bCs/>
          <w:kern w:val="0"/>
          <w:sz w:val="32"/>
          <w:szCs w:val="32"/>
        </w:rPr>
        <w:t>费支出决算</w:t>
      </w:r>
      <w:r>
        <w:rPr>
          <w:rFonts w:hint="eastAsia" w:eastAsia="仿宋_GB2312" w:cs="Times New Roman"/>
          <w:bCs/>
          <w:kern w:val="0"/>
          <w:sz w:val="32"/>
          <w:szCs w:val="32"/>
          <w:lang w:val="en-US" w:eastAsia="zh-CN"/>
        </w:rPr>
        <w:t>13.97</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86.39</w:t>
      </w:r>
      <w:r>
        <w:rPr>
          <w:rFonts w:hint="default" w:ascii="Times New Roman" w:hAnsi="Times New Roman" w:eastAsia="仿宋_GB2312" w:cs="Times New Roman"/>
          <w:bCs/>
          <w:kern w:val="0"/>
          <w:sz w:val="32"/>
          <w:szCs w:val="32"/>
        </w:rPr>
        <w:t>%；公务接待费支出决算</w:t>
      </w:r>
      <w:r>
        <w:rPr>
          <w:rFonts w:hint="eastAsia" w:eastAsia="仿宋_GB2312" w:cs="Times New Roman"/>
          <w:bCs/>
          <w:kern w:val="0"/>
          <w:sz w:val="32"/>
          <w:szCs w:val="32"/>
          <w:lang w:val="en-US" w:eastAsia="zh-CN"/>
        </w:rPr>
        <w:t>2.20</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13.61</w:t>
      </w:r>
      <w:r>
        <w:rPr>
          <w:rFonts w:hint="default" w:ascii="Times New Roman" w:hAnsi="Times New Roman" w:eastAsia="仿宋_GB2312" w:cs="Times New Roman"/>
          <w:bCs/>
          <w:kern w:val="0"/>
          <w:sz w:val="32"/>
          <w:szCs w:val="32"/>
        </w:rPr>
        <w:t xml:space="preserve">%。具体情况如下：  </w:t>
      </w:r>
    </w:p>
    <w:p>
      <w:pPr>
        <w:autoSpaceDE w:val="0"/>
        <w:autoSpaceDN w:val="0"/>
        <w:adjustRightInd w:val="0"/>
        <w:spacing w:line="560" w:lineRule="exact"/>
        <w:ind w:firstLine="0" w:firstLineChars="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1.因公出国（境）费支出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 xml:space="preserve">万元。 </w:t>
      </w:r>
    </w:p>
    <w:p>
      <w:pPr>
        <w:autoSpaceDE w:val="0"/>
        <w:autoSpaceDN w:val="0"/>
        <w:adjustRightInd w:val="0"/>
        <w:spacing w:line="560" w:lineRule="exact"/>
        <w:ind w:firstLine="0" w:firstLineChars="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val="en-US" w:eastAsia="zh-CN"/>
        </w:rPr>
        <w:t xml:space="preserve">    </w:t>
      </w:r>
      <w:r>
        <w:rPr>
          <w:rFonts w:hint="default" w:ascii="Times New Roman" w:hAnsi="Times New Roman" w:eastAsia="仿宋_GB2312" w:cs="Times New Roman"/>
          <w:bCs/>
          <w:kern w:val="0"/>
          <w:sz w:val="32"/>
          <w:szCs w:val="32"/>
        </w:rPr>
        <w:t>2.公务用车购置及运行</w:t>
      </w:r>
      <w:r>
        <w:rPr>
          <w:rFonts w:hint="eastAsia" w:eastAsia="仿宋_GB2312" w:cs="Times New Roman"/>
          <w:bCs/>
          <w:kern w:val="0"/>
          <w:sz w:val="32"/>
          <w:szCs w:val="32"/>
          <w:lang w:eastAsia="zh-CN"/>
        </w:rPr>
        <w:t>维护</w:t>
      </w:r>
      <w:r>
        <w:rPr>
          <w:rFonts w:hint="default" w:ascii="Times New Roman" w:hAnsi="Times New Roman" w:eastAsia="仿宋_GB2312" w:cs="Times New Roman"/>
          <w:bCs/>
          <w:kern w:val="0"/>
          <w:sz w:val="32"/>
          <w:szCs w:val="32"/>
        </w:rPr>
        <w:t>费支出</w:t>
      </w:r>
      <w:r>
        <w:rPr>
          <w:rFonts w:hint="eastAsia" w:eastAsia="仿宋_GB2312" w:cs="Times New Roman"/>
          <w:bCs/>
          <w:kern w:val="0"/>
          <w:sz w:val="32"/>
          <w:szCs w:val="32"/>
          <w:lang w:val="en-US" w:eastAsia="zh-CN"/>
        </w:rPr>
        <w:t>13.97</w:t>
      </w:r>
      <w:r>
        <w:rPr>
          <w:rFonts w:hint="default" w:ascii="Times New Roman" w:hAnsi="Times New Roman" w:eastAsia="仿宋_GB2312" w:cs="Times New Roman"/>
          <w:bCs/>
          <w:kern w:val="0"/>
          <w:sz w:val="32"/>
          <w:szCs w:val="32"/>
        </w:rPr>
        <w:t>万元。其中</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公务用车购置</w:t>
      </w:r>
      <w:r>
        <w:rPr>
          <w:rFonts w:hint="eastAsia" w:eastAsia="仿宋_GB2312" w:cs="Times New Roman"/>
          <w:bCs/>
          <w:kern w:val="0"/>
          <w:sz w:val="32"/>
          <w:szCs w:val="32"/>
          <w:lang w:eastAsia="zh-CN"/>
        </w:rPr>
        <w:t>费</w:t>
      </w:r>
      <w:r>
        <w:rPr>
          <w:rFonts w:hint="default" w:ascii="Times New Roman" w:hAnsi="Times New Roman" w:eastAsia="仿宋_GB2312" w:cs="Times New Roman"/>
          <w:bCs/>
          <w:kern w:val="0"/>
          <w:sz w:val="32"/>
          <w:szCs w:val="32"/>
        </w:rPr>
        <w:t>支出为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万元。公务用车运行</w:t>
      </w:r>
      <w:r>
        <w:rPr>
          <w:rFonts w:hint="eastAsia" w:eastAsia="仿宋_GB2312" w:cs="Times New Roman"/>
          <w:bCs/>
          <w:kern w:val="0"/>
          <w:sz w:val="32"/>
          <w:szCs w:val="32"/>
          <w:lang w:eastAsia="zh-CN"/>
        </w:rPr>
        <w:t>维护费</w:t>
      </w:r>
      <w:r>
        <w:rPr>
          <w:rFonts w:hint="default" w:ascii="Times New Roman" w:hAnsi="Times New Roman" w:eastAsia="仿宋_GB2312" w:cs="Times New Roman"/>
          <w:bCs/>
          <w:kern w:val="0"/>
          <w:sz w:val="32"/>
          <w:szCs w:val="32"/>
        </w:rPr>
        <w:t>支出</w:t>
      </w:r>
      <w:r>
        <w:rPr>
          <w:rFonts w:hint="eastAsia" w:eastAsia="仿宋_GB2312" w:cs="Times New Roman"/>
          <w:bCs/>
          <w:kern w:val="0"/>
          <w:sz w:val="32"/>
          <w:szCs w:val="32"/>
          <w:lang w:val="en-US" w:eastAsia="zh-CN"/>
        </w:rPr>
        <w:t>13.97</w:t>
      </w:r>
      <w:r>
        <w:rPr>
          <w:rFonts w:hint="default" w:ascii="Times New Roman" w:hAnsi="Times New Roman" w:eastAsia="仿宋_GB2312" w:cs="Times New Roman"/>
          <w:bCs/>
          <w:kern w:val="0"/>
          <w:sz w:val="32"/>
          <w:szCs w:val="32"/>
        </w:rPr>
        <w:t>万元。主要用于</w:t>
      </w:r>
      <w:r>
        <w:rPr>
          <w:rFonts w:eastAsia="仿宋_GB2312"/>
          <w:bCs/>
          <w:kern w:val="0"/>
          <w:sz w:val="32"/>
          <w:szCs w:val="32"/>
        </w:rPr>
        <w:t>公务用车加油、维修维护、保险</w:t>
      </w:r>
      <w:r>
        <w:rPr>
          <w:rFonts w:hint="default" w:ascii="Times New Roman" w:hAnsi="Times New Roman" w:eastAsia="仿宋_GB2312" w:cs="Times New Roman"/>
          <w:bCs/>
          <w:kern w:val="0"/>
          <w:sz w:val="32"/>
          <w:szCs w:val="32"/>
          <w:lang w:eastAsia="zh-CN"/>
        </w:rPr>
        <w:t>。201</w:t>
      </w:r>
      <w:r>
        <w:rPr>
          <w:rFonts w:hint="default" w:ascii="Times New Roman" w:hAnsi="Times New Roman" w:eastAsia="仿宋_GB2312" w:cs="Times New Roman"/>
          <w:bCs/>
          <w:kern w:val="0"/>
          <w:sz w:val="32"/>
          <w:szCs w:val="32"/>
          <w:lang w:val="en-US" w:eastAsia="zh-CN"/>
        </w:rPr>
        <w:t>9</w:t>
      </w:r>
      <w:r>
        <w:rPr>
          <w:rFonts w:hint="default" w:ascii="Times New Roman" w:hAnsi="Times New Roman" w:eastAsia="仿宋_GB2312" w:cs="Times New Roman"/>
          <w:bCs/>
          <w:kern w:val="0"/>
          <w:sz w:val="32"/>
          <w:szCs w:val="32"/>
        </w:rPr>
        <w:t>年，机关所属单位开支财政拨款的公务用车保有量为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w:t>
      </w:r>
    </w:p>
    <w:p>
      <w:pPr>
        <w:autoSpaceDE w:val="0"/>
        <w:autoSpaceDN w:val="0"/>
        <w:adjustRightInd w:val="0"/>
        <w:spacing w:line="560" w:lineRule="exact"/>
        <w:ind w:firstLine="0" w:firstLineChars="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val="en-US" w:eastAsia="zh-CN"/>
        </w:rPr>
        <w:t xml:space="preserve">    </w:t>
      </w:r>
      <w:r>
        <w:rPr>
          <w:rFonts w:hint="default" w:ascii="Times New Roman" w:hAnsi="Times New Roman" w:eastAsia="仿宋_GB2312" w:cs="Times New Roman"/>
          <w:bCs/>
          <w:kern w:val="0"/>
          <w:sz w:val="32"/>
          <w:szCs w:val="32"/>
        </w:rPr>
        <w:t>3.公务接待费支出</w:t>
      </w:r>
      <w:r>
        <w:rPr>
          <w:rFonts w:hint="eastAsia" w:eastAsia="仿宋_GB2312" w:cs="Times New Roman"/>
          <w:bCs/>
          <w:kern w:val="0"/>
          <w:sz w:val="32"/>
          <w:szCs w:val="32"/>
          <w:lang w:val="en-US" w:eastAsia="zh-CN"/>
        </w:rPr>
        <w:t>2.20</w:t>
      </w:r>
      <w:r>
        <w:rPr>
          <w:rFonts w:hint="default" w:ascii="Times New Roman" w:hAnsi="Times New Roman" w:eastAsia="仿宋_GB2312" w:cs="Times New Roman"/>
          <w:bCs/>
          <w:kern w:val="0"/>
          <w:sz w:val="32"/>
          <w:szCs w:val="32"/>
        </w:rPr>
        <w:t>万元。其中：</w:t>
      </w:r>
    </w:p>
    <w:p>
      <w:pPr>
        <w:autoSpaceDE w:val="0"/>
        <w:autoSpaceDN w:val="0"/>
        <w:adjustRightInd w:val="0"/>
        <w:spacing w:line="560" w:lineRule="exact"/>
        <w:ind w:firstLine="640" w:firstLineChars="0"/>
        <w:jc w:val="left"/>
        <w:rPr>
          <w:rFonts w:hint="eastAsia"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rPr>
        <w:t>国内公务接待支出</w:t>
      </w:r>
      <w:r>
        <w:rPr>
          <w:rFonts w:hint="eastAsia" w:eastAsia="仿宋_GB2312" w:cs="Times New Roman"/>
          <w:bCs/>
          <w:kern w:val="0"/>
          <w:sz w:val="32"/>
          <w:szCs w:val="32"/>
          <w:lang w:val="en-US" w:eastAsia="zh-CN"/>
        </w:rPr>
        <w:t>2.20</w:t>
      </w:r>
      <w:r>
        <w:rPr>
          <w:rFonts w:hint="default" w:ascii="Times New Roman" w:hAnsi="Times New Roman" w:eastAsia="仿宋_GB2312" w:cs="Times New Roman"/>
          <w:bCs/>
          <w:kern w:val="0"/>
          <w:sz w:val="32"/>
          <w:szCs w:val="32"/>
        </w:rPr>
        <w:t>万元。主要用于</w:t>
      </w:r>
      <w:r>
        <w:rPr>
          <w:rFonts w:eastAsia="仿宋_GB2312"/>
          <w:bCs/>
          <w:kern w:val="0"/>
          <w:sz w:val="32"/>
          <w:szCs w:val="32"/>
        </w:rPr>
        <w:t>接待外地单位学习考察团工作餐</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eastAsia="zh-CN"/>
        </w:rPr>
        <w:t>201</w:t>
      </w:r>
      <w:r>
        <w:rPr>
          <w:rFonts w:hint="default" w:ascii="Times New Roman" w:hAnsi="Times New Roman" w:eastAsia="仿宋_GB2312" w:cs="Times New Roman"/>
          <w:bCs/>
          <w:kern w:val="0"/>
          <w:sz w:val="32"/>
          <w:szCs w:val="32"/>
          <w:lang w:val="en-US" w:eastAsia="zh-CN"/>
        </w:rPr>
        <w:t>9</w:t>
      </w:r>
      <w:r>
        <w:rPr>
          <w:rFonts w:hint="default" w:ascii="Times New Roman" w:hAnsi="Times New Roman" w:eastAsia="仿宋_GB2312" w:cs="Times New Roman"/>
          <w:bCs/>
          <w:kern w:val="0"/>
          <w:sz w:val="32"/>
          <w:szCs w:val="32"/>
        </w:rPr>
        <w:t>年共接待国内来访团组</w:t>
      </w:r>
      <w:r>
        <w:rPr>
          <w:rFonts w:hint="eastAsia" w:eastAsia="仿宋_GB2312" w:cs="Times New Roman"/>
          <w:bCs/>
          <w:kern w:val="0"/>
          <w:sz w:val="32"/>
          <w:szCs w:val="32"/>
          <w:lang w:val="en-US" w:eastAsia="zh-CN"/>
        </w:rPr>
        <w:t>26</w:t>
      </w:r>
      <w:r>
        <w:rPr>
          <w:rFonts w:hint="default" w:ascii="Times New Roman" w:hAnsi="Times New Roman" w:eastAsia="仿宋_GB2312" w:cs="Times New Roman"/>
          <w:bCs/>
          <w:kern w:val="0"/>
          <w:sz w:val="32"/>
          <w:szCs w:val="32"/>
        </w:rPr>
        <w:t>个、来宾</w:t>
      </w:r>
      <w:r>
        <w:rPr>
          <w:rFonts w:hint="eastAsia" w:eastAsia="仿宋_GB2312" w:cs="Times New Roman"/>
          <w:bCs/>
          <w:kern w:val="0"/>
          <w:sz w:val="32"/>
          <w:szCs w:val="32"/>
          <w:lang w:val="en-US" w:eastAsia="zh-CN"/>
        </w:rPr>
        <w:t>206</w:t>
      </w:r>
      <w:r>
        <w:rPr>
          <w:rFonts w:hint="default" w:ascii="Times New Roman" w:hAnsi="Times New Roman" w:eastAsia="仿宋_GB2312" w:cs="Times New Roman"/>
          <w:bCs/>
          <w:kern w:val="0"/>
          <w:sz w:val="32"/>
          <w:szCs w:val="32"/>
        </w:rPr>
        <w:t>人次</w:t>
      </w:r>
      <w:r>
        <w:rPr>
          <w:rFonts w:hint="eastAsia" w:eastAsia="仿宋_GB2312" w:cs="Times New Roman"/>
          <w:bCs/>
          <w:kern w:val="0"/>
          <w:sz w:val="32"/>
          <w:szCs w:val="32"/>
          <w:lang w:eastAsia="zh-CN"/>
        </w:rPr>
        <w:t>。</w:t>
      </w:r>
    </w:p>
    <w:p>
      <w:pPr>
        <w:autoSpaceDE w:val="0"/>
        <w:autoSpaceDN w:val="0"/>
        <w:adjustRightInd w:val="0"/>
        <w:spacing w:line="560" w:lineRule="exact"/>
        <w:ind w:firstLine="640" w:firstLineChars="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val="0"/>
          <w:kern w:val="0"/>
          <w:sz w:val="32"/>
          <w:szCs w:val="32"/>
        </w:rPr>
        <w:t>八</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
          <w:bCs w:val="0"/>
          <w:kern w:val="0"/>
          <w:sz w:val="32"/>
          <w:szCs w:val="32"/>
          <w:lang w:eastAsia="zh-CN"/>
        </w:rPr>
        <w:t>201</w:t>
      </w:r>
      <w:r>
        <w:rPr>
          <w:rFonts w:hint="default" w:ascii="Times New Roman" w:hAnsi="Times New Roman" w:eastAsia="仿宋_GB2312" w:cs="Times New Roman"/>
          <w:b/>
          <w:bCs w:val="0"/>
          <w:kern w:val="0"/>
          <w:sz w:val="32"/>
          <w:szCs w:val="32"/>
          <w:lang w:val="en-US" w:eastAsia="zh-CN"/>
        </w:rPr>
        <w:t>9</w:t>
      </w:r>
      <w:r>
        <w:rPr>
          <w:rFonts w:hint="default" w:ascii="Times New Roman" w:hAnsi="Times New Roman" w:eastAsia="仿宋_GB2312" w:cs="Times New Roman"/>
          <w:b/>
          <w:bCs w:val="0"/>
          <w:kern w:val="0"/>
          <w:sz w:val="32"/>
          <w:szCs w:val="32"/>
        </w:rPr>
        <w:t xml:space="preserve">年度政府性基金预算财政拨款收入支出决算情况说明 </w:t>
      </w:r>
    </w:p>
    <w:p>
      <w:pPr>
        <w:autoSpaceDE w:val="0"/>
        <w:autoSpaceDN w:val="0"/>
        <w:adjustRightInd w:val="0"/>
        <w:spacing w:line="560" w:lineRule="exact"/>
        <w:ind w:firstLine="0" w:firstLineChars="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本部门</w:t>
      </w:r>
      <w:r>
        <w:rPr>
          <w:rFonts w:hint="default" w:ascii="Times New Roman" w:hAnsi="Times New Roman" w:eastAsia="仿宋_GB2312" w:cs="Times New Roman"/>
          <w:bCs/>
          <w:kern w:val="0"/>
          <w:sz w:val="32"/>
          <w:szCs w:val="32"/>
          <w:lang w:eastAsia="zh-CN"/>
        </w:rPr>
        <w:t>201</w:t>
      </w:r>
      <w:r>
        <w:rPr>
          <w:rFonts w:hint="default" w:ascii="Times New Roman" w:hAnsi="Times New Roman" w:eastAsia="仿宋_GB2312" w:cs="Times New Roman"/>
          <w:bCs/>
          <w:kern w:val="0"/>
          <w:sz w:val="32"/>
          <w:szCs w:val="32"/>
          <w:lang w:val="en-US" w:eastAsia="zh-CN"/>
        </w:rPr>
        <w:t>9</w:t>
      </w:r>
      <w:r>
        <w:rPr>
          <w:rFonts w:hint="default" w:ascii="Times New Roman" w:hAnsi="Times New Roman" w:eastAsia="仿宋_GB2312" w:cs="Times New Roman"/>
          <w:bCs/>
          <w:kern w:val="0"/>
          <w:sz w:val="32"/>
          <w:szCs w:val="32"/>
        </w:rPr>
        <w:t>年度政府基金预算财政拨款收、支总决算</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万元。与</w:t>
      </w:r>
      <w:r>
        <w:rPr>
          <w:rFonts w:hint="default" w:ascii="Times New Roman" w:hAnsi="Times New Roman" w:eastAsia="仿宋_GB2312" w:cs="Times New Roman"/>
          <w:bCs/>
          <w:kern w:val="0"/>
          <w:sz w:val="32"/>
          <w:szCs w:val="32"/>
          <w:lang w:eastAsia="zh-CN"/>
        </w:rPr>
        <w:t>201</w:t>
      </w:r>
      <w:r>
        <w:rPr>
          <w:rFonts w:hint="default" w:ascii="Times New Roman" w:hAnsi="Times New Roman" w:eastAsia="仿宋_GB2312" w:cs="Times New Roman"/>
          <w:bCs/>
          <w:kern w:val="0"/>
          <w:sz w:val="32"/>
          <w:szCs w:val="32"/>
          <w:lang w:val="en-US" w:eastAsia="zh-CN"/>
        </w:rPr>
        <w:t>8</w:t>
      </w:r>
      <w:r>
        <w:rPr>
          <w:rFonts w:hint="default" w:ascii="Times New Roman" w:hAnsi="Times New Roman" w:eastAsia="仿宋_GB2312" w:cs="Times New Roman"/>
          <w:bCs/>
          <w:kern w:val="0"/>
          <w:sz w:val="32"/>
          <w:szCs w:val="32"/>
        </w:rPr>
        <w:t>年相比，收、支总计各增加</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万元，增长</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w:t>
      </w:r>
    </w:p>
    <w:p>
      <w:pPr>
        <w:autoSpaceDE w:val="0"/>
        <w:autoSpaceDN w:val="0"/>
        <w:adjustRightInd w:val="0"/>
        <w:ind w:firstLine="643" w:firstLineChars="200"/>
        <w:jc w:val="left"/>
        <w:rPr>
          <w:rFonts w:hint="default" w:ascii="Times New Roman" w:hAnsi="Times New Roman" w:eastAsia="仿宋_GB2312" w:cs="Times New Roman"/>
          <w:b/>
          <w:bCs w:val="0"/>
          <w:kern w:val="0"/>
          <w:sz w:val="32"/>
          <w:szCs w:val="32"/>
        </w:rPr>
      </w:pPr>
      <w:r>
        <w:rPr>
          <w:rFonts w:hint="default" w:ascii="Times New Roman" w:hAnsi="Times New Roman" w:eastAsia="仿宋_GB2312" w:cs="Times New Roman"/>
          <w:b/>
          <w:bCs w:val="0"/>
          <w:kern w:val="0"/>
          <w:sz w:val="32"/>
          <w:szCs w:val="32"/>
          <w:lang w:eastAsia="zh-CN"/>
        </w:rPr>
        <w:t>九、</w:t>
      </w:r>
      <w:r>
        <w:rPr>
          <w:rFonts w:hint="default" w:ascii="Times New Roman" w:hAnsi="Times New Roman" w:eastAsia="仿宋_GB2312" w:cs="Times New Roman"/>
          <w:b/>
          <w:kern w:val="0"/>
          <w:sz w:val="32"/>
          <w:szCs w:val="32"/>
          <w:lang w:eastAsia="zh-CN"/>
        </w:rPr>
        <w:t>201</w:t>
      </w:r>
      <w:r>
        <w:rPr>
          <w:rFonts w:hint="default" w:ascii="Times New Roman" w:hAnsi="Times New Roman" w:eastAsia="仿宋_GB2312" w:cs="Times New Roman"/>
          <w:b/>
          <w:kern w:val="0"/>
          <w:sz w:val="32"/>
          <w:szCs w:val="32"/>
          <w:lang w:val="en-US" w:eastAsia="zh-CN"/>
        </w:rPr>
        <w:t>9</w:t>
      </w:r>
      <w:r>
        <w:rPr>
          <w:rFonts w:hint="default" w:ascii="Times New Roman" w:hAnsi="Times New Roman" w:eastAsia="仿宋_GB2312" w:cs="Times New Roman"/>
          <w:b/>
          <w:bCs w:val="0"/>
          <w:kern w:val="0"/>
          <w:sz w:val="32"/>
          <w:szCs w:val="32"/>
        </w:rPr>
        <w:t xml:space="preserve"> 年度预算绩效情况说明</w:t>
      </w:r>
    </w:p>
    <w:p>
      <w:pPr>
        <w:numPr>
          <w:ilvl w:val="0"/>
          <w:numId w:val="1"/>
        </w:numPr>
        <w:autoSpaceDE w:val="0"/>
        <w:autoSpaceDN w:val="0"/>
        <w:adjustRightInd w:val="0"/>
        <w:ind w:firstLine="640" w:firstLineChars="200"/>
        <w:jc w:val="left"/>
        <w:rPr>
          <w:rFonts w:eastAsia="仿宋_GB2312"/>
          <w:bCs/>
          <w:kern w:val="0"/>
          <w:sz w:val="32"/>
          <w:szCs w:val="32"/>
        </w:rPr>
      </w:pPr>
      <w:r>
        <w:rPr>
          <w:rFonts w:eastAsia="仿宋_GB2312"/>
          <w:bCs/>
          <w:kern w:val="0"/>
          <w:sz w:val="32"/>
          <w:szCs w:val="32"/>
        </w:rPr>
        <w:t>绩效管理工作开展情况</w:t>
      </w:r>
      <w:r>
        <w:rPr>
          <w:rFonts w:hint="eastAsia" w:eastAsia="仿宋_GB2312"/>
          <w:bCs/>
          <w:kern w:val="0"/>
          <w:sz w:val="32"/>
          <w:szCs w:val="32"/>
          <w:lang w:eastAsia="zh-CN"/>
        </w:rPr>
        <w:t>。</w:t>
      </w:r>
      <w:r>
        <w:rPr>
          <w:rFonts w:eastAsia="仿宋_GB2312"/>
          <w:bCs/>
          <w:kern w:val="0"/>
          <w:sz w:val="32"/>
          <w:szCs w:val="32"/>
        </w:rPr>
        <w:t>根据财政预算管理要求，我局组织对201</w:t>
      </w:r>
      <w:r>
        <w:rPr>
          <w:rFonts w:hint="eastAsia" w:eastAsia="仿宋_GB2312"/>
          <w:bCs/>
          <w:kern w:val="0"/>
          <w:sz w:val="32"/>
          <w:szCs w:val="32"/>
          <w:lang w:val="en-US" w:eastAsia="zh-CN"/>
        </w:rPr>
        <w:t>9</w:t>
      </w:r>
      <w:r>
        <w:rPr>
          <w:rFonts w:eastAsia="仿宋_GB2312"/>
          <w:bCs/>
          <w:kern w:val="0"/>
          <w:sz w:val="32"/>
          <w:szCs w:val="32"/>
        </w:rPr>
        <w:t>年度一般公共预算项目支出全面开展绩效自评。201</w:t>
      </w:r>
      <w:r>
        <w:rPr>
          <w:rFonts w:hint="eastAsia" w:eastAsia="仿宋_GB2312"/>
          <w:bCs/>
          <w:kern w:val="0"/>
          <w:sz w:val="32"/>
          <w:szCs w:val="32"/>
          <w:lang w:val="en-US" w:eastAsia="zh-CN"/>
        </w:rPr>
        <w:t>9</w:t>
      </w:r>
      <w:r>
        <w:rPr>
          <w:rFonts w:eastAsia="仿宋_GB2312"/>
          <w:bCs/>
          <w:kern w:val="0"/>
          <w:sz w:val="32"/>
          <w:szCs w:val="32"/>
        </w:rPr>
        <w:t>年，我局有</w:t>
      </w:r>
      <w:r>
        <w:rPr>
          <w:rFonts w:hint="eastAsia" w:eastAsia="仿宋_GB2312"/>
          <w:bCs/>
          <w:kern w:val="0"/>
          <w:sz w:val="32"/>
          <w:szCs w:val="32"/>
          <w:lang w:val="en-US" w:eastAsia="zh-CN"/>
        </w:rPr>
        <w:t>2</w:t>
      </w:r>
      <w:r>
        <w:rPr>
          <w:rFonts w:eastAsia="仿宋_GB2312"/>
          <w:bCs/>
          <w:kern w:val="0"/>
          <w:sz w:val="32"/>
          <w:szCs w:val="32"/>
        </w:rPr>
        <w:t>个预算绩效项目，分别为</w:t>
      </w:r>
      <w:r>
        <w:rPr>
          <w:rFonts w:hint="eastAsia" w:eastAsia="仿宋_GB2312"/>
          <w:bCs/>
          <w:kern w:val="0"/>
          <w:sz w:val="32"/>
          <w:szCs w:val="32"/>
          <w:lang w:eastAsia="zh-CN"/>
        </w:rPr>
        <w:t>审批服务成本性支出</w:t>
      </w:r>
      <w:r>
        <w:rPr>
          <w:rFonts w:eastAsia="仿宋_GB2312"/>
          <w:bCs/>
          <w:kern w:val="0"/>
          <w:sz w:val="32"/>
          <w:szCs w:val="32"/>
        </w:rPr>
        <w:t>、</w:t>
      </w:r>
      <w:r>
        <w:rPr>
          <w:rFonts w:hint="eastAsia" w:eastAsia="仿宋_GB2312"/>
          <w:bCs/>
          <w:kern w:val="0"/>
          <w:sz w:val="32"/>
          <w:szCs w:val="32"/>
        </w:rPr>
        <w:t>行政审批日常管理经费</w:t>
      </w:r>
      <w:r>
        <w:rPr>
          <w:rFonts w:eastAsia="仿宋_GB2312"/>
          <w:bCs/>
          <w:kern w:val="0"/>
          <w:sz w:val="32"/>
          <w:szCs w:val="32"/>
        </w:rPr>
        <w:t>，共涉及金额</w:t>
      </w:r>
      <w:r>
        <w:rPr>
          <w:rFonts w:hint="eastAsia" w:eastAsia="仿宋_GB2312"/>
          <w:bCs/>
          <w:kern w:val="0"/>
          <w:sz w:val="32"/>
          <w:szCs w:val="32"/>
          <w:lang w:val="en-US" w:eastAsia="zh-CN"/>
        </w:rPr>
        <w:t>550.31</w:t>
      </w:r>
      <w:r>
        <w:rPr>
          <w:rFonts w:eastAsia="仿宋_GB2312"/>
          <w:bCs/>
          <w:kern w:val="0"/>
          <w:sz w:val="32"/>
          <w:szCs w:val="32"/>
        </w:rPr>
        <w:t>万元，自评覆盖率达100%。</w:t>
      </w:r>
    </w:p>
    <w:p>
      <w:pPr>
        <w:autoSpaceDE w:val="0"/>
        <w:autoSpaceDN w:val="0"/>
        <w:adjustRightInd w:val="0"/>
        <w:ind w:firstLine="640" w:firstLineChars="200"/>
        <w:jc w:val="left"/>
        <w:rPr>
          <w:rFonts w:hint="default" w:ascii="Times New Roman" w:hAnsi="Times New Roman" w:eastAsia="仿宋_GB2312" w:cs="Times New Roman"/>
          <w:bCs/>
          <w:kern w:val="0"/>
          <w:sz w:val="32"/>
          <w:szCs w:val="32"/>
        </w:rPr>
      </w:pPr>
      <w:r>
        <w:rPr>
          <w:rFonts w:eastAsia="仿宋_GB2312"/>
          <w:bCs/>
          <w:kern w:val="0"/>
          <w:sz w:val="32"/>
          <w:szCs w:val="32"/>
        </w:rPr>
        <w:t>（二）部门决算中项目绩效自评结果。其中，</w:t>
      </w:r>
      <w:r>
        <w:rPr>
          <w:rFonts w:hint="eastAsia" w:eastAsia="仿宋_GB2312"/>
          <w:bCs/>
          <w:kern w:val="0"/>
          <w:sz w:val="32"/>
          <w:szCs w:val="32"/>
          <w:lang w:eastAsia="zh-CN"/>
        </w:rPr>
        <w:t>审批服务成本性支出</w:t>
      </w:r>
      <w:r>
        <w:rPr>
          <w:rFonts w:eastAsia="仿宋_GB2312"/>
          <w:bCs/>
          <w:kern w:val="0"/>
          <w:sz w:val="32"/>
          <w:szCs w:val="32"/>
        </w:rPr>
        <w:t>项目预算金额为</w:t>
      </w:r>
      <w:r>
        <w:rPr>
          <w:rFonts w:hint="eastAsia" w:eastAsia="仿宋_GB2312"/>
          <w:bCs/>
          <w:kern w:val="0"/>
          <w:sz w:val="32"/>
          <w:szCs w:val="32"/>
          <w:lang w:val="en-US" w:eastAsia="zh-CN"/>
        </w:rPr>
        <w:t>331.15</w:t>
      </w:r>
      <w:r>
        <w:rPr>
          <w:rFonts w:eastAsia="仿宋_GB2312"/>
          <w:bCs/>
          <w:kern w:val="0"/>
          <w:sz w:val="32"/>
          <w:szCs w:val="32"/>
        </w:rPr>
        <w:t>万元，全年执行数为</w:t>
      </w:r>
      <w:r>
        <w:rPr>
          <w:rFonts w:hint="eastAsia" w:eastAsia="仿宋_GB2312"/>
          <w:bCs/>
          <w:kern w:val="0"/>
          <w:sz w:val="32"/>
          <w:szCs w:val="32"/>
          <w:lang w:val="en-US" w:eastAsia="zh-CN"/>
        </w:rPr>
        <w:t>326.68</w:t>
      </w:r>
      <w:r>
        <w:rPr>
          <w:rFonts w:eastAsia="仿宋_GB2312"/>
          <w:bCs/>
          <w:kern w:val="0"/>
          <w:sz w:val="32"/>
          <w:szCs w:val="32"/>
        </w:rPr>
        <w:t>万元，执行率</w:t>
      </w:r>
      <w:r>
        <w:rPr>
          <w:rFonts w:hint="eastAsia" w:eastAsia="仿宋_GB2312"/>
          <w:bCs/>
          <w:kern w:val="0"/>
          <w:sz w:val="32"/>
          <w:szCs w:val="32"/>
          <w:lang w:val="en-US" w:eastAsia="zh-CN"/>
        </w:rPr>
        <w:t>98.65%</w:t>
      </w:r>
      <w:r>
        <w:rPr>
          <w:rFonts w:eastAsia="仿宋_GB2312"/>
          <w:bCs/>
          <w:kern w:val="0"/>
          <w:sz w:val="32"/>
          <w:szCs w:val="32"/>
        </w:rPr>
        <w:t>，自评</w:t>
      </w:r>
      <w:r>
        <w:rPr>
          <w:rFonts w:hint="eastAsia" w:eastAsia="仿宋_GB2312"/>
          <w:bCs/>
          <w:kern w:val="0"/>
          <w:sz w:val="32"/>
          <w:szCs w:val="32"/>
          <w:lang w:val="en-US" w:eastAsia="zh-CN"/>
        </w:rPr>
        <w:t>9.87</w:t>
      </w:r>
      <w:r>
        <w:rPr>
          <w:rFonts w:eastAsia="仿宋_GB2312"/>
          <w:bCs/>
          <w:kern w:val="0"/>
          <w:sz w:val="32"/>
          <w:szCs w:val="32"/>
        </w:rPr>
        <w:t>分；</w:t>
      </w:r>
      <w:r>
        <w:rPr>
          <w:rFonts w:hint="eastAsia" w:eastAsia="仿宋_GB2312"/>
          <w:bCs/>
          <w:kern w:val="0"/>
          <w:sz w:val="32"/>
          <w:szCs w:val="32"/>
        </w:rPr>
        <w:t>行政审批日常管理经费</w:t>
      </w:r>
      <w:r>
        <w:rPr>
          <w:rFonts w:eastAsia="仿宋_GB2312"/>
          <w:bCs/>
          <w:kern w:val="0"/>
          <w:sz w:val="32"/>
          <w:szCs w:val="32"/>
        </w:rPr>
        <w:t>项目预算金额为</w:t>
      </w:r>
      <w:r>
        <w:rPr>
          <w:rFonts w:hint="eastAsia" w:eastAsia="仿宋_GB2312"/>
          <w:bCs/>
          <w:kern w:val="0"/>
          <w:sz w:val="32"/>
          <w:szCs w:val="32"/>
          <w:lang w:val="en-US" w:eastAsia="zh-CN"/>
        </w:rPr>
        <w:t>219.16</w:t>
      </w:r>
      <w:r>
        <w:rPr>
          <w:rFonts w:eastAsia="仿宋_GB2312"/>
          <w:bCs/>
          <w:kern w:val="0"/>
          <w:sz w:val="32"/>
          <w:szCs w:val="32"/>
        </w:rPr>
        <w:t>万元，全年执行数为</w:t>
      </w:r>
      <w:r>
        <w:rPr>
          <w:rFonts w:hint="eastAsia" w:eastAsia="仿宋_GB2312"/>
          <w:bCs/>
          <w:kern w:val="0"/>
          <w:sz w:val="32"/>
          <w:szCs w:val="32"/>
          <w:lang w:val="en-US" w:eastAsia="zh-CN"/>
        </w:rPr>
        <w:t>216.13</w:t>
      </w:r>
      <w:r>
        <w:rPr>
          <w:rFonts w:eastAsia="仿宋_GB2312"/>
          <w:bCs/>
          <w:kern w:val="0"/>
          <w:sz w:val="32"/>
          <w:szCs w:val="32"/>
        </w:rPr>
        <w:t>万元，执行率</w:t>
      </w:r>
      <w:r>
        <w:rPr>
          <w:rFonts w:hint="eastAsia" w:eastAsia="仿宋_GB2312"/>
          <w:bCs/>
          <w:kern w:val="0"/>
          <w:sz w:val="32"/>
          <w:szCs w:val="32"/>
          <w:lang w:val="en-US" w:eastAsia="zh-CN"/>
        </w:rPr>
        <w:t>98.62%</w:t>
      </w:r>
      <w:r>
        <w:rPr>
          <w:rFonts w:eastAsia="仿宋_GB2312"/>
          <w:bCs/>
          <w:kern w:val="0"/>
          <w:sz w:val="32"/>
          <w:szCs w:val="32"/>
        </w:rPr>
        <w:t>，自评</w:t>
      </w:r>
      <w:r>
        <w:rPr>
          <w:rFonts w:hint="eastAsia" w:eastAsia="仿宋_GB2312"/>
          <w:bCs/>
          <w:kern w:val="0"/>
          <w:sz w:val="32"/>
          <w:szCs w:val="32"/>
          <w:lang w:val="en-US" w:eastAsia="zh-CN"/>
        </w:rPr>
        <w:t>9.86</w:t>
      </w:r>
      <w:r>
        <w:rPr>
          <w:rFonts w:eastAsia="仿宋_GB2312"/>
          <w:bCs/>
          <w:kern w:val="0"/>
          <w:sz w:val="32"/>
          <w:szCs w:val="32"/>
        </w:rPr>
        <w:t>分</w:t>
      </w:r>
      <w:r>
        <w:rPr>
          <w:rFonts w:hint="eastAsia" w:eastAsia="仿宋_GB2312"/>
          <w:bCs/>
          <w:kern w:val="0"/>
          <w:sz w:val="32"/>
          <w:szCs w:val="32"/>
          <w:lang w:val="en-US" w:eastAsia="zh-CN"/>
        </w:rPr>
        <w:t>。</w:t>
      </w:r>
    </w:p>
    <w:p>
      <w:pPr>
        <w:autoSpaceDE w:val="0"/>
        <w:autoSpaceDN w:val="0"/>
        <w:adjustRightInd w:val="0"/>
        <w:ind w:firstLine="643" w:firstLineChars="200"/>
        <w:jc w:val="left"/>
        <w:rPr>
          <w:rFonts w:hint="default" w:ascii="Times New Roman" w:hAnsi="Times New Roman" w:eastAsia="仿宋_GB2312" w:cs="Times New Roman"/>
          <w:b/>
          <w:bCs w:val="0"/>
          <w:kern w:val="0"/>
          <w:sz w:val="32"/>
          <w:szCs w:val="32"/>
          <w:lang w:eastAsia="zh-CN"/>
        </w:rPr>
      </w:pPr>
      <w:r>
        <w:rPr>
          <w:rFonts w:hint="default" w:ascii="Times New Roman" w:hAnsi="Times New Roman" w:eastAsia="仿宋_GB2312" w:cs="Times New Roman"/>
          <w:b/>
          <w:bCs w:val="0"/>
          <w:kern w:val="0"/>
          <w:sz w:val="32"/>
          <w:szCs w:val="32"/>
          <w:lang w:eastAsia="zh-CN"/>
        </w:rPr>
        <w:t>十、</w:t>
      </w:r>
      <w:r>
        <w:rPr>
          <w:rFonts w:hint="default" w:ascii="Times New Roman" w:hAnsi="Times New Roman" w:eastAsia="仿宋_GB2312" w:cs="Times New Roman"/>
          <w:b/>
          <w:bCs w:val="0"/>
          <w:kern w:val="0"/>
          <w:sz w:val="32"/>
          <w:szCs w:val="32"/>
        </w:rPr>
        <w:t>其他重要事项的情况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（一）机关运行经费支出情况。</w:t>
      </w:r>
      <w:r>
        <w:rPr>
          <w:rFonts w:hint="default" w:ascii="Times New Roman" w:hAnsi="Times New Roman" w:eastAsia="仿宋_GB2312" w:cs="Times New Roman"/>
          <w:kern w:val="0"/>
          <w:sz w:val="32"/>
          <w:szCs w:val="32"/>
          <w:lang w:eastAsia="zh-CN"/>
        </w:rPr>
        <w:t>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年度部门机关运行经费支出</w:t>
      </w:r>
      <w:r>
        <w:rPr>
          <w:rFonts w:hint="eastAsia" w:eastAsia="仿宋_GB2312" w:cs="Times New Roman"/>
          <w:kern w:val="0"/>
          <w:sz w:val="32"/>
          <w:szCs w:val="32"/>
          <w:lang w:val="en-US" w:eastAsia="zh-CN"/>
        </w:rPr>
        <w:t>190.21</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比</w:t>
      </w:r>
      <w:r>
        <w:rPr>
          <w:rFonts w:hint="default" w:ascii="Times New Roman" w:hAnsi="Times New Roman" w:eastAsia="仿宋_GB2312" w:cs="Times New Roman"/>
          <w:kern w:val="0"/>
          <w:sz w:val="32"/>
          <w:szCs w:val="32"/>
          <w:lang w:eastAsia="zh-CN"/>
        </w:rPr>
        <w:t>201</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年增加</w:t>
      </w:r>
      <w:r>
        <w:rPr>
          <w:rFonts w:hint="eastAsia" w:eastAsia="仿宋_GB2312" w:cs="Times New Roman"/>
          <w:kern w:val="0"/>
          <w:sz w:val="32"/>
          <w:szCs w:val="32"/>
          <w:lang w:val="en-US" w:eastAsia="zh-CN"/>
        </w:rPr>
        <w:t>21.60</w:t>
      </w:r>
      <w:r>
        <w:rPr>
          <w:rFonts w:hint="default" w:ascii="Times New Roman" w:hAnsi="Times New Roman" w:eastAsia="仿宋_GB2312" w:cs="Times New Roman"/>
          <w:kern w:val="0"/>
          <w:sz w:val="32"/>
          <w:szCs w:val="32"/>
        </w:rPr>
        <w:t>万元，增长</w:t>
      </w:r>
      <w:r>
        <w:rPr>
          <w:rFonts w:hint="eastAsia" w:eastAsia="仿宋_GB2312" w:cs="Times New Roman"/>
          <w:kern w:val="0"/>
          <w:sz w:val="32"/>
          <w:szCs w:val="32"/>
          <w:lang w:val="en-US" w:eastAsia="zh-CN"/>
        </w:rPr>
        <w:t>12.81</w:t>
      </w:r>
      <w:r>
        <w:rPr>
          <w:rFonts w:hint="default" w:ascii="Times New Roman" w:hAnsi="Times New Roman" w:eastAsia="仿宋_GB2312" w:cs="Times New Roman"/>
          <w:kern w:val="0"/>
          <w:sz w:val="32"/>
          <w:szCs w:val="32"/>
        </w:rPr>
        <w:t>%，增</w:t>
      </w:r>
      <w:r>
        <w:rPr>
          <w:rFonts w:hint="eastAsia" w:eastAsia="仿宋_GB2312" w:cs="Times New Roman"/>
          <w:kern w:val="0"/>
          <w:sz w:val="32"/>
          <w:szCs w:val="32"/>
          <w:lang w:eastAsia="zh-CN"/>
        </w:rPr>
        <w:t>加</w:t>
      </w:r>
      <w:r>
        <w:rPr>
          <w:rFonts w:hint="default" w:ascii="Times New Roman" w:hAnsi="Times New Roman" w:eastAsia="仿宋_GB2312" w:cs="Times New Roman"/>
          <w:kern w:val="0"/>
          <w:sz w:val="32"/>
          <w:szCs w:val="32"/>
        </w:rPr>
        <w:t>原因</w:t>
      </w:r>
      <w:r>
        <w:rPr>
          <w:rFonts w:hint="eastAsia" w:eastAsia="仿宋_GB2312" w:cs="Times New Roman"/>
          <w:kern w:val="0"/>
          <w:sz w:val="32"/>
          <w:szCs w:val="32"/>
          <w:lang w:eastAsia="zh-CN"/>
        </w:rPr>
        <w:t>一是人员增多导致相关运行经费也随之增加；二是驻村扶贫的人员增加，相关费用增加；三是外出工作及学习考察次数增加，差旅费用增加</w:t>
      </w:r>
      <w:r>
        <w:rPr>
          <w:rFonts w:hint="default" w:ascii="Times New Roman" w:hAnsi="Times New Roman" w:eastAsia="仿宋_GB2312" w:cs="Times New Roman"/>
          <w:kern w:val="0"/>
          <w:sz w:val="32"/>
          <w:szCs w:val="32"/>
        </w:rPr>
        <w:t>。</w:t>
      </w:r>
    </w:p>
    <w:p>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（二）政府采购支出情况</w:t>
      </w:r>
      <w:r>
        <w:rPr>
          <w:rFonts w:hint="default" w:ascii="Times New Roman" w:hAnsi="Times New Roman" w:eastAsia="仿宋_GB2312" w:cs="Times New Roman"/>
          <w:kern w:val="0"/>
          <w:sz w:val="32"/>
          <w:szCs w:val="32"/>
          <w:lang w:eastAsia="zh-CN"/>
        </w:rPr>
        <w:t>。201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年度部门政府采购支出总额</w:t>
      </w:r>
      <w:r>
        <w:rPr>
          <w:rFonts w:hint="eastAsia" w:eastAsia="仿宋_GB2312" w:cs="Times New Roman"/>
          <w:kern w:val="0"/>
          <w:sz w:val="32"/>
          <w:szCs w:val="32"/>
          <w:lang w:val="en-US" w:eastAsia="zh-CN"/>
        </w:rPr>
        <w:t>773.39</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其中：货物支出</w:t>
      </w:r>
      <w:r>
        <w:rPr>
          <w:rFonts w:hint="eastAsia" w:eastAsia="仿宋_GB2312" w:cs="Times New Roman"/>
          <w:kern w:val="0"/>
          <w:sz w:val="32"/>
          <w:szCs w:val="32"/>
          <w:lang w:val="en-US" w:eastAsia="zh-CN"/>
        </w:rPr>
        <w:t>321.29</w:t>
      </w:r>
      <w:r>
        <w:rPr>
          <w:rFonts w:hint="default" w:ascii="Times New Roman" w:hAnsi="Times New Roman" w:eastAsia="仿宋_GB2312" w:cs="Times New Roman"/>
          <w:kern w:val="0"/>
          <w:sz w:val="32"/>
          <w:szCs w:val="32"/>
        </w:rPr>
        <w:t>万元、工程支出</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万元、服务支出</w:t>
      </w:r>
      <w:r>
        <w:rPr>
          <w:rFonts w:hint="eastAsia" w:eastAsia="仿宋_GB2312" w:cs="Times New Roman"/>
          <w:kern w:val="0"/>
          <w:sz w:val="32"/>
          <w:szCs w:val="32"/>
          <w:lang w:val="en-US" w:eastAsia="zh-CN"/>
        </w:rPr>
        <w:t>452.10</w:t>
      </w:r>
      <w:r>
        <w:rPr>
          <w:rFonts w:hint="default" w:ascii="Times New Roman" w:hAnsi="Times New Roman" w:eastAsia="仿宋_GB2312" w:cs="Times New Roman"/>
          <w:kern w:val="0"/>
          <w:sz w:val="32"/>
          <w:szCs w:val="32"/>
        </w:rPr>
        <w:t>万元。</w:t>
      </w:r>
    </w:p>
    <w:p>
      <w:pPr>
        <w:autoSpaceDE w:val="0"/>
        <w:autoSpaceDN w:val="0"/>
        <w:adjustRightInd w:val="0"/>
        <w:spacing w:line="56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（三）国有资产占用情况。截至年末部门共有车辆</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辆，其中</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公务用车</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执法执勤用车</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辆；专业技术用</w:t>
      </w:r>
      <w:r>
        <w:rPr>
          <w:rFonts w:hint="default" w:ascii="Times New Roman" w:hAnsi="Times New Roman" w:eastAsia="仿宋_GB2312" w:cs="Times New Roman"/>
          <w:kern w:val="0"/>
          <w:sz w:val="32"/>
          <w:szCs w:val="32"/>
          <w:lang w:eastAsia="zh-CN"/>
        </w:rPr>
        <w:t>车</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辆；单价50万元以上通用设备</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单价100万元以上专用设备</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台</w:t>
      </w:r>
      <w:r>
        <w:rPr>
          <w:rFonts w:hint="default" w:ascii="Times New Roman" w:hAnsi="Times New Roman" w:eastAsia="仿宋_GB2312" w:cs="Times New Roman"/>
          <w:kern w:val="0"/>
          <w:sz w:val="32"/>
          <w:szCs w:val="32"/>
        </w:rPr>
        <w:t xml:space="preserve">（套）。 </w:t>
      </w:r>
    </w:p>
    <w:p>
      <w:pPr>
        <w:ind w:firstLine="645"/>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eastAsia="zh-CN"/>
        </w:rPr>
        <w:t>四</w:t>
      </w:r>
      <w:r>
        <w:rPr>
          <w:rFonts w:hint="default" w:ascii="Times New Roman" w:hAnsi="Times New Roman" w:eastAsia="仿宋_GB2312" w:cs="Times New Roman"/>
          <w:b/>
          <w:sz w:val="32"/>
          <w:szCs w:val="32"/>
        </w:rPr>
        <w:t>部分：</w:t>
      </w:r>
      <w:r>
        <w:rPr>
          <w:rFonts w:hint="default" w:ascii="Times New Roman" w:hAnsi="Times New Roman" w:eastAsia="仿宋_GB2312" w:cs="Times New Roman"/>
          <w:b/>
          <w:sz w:val="32"/>
          <w:szCs w:val="32"/>
          <w:lang w:eastAsia="zh-CN"/>
        </w:rPr>
        <w:t>名词解释</w:t>
      </w:r>
    </w:p>
    <w:p>
      <w:pPr>
        <w:numPr>
          <w:ilvl w:val="0"/>
          <w:numId w:val="2"/>
        </w:numPr>
        <w:ind w:firstLine="645"/>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财政拨款收入：指市本级财政当年拨付的资金。</w:t>
      </w:r>
    </w:p>
    <w:p>
      <w:pPr>
        <w:numPr>
          <w:ilvl w:val="0"/>
          <w:numId w:val="2"/>
        </w:numPr>
        <w:ind w:firstLine="645"/>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事业收入：指事业单位开展专业活动用辅助活动所取得的收入。</w:t>
      </w:r>
    </w:p>
    <w:p>
      <w:pPr>
        <w:numPr>
          <w:ilvl w:val="0"/>
          <w:numId w:val="2"/>
        </w:numPr>
        <w:ind w:firstLine="645"/>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经营收入：指事业单位在专业业务活动及辅助活动之外开展非独立核算经营活动取得的收入。</w:t>
      </w:r>
    </w:p>
    <w:p>
      <w:pPr>
        <w:numPr>
          <w:ilvl w:val="0"/>
          <w:numId w:val="2"/>
        </w:numPr>
        <w:ind w:firstLine="645"/>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其他收入：指除上述“财政拨款收入”、“事业收入”、“经营收入”等以外的收入。</w:t>
      </w:r>
    </w:p>
    <w:p>
      <w:pPr>
        <w:numPr>
          <w:ilvl w:val="0"/>
          <w:numId w:val="2"/>
        </w:numPr>
        <w:ind w:firstLine="645"/>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ind w:firstLine="645"/>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年初结转和结余：指以前年度尚未完成、结转到本年按规定继续使用的资金。</w:t>
      </w:r>
    </w:p>
    <w:p>
      <w:pPr>
        <w:numPr>
          <w:ilvl w:val="0"/>
          <w:numId w:val="2"/>
        </w:numPr>
        <w:ind w:firstLine="645"/>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结余分配：指事业单位按规定提取的职工福利基金、事业基金和缴纳的所得税，以及建设单位按规定应交回的基本建设竣工项目结余资金。</w:t>
      </w:r>
    </w:p>
    <w:p>
      <w:pPr>
        <w:numPr>
          <w:ilvl w:val="0"/>
          <w:numId w:val="2"/>
        </w:numPr>
        <w:ind w:firstLine="645"/>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年末结转和结余：指本年度或以前年度预算安排、因客观条件发生变化无法按原计划实施，需延迟到以后年度按有关规定继续使用的资金。</w:t>
      </w:r>
    </w:p>
    <w:p>
      <w:pPr>
        <w:numPr>
          <w:ilvl w:val="0"/>
          <w:numId w:val="2"/>
        </w:numPr>
        <w:ind w:firstLine="645"/>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基本支出：指为保障机构正常运转、完成日常工作任务而发生的人员支出和公用支出。</w:t>
      </w:r>
    </w:p>
    <w:p>
      <w:pPr>
        <w:numPr>
          <w:ilvl w:val="0"/>
          <w:numId w:val="2"/>
        </w:numPr>
        <w:ind w:firstLine="645"/>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项目支出：指在基本支出之外为完成特定行政任务和事业发展目标所发生的支出。</w:t>
      </w:r>
    </w:p>
    <w:p>
      <w:pPr>
        <w:numPr>
          <w:ilvl w:val="0"/>
          <w:numId w:val="2"/>
        </w:numPr>
        <w:ind w:firstLine="645"/>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经营支出：指事业单位在专业业务活动及其辅助活动之外开展非独立核算经营活动发生的支出。</w:t>
      </w:r>
    </w:p>
    <w:p>
      <w:pPr>
        <w:numPr>
          <w:ilvl w:val="0"/>
          <w:numId w:val="2"/>
        </w:numPr>
        <w:ind w:firstLine="645"/>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ind w:firstLine="645"/>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hint="default" w:ascii="Times New Roman" w:hAnsi="Times New Roman" w:eastAsia="仿宋_GB2312" w:cs="Times New Roman"/>
          <w:kern w:val="0"/>
          <w:sz w:val="32"/>
          <w:szCs w:val="32"/>
        </w:rPr>
      </w:pPr>
    </w:p>
    <w:p>
      <w:pPr>
        <w:rPr>
          <w:rFonts w:hint="default" w:ascii="Times New Roman" w:hAnsi="Times New Roman" w:cs="Times New Roman"/>
        </w:rPr>
      </w:pPr>
    </w:p>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FC2DA4-5361-4287-B4D4-B38FF4D608D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75DBEA0B-580F-43C1-B5C5-62C682BDF396}"/>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EA96B2C4-0C44-4032-B6D7-7D416094789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- 16 -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- 16 -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OGE0YTE5NWJjM2Y5N2I3MDYxMmIwNzljZTk5ZDIifQ=="/>
  </w:docVars>
  <w:rsids>
    <w:rsidRoot w:val="4C256E3D"/>
    <w:rsid w:val="183972D9"/>
    <w:rsid w:val="1CFC222A"/>
    <w:rsid w:val="22623B0F"/>
    <w:rsid w:val="26460DBA"/>
    <w:rsid w:val="28D04CC0"/>
    <w:rsid w:val="2A526887"/>
    <w:rsid w:val="2C18713E"/>
    <w:rsid w:val="2C4219FE"/>
    <w:rsid w:val="35862CFF"/>
    <w:rsid w:val="39A63F06"/>
    <w:rsid w:val="3ED1439F"/>
    <w:rsid w:val="4C256E3D"/>
    <w:rsid w:val="4CB52F0F"/>
    <w:rsid w:val="532F1F9A"/>
    <w:rsid w:val="54652E78"/>
    <w:rsid w:val="56B23EDD"/>
    <w:rsid w:val="62163194"/>
    <w:rsid w:val="63037D5C"/>
    <w:rsid w:val="6AAA2AFA"/>
    <w:rsid w:val="71676ACD"/>
    <w:rsid w:val="77993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ascii="宋体" w:hAnsi="宋体"/>
      <w:b/>
      <w:kern w:val="0"/>
      <w:sz w:val="27"/>
      <w:szCs w:val="27"/>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dcterms:modified xsi:type="dcterms:W3CDTF">2023-11-22T09:12:00Z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60C0E98BCA1A4002A6A0A281E5822175_12</vt:lpwstr>
  </property>
</Properties>
</file>