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交通运输局</w:t>
      </w:r>
    </w:p>
    <w:p>
      <w:pPr>
        <w:jc w:val="center"/>
        <w:rPr>
          <w:rFonts w:ascii="黑体" w:eastAsia="黑体" w:cs="ArialUnicodeMS"/>
          <w:kern w:val="0"/>
          <w:sz w:val="52"/>
          <w:szCs w:val="52"/>
        </w:rPr>
      </w:pPr>
      <w:r>
        <w:rPr>
          <w:rFonts w:hint="eastAsia" w:ascii="黑体" w:eastAsia="黑体"/>
          <w:kern w:val="0"/>
          <w:sz w:val="52"/>
          <w:szCs w:val="52"/>
        </w:rPr>
        <w:t>2019</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柳州市交通运输局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柳州市交通运输局</w:t>
      </w:r>
      <w:r>
        <w:rPr>
          <w:rFonts w:hint="eastAsia" w:ascii="仿宋_GB2312" w:eastAsia="仿宋_GB2312"/>
          <w:b/>
          <w:sz w:val="32"/>
          <w:szCs w:val="32"/>
        </w:rPr>
        <w:t>2019年部门决算报表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柳州市交通运输局</w:t>
      </w:r>
      <w:r>
        <w:rPr>
          <w:rFonts w:hint="eastAsia" w:ascii="仿宋_GB2312" w:eastAsia="仿宋_GB2312"/>
          <w:b/>
          <w:sz w:val="32"/>
          <w:szCs w:val="32"/>
        </w:rPr>
        <w:t>2019年度部门决算情况说明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2019</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2019</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2019</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2019</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2019</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2019</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2019</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2019</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eastAsia="仿宋_GB2312"/>
          <w:kern w:val="0"/>
          <w:sz w:val="32"/>
          <w:szCs w:val="32"/>
        </w:rPr>
        <w:t>2019</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5"/>
        <w:rPr>
          <w:rFonts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柳州市交通运输局</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widowControl/>
        <w:shd w:val="clear" w:color="auto" w:fill="FFFFFF"/>
        <w:wordWrap w:val="0"/>
        <w:ind w:firstLine="640" w:firstLineChars="200"/>
        <w:jc w:val="left"/>
        <w:rPr>
          <w:rFonts w:ascii="微软雅黑" w:hAnsi="微软雅黑" w:eastAsia="微软雅黑" w:cs="宋体"/>
          <w:color w:val="333333"/>
          <w:kern w:val="0"/>
          <w:szCs w:val="21"/>
        </w:rPr>
      </w:pPr>
      <w:r>
        <w:rPr>
          <w:rFonts w:hint="eastAsia" w:ascii="仿宋_GB2312" w:hAnsi="微软雅黑" w:eastAsia="仿宋_GB2312" w:cs="宋体"/>
          <w:color w:val="000000"/>
          <w:kern w:val="0"/>
          <w:sz w:val="32"/>
          <w:szCs w:val="32"/>
        </w:rPr>
        <w:t>1、承担涉及全市综合运输体系的规划协调工作，会同有关部门组织编制综合运输体系规划，指导交通运输枢纽规划和管理。</w:t>
      </w:r>
    </w:p>
    <w:p>
      <w:pPr>
        <w:widowControl/>
        <w:shd w:val="clear" w:color="auto" w:fill="FFFFFF"/>
        <w:wordWrap w:val="0"/>
        <w:ind w:firstLine="640" w:firstLineChars="200"/>
        <w:jc w:val="left"/>
        <w:rPr>
          <w:rFonts w:ascii="微软雅黑" w:hAnsi="微软雅黑" w:eastAsia="微软雅黑" w:cs="宋体"/>
          <w:color w:val="333333"/>
          <w:kern w:val="0"/>
          <w:szCs w:val="21"/>
        </w:rPr>
      </w:pPr>
      <w:r>
        <w:rPr>
          <w:rFonts w:hint="eastAsia" w:ascii="仿宋_GB2312" w:hAnsi="微软雅黑" w:eastAsia="仿宋_GB2312" w:cs="宋体"/>
          <w:color w:val="000000"/>
          <w:kern w:val="0"/>
          <w:sz w:val="32"/>
          <w:szCs w:val="32"/>
        </w:rPr>
        <w:t>2、贯彻执行国家、自治区有关交通运输的方针政策和法律法规，行业规划和标准。组织拟订并监督实施全市公路、水路及城市公共交通等行业规划、政策和标准。组织起草全市交通运输工作的规范性文件。参与拟订物流业发展规划并监督实施。指导公路、水路运输行业有关体制改革工作。</w:t>
      </w:r>
    </w:p>
    <w:p>
      <w:pPr>
        <w:widowControl/>
        <w:shd w:val="clear" w:color="auto" w:fill="FFFFFF"/>
        <w:wordWrap w:val="0"/>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承担全市道路运输、水路运输、港口（不含乡镇渡口、渡船，下同），航道、城市公共交通等行业监管责任。指导并监督实施道路、水路运输、港口、航道、城市公共交通（含出租车）行业有关政策、准入制度、技术标准和运营规范。指导城乡客运及有关设施规划和管理工作。指导所属县公共交通行业管理工作。</w:t>
      </w:r>
    </w:p>
    <w:p>
      <w:pPr>
        <w:widowControl/>
        <w:shd w:val="clear" w:color="auto" w:fill="FFFFFF"/>
        <w:wordWrap w:val="0"/>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负责提出全市公路、水路、港口、航道及城市公共交通固定资产投资规模和方向，提出财政性资金安排意见、建议，并监督实施。按规定权限审批、核准规划内和年度计划规模内固定资产投资项目。负责上级拨款的公路建设资金的监督和管理；提出有关财政、土地、价格等政策建议。</w:t>
      </w:r>
    </w:p>
    <w:p>
      <w:pPr>
        <w:widowControl/>
        <w:shd w:val="clear" w:color="auto" w:fill="FFFFFF"/>
        <w:wordWrap w:val="0"/>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5、承担全市公路、水路建设市场监管责任。拟订全市公路、水路工程建设相关政策、制度并监督实施。组织协调公路、水路交通基础设施建设的工程质量、安全生产监督管理工作。指导公路、水路基础设施管理和维护。依法负责港口规划和港口岸线使用管理工作。监督管理公路、水路建设项目招投标活动。</w:t>
      </w:r>
    </w:p>
    <w:p>
      <w:pPr>
        <w:widowControl/>
        <w:shd w:val="clear" w:color="auto" w:fill="FFFFFF"/>
        <w:wordWrap w:val="0"/>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6、指导监督全市公路、水路、港口及公共交通行业安全生产和应急管理工作，监督检查港口设施的保安工作；组织协调全市重点物资运输和紧急客货运输；承担国防动员有关工作。</w:t>
      </w:r>
    </w:p>
    <w:p>
      <w:pPr>
        <w:widowControl/>
        <w:shd w:val="clear" w:color="auto" w:fill="FFFFFF"/>
        <w:wordWrap w:val="0"/>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7、指导全市交通运输信息化建设，监测分析运行情况，开展相关统计工作，发布有关信息。指导公路、水路、港口及公共交通行业环境保护、科技开发、工程造价和节能减排工作。指导行业教育、培训和精神文明工作；牵头负责交通运输行业综合治理及维护稳定工作。</w:t>
      </w:r>
    </w:p>
    <w:p>
      <w:pPr>
        <w:widowControl/>
        <w:shd w:val="clear" w:color="auto" w:fill="FFFFFF"/>
        <w:wordWrap w:val="0"/>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8、依法管理全市公路，道路运输、水路运输，港口、航道和城市公共交通行政执法工作。</w:t>
      </w:r>
    </w:p>
    <w:p>
      <w:pPr>
        <w:widowControl/>
        <w:shd w:val="clear" w:color="auto" w:fill="FFFFFF"/>
        <w:wordWrap w:val="0"/>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9、管理局机关国有资产，监督指导直属单位的国有资产管理工作。组织实施交通运输行业内部审计工作。</w:t>
      </w:r>
    </w:p>
    <w:p>
      <w:pPr>
        <w:widowControl/>
        <w:shd w:val="clear" w:color="auto" w:fill="FFFFFF"/>
        <w:wordWrap w:val="0"/>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10、指导协调公路、水路运输行业对外合作与交流。</w:t>
      </w:r>
    </w:p>
    <w:p>
      <w:pPr>
        <w:widowControl/>
        <w:shd w:val="clear" w:color="auto" w:fill="FFFFFF"/>
        <w:wordWrap w:val="0"/>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11、承办市人民政府交办的其他事项。</w:t>
      </w:r>
    </w:p>
    <w:p>
      <w:pPr>
        <w:ind w:firstLine="646"/>
        <w:rPr>
          <w:rFonts w:ascii="仿宋_GB2312" w:eastAsia="仿宋_GB2312"/>
          <w:sz w:val="32"/>
          <w:szCs w:val="32"/>
        </w:rPr>
      </w:pPr>
      <w:r>
        <w:rPr>
          <w:rFonts w:hint="eastAsia" w:ascii="仿宋_GB2312" w:eastAsia="仿宋_GB2312"/>
          <w:sz w:val="32"/>
          <w:szCs w:val="32"/>
        </w:rPr>
        <w:t>二、部门决算单位构成</w:t>
      </w:r>
    </w:p>
    <w:p>
      <w:pPr>
        <w:rPr>
          <w:rFonts w:ascii="仿宋_GB2312" w:eastAsia="仿宋_GB2312"/>
          <w:sz w:val="32"/>
          <w:szCs w:val="32"/>
        </w:rPr>
      </w:pPr>
      <w:r>
        <w:rPr>
          <w:rFonts w:hint="eastAsia" w:ascii="仿宋_GB2312" w:eastAsia="仿宋_GB2312"/>
          <w:sz w:val="32"/>
          <w:szCs w:val="32"/>
        </w:rPr>
        <w:t xml:space="preserve">   </w:t>
      </w:r>
    </w:p>
    <w:tbl>
      <w:tblPr>
        <w:tblStyle w:val="4"/>
        <w:tblW w:w="8140" w:type="dxa"/>
        <w:tblInd w:w="307" w:type="dxa"/>
        <w:tblLayout w:type="autofit"/>
        <w:tblCellMar>
          <w:top w:w="0" w:type="dxa"/>
          <w:left w:w="108" w:type="dxa"/>
          <w:bottom w:w="0" w:type="dxa"/>
          <w:right w:w="108" w:type="dxa"/>
        </w:tblCellMar>
      </w:tblPr>
      <w:tblGrid>
        <w:gridCol w:w="1800"/>
        <w:gridCol w:w="1420"/>
        <w:gridCol w:w="1420"/>
        <w:gridCol w:w="1340"/>
        <w:gridCol w:w="1080"/>
        <w:gridCol w:w="1080"/>
      </w:tblGrid>
      <w:tr>
        <w:tblPrEx>
          <w:tblCellMar>
            <w:top w:w="0" w:type="dxa"/>
            <w:left w:w="108" w:type="dxa"/>
            <w:bottom w:w="0" w:type="dxa"/>
            <w:right w:w="108" w:type="dxa"/>
          </w:tblCellMar>
        </w:tblPrEx>
        <w:trPr>
          <w:trHeight w:val="624" w:hRule="atLeast"/>
        </w:trPr>
        <w:tc>
          <w:tcPr>
            <w:tcW w:w="18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单位名称</w:t>
            </w:r>
          </w:p>
        </w:tc>
        <w:tc>
          <w:tcPr>
            <w:tcW w:w="142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单位性质</w:t>
            </w:r>
          </w:p>
        </w:tc>
        <w:tc>
          <w:tcPr>
            <w:tcW w:w="142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编制人数</w:t>
            </w:r>
          </w:p>
        </w:tc>
        <w:tc>
          <w:tcPr>
            <w:tcW w:w="134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实有在职人数</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离休人数</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退休人数</w:t>
            </w:r>
          </w:p>
        </w:tc>
      </w:tr>
      <w:tr>
        <w:tblPrEx>
          <w:tblCellMar>
            <w:top w:w="0" w:type="dxa"/>
            <w:left w:w="108" w:type="dxa"/>
            <w:bottom w:w="0" w:type="dxa"/>
            <w:right w:w="108" w:type="dxa"/>
          </w:tblCellMar>
        </w:tblPrEx>
        <w:trPr>
          <w:trHeight w:val="624" w:hRule="atLeast"/>
        </w:trPr>
        <w:tc>
          <w:tcPr>
            <w:tcW w:w="18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8"/>
                <w:szCs w:val="28"/>
              </w:rPr>
            </w:pPr>
          </w:p>
        </w:tc>
        <w:tc>
          <w:tcPr>
            <w:tcW w:w="142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8"/>
                <w:szCs w:val="28"/>
              </w:rPr>
            </w:pPr>
          </w:p>
        </w:tc>
        <w:tc>
          <w:tcPr>
            <w:tcW w:w="142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8"/>
                <w:szCs w:val="28"/>
              </w:rPr>
            </w:pPr>
          </w:p>
        </w:tc>
        <w:tc>
          <w:tcPr>
            <w:tcW w:w="134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8"/>
                <w:szCs w:val="28"/>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8"/>
                <w:szCs w:val="28"/>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624" w:hRule="atLeast"/>
        </w:trPr>
        <w:tc>
          <w:tcPr>
            <w:tcW w:w="18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8"/>
                <w:szCs w:val="28"/>
              </w:rPr>
            </w:pPr>
          </w:p>
        </w:tc>
        <w:tc>
          <w:tcPr>
            <w:tcW w:w="142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8"/>
                <w:szCs w:val="28"/>
              </w:rPr>
            </w:pPr>
          </w:p>
        </w:tc>
        <w:tc>
          <w:tcPr>
            <w:tcW w:w="142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8"/>
                <w:szCs w:val="28"/>
              </w:rPr>
            </w:pPr>
          </w:p>
        </w:tc>
        <w:tc>
          <w:tcPr>
            <w:tcW w:w="134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8"/>
                <w:szCs w:val="28"/>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8"/>
                <w:szCs w:val="28"/>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585" w:hRule="atLeast"/>
        </w:trPr>
        <w:tc>
          <w:tcPr>
            <w:tcW w:w="1800"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柳州市交通运输局</w:t>
            </w:r>
          </w:p>
        </w:tc>
        <w:tc>
          <w:tcPr>
            <w:tcW w:w="142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行政机关</w:t>
            </w:r>
          </w:p>
        </w:tc>
        <w:tc>
          <w:tcPr>
            <w:tcW w:w="142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30</w:t>
            </w:r>
          </w:p>
        </w:tc>
        <w:tc>
          <w:tcPr>
            <w:tcW w:w="134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30</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31</w:t>
            </w:r>
          </w:p>
        </w:tc>
      </w:tr>
      <w:tr>
        <w:tblPrEx>
          <w:tblCellMar>
            <w:top w:w="0" w:type="dxa"/>
            <w:left w:w="108" w:type="dxa"/>
            <w:bottom w:w="0" w:type="dxa"/>
            <w:right w:w="108" w:type="dxa"/>
          </w:tblCellMar>
        </w:tblPrEx>
        <w:trPr>
          <w:trHeight w:val="870" w:hRule="atLeast"/>
        </w:trPr>
        <w:tc>
          <w:tcPr>
            <w:tcW w:w="1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柳州市公路发展中心</w:t>
            </w:r>
          </w:p>
        </w:tc>
        <w:tc>
          <w:tcPr>
            <w:tcW w:w="142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公益一类</w:t>
            </w:r>
          </w:p>
        </w:tc>
        <w:tc>
          <w:tcPr>
            <w:tcW w:w="142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21</w:t>
            </w:r>
          </w:p>
        </w:tc>
        <w:tc>
          <w:tcPr>
            <w:tcW w:w="134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21</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w:t>
            </w:r>
          </w:p>
        </w:tc>
      </w:tr>
      <w:tr>
        <w:tblPrEx>
          <w:tblCellMar>
            <w:top w:w="0" w:type="dxa"/>
            <w:left w:w="108" w:type="dxa"/>
            <w:bottom w:w="0" w:type="dxa"/>
            <w:right w:w="108" w:type="dxa"/>
          </w:tblCellMar>
        </w:tblPrEx>
        <w:trPr>
          <w:trHeight w:val="870" w:hRule="atLeast"/>
        </w:trPr>
        <w:tc>
          <w:tcPr>
            <w:tcW w:w="1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柳州市港航发展中心</w:t>
            </w:r>
          </w:p>
        </w:tc>
        <w:tc>
          <w:tcPr>
            <w:tcW w:w="142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公益一类</w:t>
            </w:r>
          </w:p>
        </w:tc>
        <w:tc>
          <w:tcPr>
            <w:tcW w:w="142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16</w:t>
            </w:r>
          </w:p>
        </w:tc>
        <w:tc>
          <w:tcPr>
            <w:tcW w:w="134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16</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r>
      <w:tr>
        <w:tblPrEx>
          <w:tblCellMar>
            <w:top w:w="0" w:type="dxa"/>
            <w:left w:w="108" w:type="dxa"/>
            <w:bottom w:w="0" w:type="dxa"/>
            <w:right w:w="108" w:type="dxa"/>
          </w:tblCellMar>
        </w:tblPrEx>
        <w:trPr>
          <w:trHeight w:val="870" w:hRule="atLeast"/>
        </w:trPr>
        <w:tc>
          <w:tcPr>
            <w:tcW w:w="1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柳州市道路运输发展中心</w:t>
            </w:r>
          </w:p>
        </w:tc>
        <w:tc>
          <w:tcPr>
            <w:tcW w:w="142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公益一类</w:t>
            </w:r>
          </w:p>
        </w:tc>
        <w:tc>
          <w:tcPr>
            <w:tcW w:w="142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24</w:t>
            </w:r>
          </w:p>
        </w:tc>
        <w:tc>
          <w:tcPr>
            <w:tcW w:w="134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24</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36</w:t>
            </w:r>
          </w:p>
        </w:tc>
      </w:tr>
      <w:tr>
        <w:tblPrEx>
          <w:tblCellMar>
            <w:top w:w="0" w:type="dxa"/>
            <w:left w:w="108" w:type="dxa"/>
            <w:bottom w:w="0" w:type="dxa"/>
            <w:right w:w="108" w:type="dxa"/>
          </w:tblCellMar>
        </w:tblPrEx>
        <w:trPr>
          <w:trHeight w:val="1155" w:hRule="atLeast"/>
        </w:trPr>
        <w:tc>
          <w:tcPr>
            <w:tcW w:w="1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柳州市交通综合行政执法支队</w:t>
            </w:r>
          </w:p>
        </w:tc>
        <w:tc>
          <w:tcPr>
            <w:tcW w:w="142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公益一类</w:t>
            </w:r>
          </w:p>
        </w:tc>
        <w:tc>
          <w:tcPr>
            <w:tcW w:w="142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64</w:t>
            </w:r>
          </w:p>
        </w:tc>
        <w:tc>
          <w:tcPr>
            <w:tcW w:w="134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54</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w:t>
            </w:r>
          </w:p>
        </w:tc>
      </w:tr>
    </w:tbl>
    <w:p>
      <w:pPr>
        <w:rPr>
          <w:rFonts w:ascii="仿宋_GB2312" w:eastAsia="仿宋_GB2312"/>
          <w:sz w:val="32"/>
          <w:szCs w:val="32"/>
        </w:rPr>
      </w:pPr>
    </w:p>
    <w:p>
      <w:pPr>
        <w:ind w:firstLine="640" w:firstLineChars="200"/>
        <w:rPr>
          <w:rFonts w:ascii="仿宋_GB2312" w:hAnsi="宋体" w:eastAsia="仿宋_GB2312" w:cs="宋体"/>
          <w:color w:val="000000"/>
          <w:kern w:val="0"/>
          <w:sz w:val="32"/>
          <w:szCs w:val="32"/>
        </w:rPr>
      </w:pPr>
      <w:r>
        <w:rPr>
          <w:rFonts w:hint="eastAsia" w:ascii="仿宋_GB2312" w:eastAsia="仿宋_GB2312"/>
          <w:sz w:val="32"/>
          <w:szCs w:val="32"/>
        </w:rPr>
        <w:t>至本部门决算公开时，因机构改革，原</w:t>
      </w:r>
      <w:r>
        <w:rPr>
          <w:rFonts w:hint="eastAsia" w:ascii="仿宋_GB2312" w:hAnsi="宋体" w:eastAsia="仿宋_GB2312" w:cs="宋体"/>
          <w:color w:val="000000"/>
          <w:kern w:val="0"/>
          <w:sz w:val="32"/>
          <w:szCs w:val="32"/>
        </w:rPr>
        <w:t>柳州市交通工程质量安全监督站机构撤销，并入原柳州市交通综合行政执法支队。原柳州市道路运输管理处更名为柳州市道路运输发展中心，原柳州市公路管理处更名为柳州市公路发展中心，原柳州市港航管理处更名为柳州市港航发展中心，原柳州市交通综合行政执法支队更名为柳州市交通运输综合行政执法支队。人员数以2019年决算报表上报数据为准。</w:t>
      </w:r>
    </w:p>
    <w:p>
      <w:pPr>
        <w:ind w:firstLine="640" w:firstLineChars="200"/>
        <w:rPr>
          <w:rFonts w:ascii="仿宋_GB2312" w:hAnsi="宋体" w:eastAsia="仿宋_GB2312" w:cs="宋体"/>
          <w:color w:val="000000"/>
          <w:kern w:val="0"/>
          <w:sz w:val="32"/>
          <w:szCs w:val="32"/>
        </w:rPr>
      </w:pPr>
    </w:p>
    <w:p>
      <w:pPr>
        <w:ind w:firstLine="640" w:firstLineChars="200"/>
        <w:rPr>
          <w:rFonts w:ascii="仿宋_GB2312" w:hAnsi="宋体" w:eastAsia="仿宋_GB2312" w:cs="宋体"/>
          <w:color w:val="000000"/>
          <w:kern w:val="0"/>
          <w:sz w:val="32"/>
          <w:szCs w:val="32"/>
        </w:rPr>
      </w:pPr>
    </w:p>
    <w:p>
      <w:pPr>
        <w:ind w:firstLine="640" w:firstLineChars="200"/>
        <w:rPr>
          <w:rFonts w:ascii="仿宋_GB2312" w:eastAsia="仿宋_GB2312"/>
          <w:sz w:val="32"/>
          <w:szCs w:val="32"/>
        </w:rPr>
      </w:pPr>
    </w:p>
    <w:p>
      <w:pPr>
        <w:ind w:firstLine="420" w:firstLineChars="200"/>
      </w:pPr>
    </w:p>
    <w:p/>
    <w:p>
      <w:pPr>
        <w:ind w:firstLine="2088" w:firstLineChars="650"/>
        <w:rPr>
          <w:rFonts w:ascii="仿宋_GB2312" w:eastAsia="仿宋_GB2312"/>
          <w:b/>
          <w:sz w:val="32"/>
          <w:szCs w:val="32"/>
        </w:rPr>
      </w:pPr>
      <w:r>
        <w:rPr>
          <w:rFonts w:hint="eastAsia" w:ascii="仿宋_GB2312" w:eastAsia="仿宋_GB2312"/>
          <w:b/>
          <w:sz w:val="32"/>
          <w:szCs w:val="32"/>
        </w:rPr>
        <w:t>第二部分： 2019年部门决算报表</w:t>
      </w:r>
    </w:p>
    <w:p>
      <w:pPr>
        <w:jc w:val="center"/>
      </w:pPr>
    </w:p>
    <w:p/>
    <w:tbl>
      <w:tblPr>
        <w:tblStyle w:val="4"/>
        <w:tblW w:w="9087" w:type="dxa"/>
        <w:tblInd w:w="93" w:type="dxa"/>
        <w:tblLayout w:type="autofit"/>
        <w:tblCellMar>
          <w:top w:w="0" w:type="dxa"/>
          <w:left w:w="108" w:type="dxa"/>
          <w:bottom w:w="0" w:type="dxa"/>
          <w:right w:w="108" w:type="dxa"/>
        </w:tblCellMar>
      </w:tblPr>
      <w:tblGrid>
        <w:gridCol w:w="3197"/>
        <w:gridCol w:w="1600"/>
        <w:gridCol w:w="3028"/>
        <w:gridCol w:w="1262"/>
      </w:tblGrid>
      <w:tr>
        <w:tblPrEx>
          <w:tblCellMar>
            <w:top w:w="0" w:type="dxa"/>
            <w:left w:w="108" w:type="dxa"/>
            <w:bottom w:w="0" w:type="dxa"/>
            <w:right w:w="108" w:type="dxa"/>
          </w:tblCellMar>
        </w:tblPrEx>
        <w:trPr>
          <w:trHeight w:val="840" w:hRule="atLeast"/>
        </w:trPr>
        <w:tc>
          <w:tcPr>
            <w:tcW w:w="9087" w:type="dxa"/>
            <w:gridSpan w:val="4"/>
            <w:tcBorders>
              <w:top w:val="nil"/>
              <w:left w:val="nil"/>
              <w:bottom w:val="single" w:color="000000" w:sz="4" w:space="0"/>
              <w:right w:val="nil"/>
            </w:tcBorders>
            <w:shd w:val="clear" w:color="auto" w:fill="auto"/>
            <w:noWrap/>
            <w:vAlign w:val="bottom"/>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 xml:space="preserve">   </w:t>
            </w:r>
            <w:r>
              <w:rPr>
                <w:rFonts w:hint="eastAsia" w:ascii="宋体" w:hAnsi="宋体" w:cs="宋体"/>
                <w:color w:val="000000"/>
                <w:kern w:val="0"/>
                <w:sz w:val="28"/>
                <w:szCs w:val="28"/>
              </w:rPr>
              <w:t xml:space="preserve">    表一：收入支出决算总表 </w:t>
            </w:r>
            <w:r>
              <w:rPr>
                <w:rFonts w:hint="eastAsia" w:ascii="宋体" w:hAnsi="宋体" w:cs="宋体"/>
                <w:color w:val="000000"/>
                <w:kern w:val="0"/>
                <w:sz w:val="36"/>
                <w:szCs w:val="36"/>
              </w:rPr>
              <w:t xml:space="preserve">       </w:t>
            </w:r>
            <w:r>
              <w:rPr>
                <w:rFonts w:hint="eastAsia" w:ascii="宋体" w:hAnsi="宋体" w:cs="宋体"/>
                <w:color w:val="000000"/>
                <w:kern w:val="0"/>
                <w:sz w:val="24"/>
              </w:rPr>
              <w:t>单位：万元</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w:t>
            </w:r>
          </w:p>
        </w:tc>
        <w:tc>
          <w:tcPr>
            <w:tcW w:w="160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w:t>
            </w:r>
          </w:p>
        </w:tc>
        <w:tc>
          <w:tcPr>
            <w:tcW w:w="126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0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项目(按功能分类)</w:t>
            </w:r>
          </w:p>
        </w:tc>
        <w:tc>
          <w:tcPr>
            <w:tcW w:w="126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90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17,839.81</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278.80</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980.65</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三、国防支出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四、公共安全支出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五、教育支出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六、科学技术支出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4.79</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七、文化旅游体育与传媒支出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八、社会保障和就业支出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407.36</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九、卫生健康支出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153.02</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十、节能环保支出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1,165.26</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十一、城乡社区支出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409.80</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十二、农林水支出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1,060.00</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十三、交通运输支出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15,349.93</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十四、资源勘探信息等支出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十五、商业服务业等支出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十六、金融支出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十七、援助其他地区支出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十八、自然资源海洋气象等支出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十九、住房保障支出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190.16</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二十、粮油物资储备支出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二十一、灾害防治及应急管理支出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二十二、其他支出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0.11</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二十三、债务还本支出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二十四、债务付息支出</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本年收入合计</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19,104.05</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本年支出合计</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18,735.64</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用事业基金弥补收支差额</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结余分配</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年初结转和结余</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2,566.91</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年末结转和结余</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2,935.32</w:t>
            </w:r>
          </w:p>
        </w:tc>
      </w:tr>
      <w:tr>
        <w:tblPrEx>
          <w:tblCellMar>
            <w:top w:w="0" w:type="dxa"/>
            <w:left w:w="108" w:type="dxa"/>
            <w:bottom w:w="0" w:type="dxa"/>
            <w:right w:w="108" w:type="dxa"/>
          </w:tblCellMar>
        </w:tblPrEx>
        <w:trPr>
          <w:trHeight w:val="270" w:hRule="atLeast"/>
        </w:trPr>
        <w:tc>
          <w:tcPr>
            <w:tcW w:w="319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028"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3197" w:type="dxa"/>
            <w:tcBorders>
              <w:top w:val="nil"/>
              <w:left w:val="single" w:color="000000" w:sz="4" w:space="0"/>
              <w:bottom w:val="single" w:color="000000" w:sz="8" w:space="0"/>
              <w:right w:val="single" w:color="000000" w:sz="4" w:space="0"/>
            </w:tcBorders>
            <w:shd w:val="clear" w:color="FFFFFF" w:fill="C0C0C0"/>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总计</w:t>
            </w:r>
          </w:p>
        </w:tc>
        <w:tc>
          <w:tcPr>
            <w:tcW w:w="1600" w:type="dxa"/>
            <w:tcBorders>
              <w:top w:val="nil"/>
              <w:left w:val="nil"/>
              <w:bottom w:val="single" w:color="000000" w:sz="8" w:space="0"/>
              <w:right w:val="single" w:color="000000" w:sz="4" w:space="0"/>
            </w:tcBorders>
            <w:shd w:val="clear" w:color="auto" w:fill="auto"/>
            <w:noWrap/>
            <w:vAlign w:val="center"/>
          </w:tcPr>
          <w:p>
            <w:pPr>
              <w:widowControl/>
              <w:ind w:right="110"/>
              <w:jc w:val="right"/>
              <w:rPr>
                <w:rFonts w:ascii="宋体" w:hAnsi="宋体" w:cs="宋体"/>
                <w:color w:val="000000"/>
                <w:kern w:val="0"/>
                <w:sz w:val="22"/>
                <w:szCs w:val="22"/>
              </w:rPr>
            </w:pPr>
            <w:r>
              <w:rPr>
                <w:rFonts w:hint="eastAsia" w:ascii="宋体" w:hAnsi="宋体" w:cs="宋体"/>
                <w:color w:val="000000"/>
                <w:kern w:val="0"/>
                <w:sz w:val="22"/>
                <w:szCs w:val="22"/>
              </w:rPr>
              <w:t>21,670.95</w:t>
            </w:r>
          </w:p>
        </w:tc>
        <w:tc>
          <w:tcPr>
            <w:tcW w:w="3028" w:type="dxa"/>
            <w:tcBorders>
              <w:top w:val="nil"/>
              <w:left w:val="nil"/>
              <w:bottom w:val="single" w:color="000000" w:sz="8" w:space="0"/>
              <w:right w:val="single" w:color="000000" w:sz="4" w:space="0"/>
            </w:tcBorders>
            <w:shd w:val="clear" w:color="FFFFFF" w:fill="C0C0C0"/>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总计</w:t>
            </w:r>
          </w:p>
        </w:tc>
        <w:tc>
          <w:tcPr>
            <w:tcW w:w="12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21,670.95</w:t>
            </w:r>
          </w:p>
        </w:tc>
      </w:tr>
      <w:tr>
        <w:tblPrEx>
          <w:tblCellMar>
            <w:top w:w="0" w:type="dxa"/>
            <w:left w:w="108" w:type="dxa"/>
            <w:bottom w:w="0" w:type="dxa"/>
            <w:right w:w="108" w:type="dxa"/>
          </w:tblCellMar>
        </w:tblPrEx>
        <w:trPr>
          <w:trHeight w:val="270" w:hRule="atLeast"/>
        </w:trPr>
        <w:tc>
          <w:tcPr>
            <w:tcW w:w="9087" w:type="dxa"/>
            <w:gridSpan w:val="4"/>
            <w:tcBorders>
              <w:top w:val="nil"/>
              <w:left w:val="nil"/>
              <w:bottom w:val="nil"/>
              <w:right w:val="nil"/>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注：本表反映部门本年度的总收支和年末结转结余情况。</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p>
    <w:p>
      <w:pPr>
        <w:ind w:firstLine="5400" w:firstLineChars="1500"/>
      </w:pPr>
      <w:r>
        <w:rPr>
          <w:rFonts w:hint="eastAsia" w:ascii="方正小标宋简体" w:hAnsi="宋体" w:eastAsia="方正小标宋简体" w:cs="宋体"/>
          <w:kern w:val="0"/>
          <w:sz w:val="36"/>
          <w:szCs w:val="36"/>
        </w:rPr>
        <w:t>表二：收入决算表</w:t>
      </w:r>
    </w:p>
    <w:p>
      <w:pPr>
        <w:ind w:right="440"/>
        <w:jc w:val="center"/>
        <w:rPr>
          <w:sz w:val="22"/>
          <w:szCs w:val="22"/>
        </w:rPr>
      </w:pPr>
      <w:r>
        <w:rPr>
          <w:rFonts w:hint="eastAsia"/>
          <w:sz w:val="22"/>
          <w:szCs w:val="22"/>
        </w:rPr>
        <w:t xml:space="preserve">                                                                                                      单位：万元                     </w:t>
      </w:r>
    </w:p>
    <w:tbl>
      <w:tblPr>
        <w:tblStyle w:val="4"/>
        <w:tblW w:w="13440" w:type="dxa"/>
        <w:tblInd w:w="93" w:type="dxa"/>
        <w:tblLayout w:type="autofit"/>
        <w:tblCellMar>
          <w:top w:w="0" w:type="dxa"/>
          <w:left w:w="108" w:type="dxa"/>
          <w:bottom w:w="0" w:type="dxa"/>
          <w:right w:w="108" w:type="dxa"/>
        </w:tblCellMar>
      </w:tblPr>
      <w:tblGrid>
        <w:gridCol w:w="986"/>
        <w:gridCol w:w="5531"/>
        <w:gridCol w:w="1468"/>
        <w:gridCol w:w="1390"/>
        <w:gridCol w:w="1046"/>
        <w:gridCol w:w="767"/>
        <w:gridCol w:w="767"/>
        <w:gridCol w:w="767"/>
        <w:gridCol w:w="767"/>
      </w:tblGrid>
      <w:tr>
        <w:tblPrEx>
          <w:tblCellMar>
            <w:top w:w="0" w:type="dxa"/>
            <w:left w:w="108" w:type="dxa"/>
            <w:bottom w:w="0" w:type="dxa"/>
            <w:right w:w="108" w:type="dxa"/>
          </w:tblCellMar>
        </w:tblPrEx>
        <w:trPr>
          <w:trHeight w:val="270" w:hRule="atLeast"/>
        </w:trPr>
        <w:tc>
          <w:tcPr>
            <w:tcW w:w="6468"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财政拨款收入</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上级补助收入</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事业收入</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经营收入</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附属单位上缴收入</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其他收入</w:t>
            </w:r>
          </w:p>
        </w:tc>
      </w:tr>
      <w:tr>
        <w:tblPrEx>
          <w:tblCellMar>
            <w:top w:w="0" w:type="dxa"/>
            <w:left w:w="108" w:type="dxa"/>
            <w:bottom w:w="0" w:type="dxa"/>
            <w:right w:w="108" w:type="dxa"/>
          </w:tblCellMar>
        </w:tblPrEx>
        <w:trPr>
          <w:trHeight w:val="810" w:hRule="atLeast"/>
        </w:trPr>
        <w:tc>
          <w:tcPr>
            <w:tcW w:w="937"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支出功能分类科目编码</w:t>
            </w:r>
          </w:p>
        </w:tc>
        <w:tc>
          <w:tcPr>
            <w:tcW w:w="553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科目名称</w:t>
            </w:r>
          </w:p>
        </w:tc>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0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468"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栏次</w:t>
            </w:r>
          </w:p>
        </w:tc>
        <w:tc>
          <w:tcPr>
            <w:tcW w:w="146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39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4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76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76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76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767" w:type="dxa"/>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r>
      <w:tr>
        <w:tblPrEx>
          <w:tblCellMar>
            <w:top w:w="0" w:type="dxa"/>
            <w:left w:w="108" w:type="dxa"/>
            <w:bottom w:w="0" w:type="dxa"/>
            <w:right w:w="108" w:type="dxa"/>
          </w:tblCellMar>
        </w:tblPrEx>
        <w:trPr>
          <w:trHeight w:val="270" w:hRule="atLeast"/>
        </w:trPr>
        <w:tc>
          <w:tcPr>
            <w:tcW w:w="6468"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19,104.05</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18,118.61</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980.65</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4.79</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208</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社会保障和就业支出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385.51</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385.51</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20805</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行政事业单位离退休</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364.47</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364.47</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2080501</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归口管理的行政单位离退休</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52.12</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52.12</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2080502</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事业单位离退休</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68.08</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68.08</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2080505</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机关事业单位基本养老保险缴费支出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244.27</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244.27</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20808</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抚恤</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21.04</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21.04</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2080801</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死亡抚恤</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21.04</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21.04</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210</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卫生健康支出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159.25</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159.25</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21011</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行政事业单位医疗</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159.25</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159.25</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2101101</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行政单位医疗</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28.77</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28.77</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2101102</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事业单位医疗</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78.59</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78.59</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2101103</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公务员医疗补助</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51.46</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51.46</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2101199</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其他行政事业单位医疗支出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0.43</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0.43</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211</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节能环保支出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21110</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能源节约利用</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2111001</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能源节约利用</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212</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城乡社区支出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480.80</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480.80</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21202</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城乡社区规划与管理</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2120201</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城乡社区规划与管理</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21203</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城乡社区公共设施</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102.00</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102.00</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2120399</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其他城乡社区公共设施支出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102.00</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102.00</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21208</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国有土地使用权出让收入及对应专项债务收入安排的支出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278.80</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278.80</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2120804</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农村基础设施建设支出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278.80</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278.80</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213</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农林水支出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21308</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普惠金融发展支出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2130899</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其他普惠金融发展支出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214</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交通运输支出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15,658.28</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14,677.63</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980.65</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21401</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公路水路运输</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8,181.46</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7,269.06</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912.40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2140101</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行政运行</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491.93</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491.93</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2140102</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一般行政管理事务</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230.52</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230.52</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2140106</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公路养护</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170.00</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170.00</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2140110</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公路和运输安全</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124.05</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124.05</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2140112</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公路运输管理</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1,311.96</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1,311.96</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2140136</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水路运输管理支出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1.33</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1.33</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2140139</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取消政府还贷二级公路收费专项支出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2,500.17</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2,500.17</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2140199</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其他公路水路运输支出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3,351.51</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2,439.11</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912.40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21404</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成品油价格改革对交通运输的补贴</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7,180.60</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7,180.60</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2140401</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对城市公交的补贴</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2,179.54</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2,179.54</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2140402</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对农村道路客运的补贴</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1,239.43</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1,239.43</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2140403</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对出租车的补贴</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2,721.03</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2,721.03</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2140499</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成品油价格改革补贴其他支出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1,040.61</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1,040.61</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21499</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其他交通运输支出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296.22</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227.97</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68.25</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2149999</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其他交通运输支出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296.22</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227.97</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68.25</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221</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住房保障支出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190.16</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190.16</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22102</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住房改革支出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190.16</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190.16</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2210201</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住房公积金</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187.62</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187.62</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2210203</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购房补贴</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2.54</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2.54</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229</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4.79</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4.79</w:t>
            </w:r>
          </w:p>
        </w:tc>
      </w:tr>
      <w:tr>
        <w:tblPrEx>
          <w:tblCellMar>
            <w:top w:w="0" w:type="dxa"/>
            <w:left w:w="108" w:type="dxa"/>
            <w:bottom w:w="0" w:type="dxa"/>
            <w:right w:w="108" w:type="dxa"/>
          </w:tblCellMar>
        </w:tblPrEx>
        <w:trPr>
          <w:trHeight w:val="270" w:hRule="atLeast"/>
        </w:trPr>
        <w:tc>
          <w:tcPr>
            <w:tcW w:w="93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22999</w:t>
            </w:r>
          </w:p>
        </w:tc>
        <w:tc>
          <w:tcPr>
            <w:tcW w:w="5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其他支出</w:t>
            </w:r>
          </w:p>
        </w:tc>
        <w:tc>
          <w:tcPr>
            <w:tcW w:w="14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4.79</w:t>
            </w:r>
          </w:p>
        </w:tc>
        <w:tc>
          <w:tcPr>
            <w:tcW w:w="139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4.79</w:t>
            </w:r>
          </w:p>
        </w:tc>
      </w:tr>
      <w:tr>
        <w:tblPrEx>
          <w:tblCellMar>
            <w:top w:w="0" w:type="dxa"/>
            <w:left w:w="108" w:type="dxa"/>
            <w:bottom w:w="0" w:type="dxa"/>
            <w:right w:w="108" w:type="dxa"/>
          </w:tblCellMar>
        </w:tblPrEx>
        <w:trPr>
          <w:trHeight w:val="285" w:hRule="atLeast"/>
        </w:trPr>
        <w:tc>
          <w:tcPr>
            <w:tcW w:w="937" w:type="dxa"/>
            <w:tcBorders>
              <w:top w:val="nil"/>
              <w:left w:val="single" w:color="000000" w:sz="4" w:space="0"/>
              <w:bottom w:val="single" w:color="000000" w:sz="8"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2299901</w:t>
            </w:r>
          </w:p>
        </w:tc>
        <w:tc>
          <w:tcPr>
            <w:tcW w:w="5531"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其他支出</w:t>
            </w:r>
          </w:p>
        </w:tc>
        <w:tc>
          <w:tcPr>
            <w:tcW w:w="1468"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4.79</w:t>
            </w:r>
          </w:p>
        </w:tc>
        <w:tc>
          <w:tcPr>
            <w:tcW w:w="1390"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46"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67"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4.79</w:t>
            </w:r>
          </w:p>
        </w:tc>
      </w:tr>
      <w:tr>
        <w:tblPrEx>
          <w:tblCellMar>
            <w:top w:w="0" w:type="dxa"/>
            <w:left w:w="108" w:type="dxa"/>
            <w:bottom w:w="0" w:type="dxa"/>
            <w:right w:w="108" w:type="dxa"/>
          </w:tblCellMar>
        </w:tblPrEx>
        <w:trPr>
          <w:trHeight w:val="270" w:hRule="atLeast"/>
        </w:trPr>
        <w:tc>
          <w:tcPr>
            <w:tcW w:w="13440" w:type="dxa"/>
            <w:gridSpan w:val="9"/>
            <w:tcBorders>
              <w:top w:val="single" w:color="000000" w:sz="8" w:space="0"/>
              <w:left w:val="nil"/>
              <w:bottom w:val="nil"/>
              <w:right w:val="nil"/>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注：本表反映部门本年度取得的各项收入情况。</w:t>
            </w:r>
          </w:p>
        </w:tc>
      </w:tr>
    </w:tbl>
    <w:p/>
    <w:p/>
    <w:p/>
    <w:p/>
    <w:p/>
    <w:p/>
    <w:p/>
    <w:p/>
    <w:p/>
    <w:p/>
    <w:p/>
    <w:p/>
    <w:p/>
    <w:p/>
    <w:p/>
    <w:p/>
    <w:p/>
    <w:p/>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4"/>
        <w:tblW w:w="14560" w:type="dxa"/>
        <w:tblInd w:w="93" w:type="dxa"/>
        <w:tblLayout w:type="autofit"/>
        <w:tblCellMar>
          <w:top w:w="0" w:type="dxa"/>
          <w:left w:w="108" w:type="dxa"/>
          <w:bottom w:w="0" w:type="dxa"/>
          <w:right w:w="108" w:type="dxa"/>
        </w:tblCellMar>
      </w:tblPr>
      <w:tblGrid>
        <w:gridCol w:w="1009"/>
        <w:gridCol w:w="5530"/>
        <w:gridCol w:w="1420"/>
        <w:gridCol w:w="1318"/>
        <w:gridCol w:w="1420"/>
        <w:gridCol w:w="1337"/>
        <w:gridCol w:w="1263"/>
        <w:gridCol w:w="1263"/>
      </w:tblGrid>
      <w:tr>
        <w:tblPrEx>
          <w:tblCellMar>
            <w:top w:w="0" w:type="dxa"/>
            <w:left w:w="108" w:type="dxa"/>
            <w:bottom w:w="0" w:type="dxa"/>
            <w:right w:w="108" w:type="dxa"/>
          </w:tblCellMar>
        </w:tblPrEx>
        <w:trPr>
          <w:trHeight w:val="270" w:hRule="atLeast"/>
        </w:trPr>
        <w:tc>
          <w:tcPr>
            <w:tcW w:w="6539"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337"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上缴上级支出</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经营支出</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对附属单位补助支出</w:t>
            </w:r>
          </w:p>
        </w:tc>
      </w:tr>
      <w:tr>
        <w:tblPrEx>
          <w:tblCellMar>
            <w:top w:w="0" w:type="dxa"/>
            <w:left w:w="108" w:type="dxa"/>
            <w:bottom w:w="0" w:type="dxa"/>
            <w:right w:w="108" w:type="dxa"/>
          </w:tblCellMar>
        </w:tblPrEx>
        <w:trPr>
          <w:trHeight w:val="810" w:hRule="atLeast"/>
        </w:trPr>
        <w:tc>
          <w:tcPr>
            <w:tcW w:w="1009"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支出功能分类科目编码</w:t>
            </w:r>
          </w:p>
        </w:tc>
        <w:tc>
          <w:tcPr>
            <w:tcW w:w="553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科目名称</w:t>
            </w:r>
          </w:p>
        </w:tc>
        <w:tc>
          <w:tcPr>
            <w:tcW w:w="14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31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4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33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539"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栏次</w:t>
            </w:r>
          </w:p>
        </w:tc>
        <w:tc>
          <w:tcPr>
            <w:tcW w:w="14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31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33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63"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63" w:type="dxa"/>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r>
      <w:tr>
        <w:tblPrEx>
          <w:tblCellMar>
            <w:top w:w="0" w:type="dxa"/>
            <w:left w:w="108" w:type="dxa"/>
            <w:bottom w:w="0" w:type="dxa"/>
            <w:right w:w="108" w:type="dxa"/>
          </w:tblCellMar>
        </w:tblPrEx>
        <w:trPr>
          <w:trHeight w:val="270" w:hRule="atLeast"/>
        </w:trPr>
        <w:tc>
          <w:tcPr>
            <w:tcW w:w="6539"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18,735.64</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2,746.96</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15,988.67</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社会保障和就业支出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407.36</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385.48</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21.88</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20805</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行政事业单位离退休</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386.32</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364.44</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21.88</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2080501</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归口管理的行政单位离退休</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74.00</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52.12</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21.88</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2080502</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事业单位离退休</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67.46</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67.46</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2080505</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机关事业单位基本养老保险缴费支出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244.87</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244.87</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20808</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抚恤</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21.04</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21.04</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2080801</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死亡抚恤</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21.04</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21.04</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卫生健康支出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153.02</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153.02</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21011</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行政事业单位医疗</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153.02</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153.02</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2101101</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行政单位医疗</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26.62</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26.62</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2101102</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事业单位医疗</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78.14</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78.14</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2101103</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公务员医疗补助</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48.26</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48.26</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2101199</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其他行政事业单位医疗支出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211</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节能环保支出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21110</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能源节约利用</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2111001</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能源节约利用</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212</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城乡社区支出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409.80</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409.80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21202</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城乡社区规划与管理</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109.00</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109.00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2120201</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城乡社区规划与管理</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109.00</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109.00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21203</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城乡社区公共设施</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22.00</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2120399</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其他城乡社区公共设施支出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22.00</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21208</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国有土地使用权出让收入及对应专项债务收入安排的支出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278.80</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278.80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2120804</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农村基础设施建设支出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278.80</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278.80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213</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农林水支出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21308</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普惠金融发展支出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2130899</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其他普惠金融发展支出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交通运输支出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15,349.93</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2,020.34</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13,329.58</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公路水路运输</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7,708.87</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2,020.34</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5,688.53</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2140101</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行政运行</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492.00</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492.00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2140102</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一般行政管理事务</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231.82</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231.82</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2140106</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公路养护</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188.59</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188.59</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2140110</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公路和运输安全</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124.05</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124.05</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2140112</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公路运输管理</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1,347.96</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1,227.60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120.36</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2140136</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水路运输管理支出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1.33</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1.33</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2140139</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取消政府还贷二级公路收费专项支出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2,662.38</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175.37</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2,487.01</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2140199</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其他公路水路运输支出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2,660.75</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2,660.75</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21404</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成品油价格改革对交通运输的补贴</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7,186.59</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7,186.59</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2140401</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对城市公交的补贴</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2,179.54</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2,179.54</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2140402</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对农村道路客运的补贴</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1,247.43</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1,247.43</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2140403</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对出租车的补贴</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2,721.03</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2,721.03</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2140499</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成品油价格改革补贴其他支出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1,038.60</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1,038.60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21499</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其他交通运输支出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454.47</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454.47</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2149999</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其他交通运输支出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454.47</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454.47</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221</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住房保障支出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190.16</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188.01</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2.15</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22102</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住房改革支出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190.16</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188.01</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2.15</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2210201</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住房公积金</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187.62</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187.62</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2210203</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购房补贴</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2.54</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0.39</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2.15</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229</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0.11</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0.11</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100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22999</w:t>
            </w:r>
          </w:p>
        </w:tc>
        <w:tc>
          <w:tcPr>
            <w:tcW w:w="55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0.11</w:t>
            </w:r>
          </w:p>
        </w:tc>
        <w:tc>
          <w:tcPr>
            <w:tcW w:w="13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0.11</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85" w:hRule="atLeast"/>
        </w:trPr>
        <w:tc>
          <w:tcPr>
            <w:tcW w:w="1009" w:type="dxa"/>
            <w:tcBorders>
              <w:top w:val="nil"/>
              <w:left w:val="single" w:color="000000" w:sz="4" w:space="0"/>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2299901</w:t>
            </w:r>
          </w:p>
        </w:tc>
        <w:tc>
          <w:tcPr>
            <w:tcW w:w="5530"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其他支出</w:t>
            </w:r>
          </w:p>
        </w:tc>
        <w:tc>
          <w:tcPr>
            <w:tcW w:w="1420"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0.11</w:t>
            </w:r>
          </w:p>
        </w:tc>
        <w:tc>
          <w:tcPr>
            <w:tcW w:w="1318"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0.11</w:t>
            </w:r>
          </w:p>
        </w:tc>
        <w:tc>
          <w:tcPr>
            <w:tcW w:w="1420"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37"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263"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bl>
    <w:p/>
    <w:p>
      <w:r>
        <w:rPr>
          <w:rFonts w:hint="eastAsia"/>
        </w:rPr>
        <w:t>注：本表反映部门本年度各项支出情况。</w:t>
      </w:r>
    </w:p>
    <w:p/>
    <w:p/>
    <w:p/>
    <w:p/>
    <w:p/>
    <w:p/>
    <w:p/>
    <w:p>
      <w:pPr>
        <w:ind w:firstLine="3600" w:firstLineChars="1000"/>
        <w:rPr>
          <w:rFonts w:ascii="方正小标宋简体" w:hAnsi="宋体" w:eastAsia="方正小标宋简体" w:cs="宋体"/>
          <w:kern w:val="0"/>
          <w:sz w:val="36"/>
          <w:szCs w:val="36"/>
        </w:rPr>
      </w:pPr>
    </w:p>
    <w:p>
      <w:pPr>
        <w:ind w:firstLine="3600" w:firstLineChars="1000"/>
        <w:rPr>
          <w:rFonts w:ascii="方正小标宋简体" w:hAnsi="宋体" w:eastAsia="方正小标宋简体" w:cs="宋体"/>
          <w:kern w:val="0"/>
          <w:sz w:val="36"/>
          <w:szCs w:val="36"/>
        </w:rPr>
      </w:pPr>
    </w:p>
    <w:p>
      <w:pPr>
        <w:ind w:firstLine="4320" w:firstLineChars="1200"/>
      </w:pPr>
      <w:r>
        <w:rPr>
          <w:rFonts w:hint="eastAsia" w:ascii="方正小标宋简体" w:hAnsi="宋体" w:eastAsia="方正小标宋简体" w:cs="宋体"/>
          <w:kern w:val="0"/>
          <w:sz w:val="36"/>
          <w:szCs w:val="36"/>
        </w:rPr>
        <w:t>表四：财政拨款收入支出决算总表</w:t>
      </w:r>
    </w:p>
    <w:p>
      <w:pPr>
        <w:jc w:val="right"/>
        <w:rPr>
          <w:sz w:val="22"/>
          <w:szCs w:val="22"/>
        </w:rPr>
      </w:pPr>
      <w:r>
        <w:rPr>
          <w:rFonts w:hint="eastAsia"/>
          <w:sz w:val="22"/>
          <w:szCs w:val="22"/>
        </w:rPr>
        <w:t>单位：万元</w:t>
      </w:r>
    </w:p>
    <w:tbl>
      <w:tblPr>
        <w:tblStyle w:val="4"/>
        <w:tblW w:w="14500" w:type="dxa"/>
        <w:tblInd w:w="93" w:type="dxa"/>
        <w:tblLayout w:type="autofit"/>
        <w:tblCellMar>
          <w:top w:w="0" w:type="dxa"/>
          <w:left w:w="108" w:type="dxa"/>
          <w:bottom w:w="0" w:type="dxa"/>
          <w:right w:w="108" w:type="dxa"/>
        </w:tblCellMar>
      </w:tblPr>
      <w:tblGrid>
        <w:gridCol w:w="3500"/>
        <w:gridCol w:w="640"/>
        <w:gridCol w:w="1600"/>
        <w:gridCol w:w="4055"/>
        <w:gridCol w:w="579"/>
        <w:gridCol w:w="1218"/>
        <w:gridCol w:w="1529"/>
        <w:gridCol w:w="1379"/>
      </w:tblGrid>
      <w:tr>
        <w:tblPrEx>
          <w:tblCellMar>
            <w:top w:w="0" w:type="dxa"/>
            <w:left w:w="108" w:type="dxa"/>
            <w:bottom w:w="0" w:type="dxa"/>
            <w:right w:w="108" w:type="dxa"/>
          </w:tblCellMar>
        </w:tblPrEx>
        <w:trPr>
          <w:trHeight w:val="270" w:hRule="atLeast"/>
        </w:trPr>
        <w:tc>
          <w:tcPr>
            <w:tcW w:w="5740"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8760" w:type="dxa"/>
            <w:gridSpan w:val="5"/>
            <w:tcBorders>
              <w:top w:val="single" w:color="000000" w:sz="4" w:space="0"/>
              <w:left w:val="nil"/>
              <w:bottom w:val="single" w:color="000000" w:sz="4" w:space="0"/>
              <w:right w:val="single" w:color="000000" w:sz="8"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810" w:hRule="atLeast"/>
        </w:trPr>
        <w:tc>
          <w:tcPr>
            <w:tcW w:w="3500"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    目</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行次</w:t>
            </w:r>
          </w:p>
        </w:tc>
        <w:tc>
          <w:tcPr>
            <w:tcW w:w="16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金额</w:t>
            </w:r>
          </w:p>
        </w:tc>
        <w:tc>
          <w:tcPr>
            <w:tcW w:w="405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579"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行次</w:t>
            </w:r>
          </w:p>
        </w:tc>
        <w:tc>
          <w:tcPr>
            <w:tcW w:w="121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529"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一般公共预算财政拨款</w:t>
            </w:r>
          </w:p>
        </w:tc>
        <w:tc>
          <w:tcPr>
            <w:tcW w:w="1379" w:type="dxa"/>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政府性基金预算财政拨款</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栏    次</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栏    次</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2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379" w:type="dxa"/>
            <w:tcBorders>
              <w:top w:val="nil"/>
              <w:left w:val="nil"/>
              <w:bottom w:val="single" w:color="000000" w:sz="4" w:space="0"/>
              <w:right w:val="single" w:color="000000" w:sz="8"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一、一般公共预算财政拨款</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17,839.81</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二、政府性基金预算财政拨款</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278.80</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三、国防支出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四、公共安全支出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五、教育支出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六、科学技术支出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七、文化旅游体育与传媒支出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八、社会保障和就业支出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407.36</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407.36</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九、卫生健康支出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153.02</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153.02</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十、节能环保支出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十一、城乡社区支出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409.80</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131.00</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278.80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十二、农林水支出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十三、交通运输支出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15,079.14</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15,079.14</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十四、资源勘探信息等支出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十五、商业服务业等支出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十六、金融支出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十七、援助其他地区支出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十八、自然资源海洋气象等支出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十九、住房保障支出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190.16</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190.16</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二十、粮油物资储备支出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二十一、灾害防治及应急管理支出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二十二、其他支出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52</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二十三、债务还本支出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二十四、债务付息支出</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54</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55</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本年收入合计</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18,118.61</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本年支出合计</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18,464.73</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18,185.93</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278.80</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年初财政拨款结转和结余</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2,086.19</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年末财政拨款结转和结余</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81</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1,740.06</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1,461.08</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278.98</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一、一般公共预算财政拨款</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1,807.21</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82</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35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二、政府性基金预算财政拨款</w:t>
            </w:r>
          </w:p>
        </w:tc>
        <w:tc>
          <w:tcPr>
            <w:tcW w:w="6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6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278.98</w:t>
            </w:r>
          </w:p>
        </w:tc>
        <w:tc>
          <w:tcPr>
            <w:tcW w:w="40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83</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379"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3500" w:type="dxa"/>
            <w:tcBorders>
              <w:top w:val="nil"/>
              <w:left w:val="single" w:color="000000" w:sz="4" w:space="0"/>
              <w:bottom w:val="single" w:color="000000" w:sz="8" w:space="0"/>
              <w:right w:val="single" w:color="000000" w:sz="4" w:space="0"/>
            </w:tcBorders>
            <w:shd w:val="clear" w:color="FFFFFF" w:fill="C0C0C0"/>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总计</w:t>
            </w:r>
          </w:p>
        </w:tc>
        <w:tc>
          <w:tcPr>
            <w:tcW w:w="640" w:type="dxa"/>
            <w:tcBorders>
              <w:top w:val="nil"/>
              <w:left w:val="nil"/>
              <w:bottom w:val="single" w:color="000000" w:sz="8"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600"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20,204.80</w:t>
            </w:r>
          </w:p>
        </w:tc>
        <w:tc>
          <w:tcPr>
            <w:tcW w:w="4055" w:type="dxa"/>
            <w:tcBorders>
              <w:top w:val="nil"/>
              <w:left w:val="nil"/>
              <w:bottom w:val="single" w:color="000000" w:sz="8" w:space="0"/>
              <w:right w:val="single" w:color="000000" w:sz="4" w:space="0"/>
            </w:tcBorders>
            <w:shd w:val="clear" w:color="FFFFFF" w:fill="C0C0C0"/>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总计</w:t>
            </w:r>
          </w:p>
        </w:tc>
        <w:tc>
          <w:tcPr>
            <w:tcW w:w="579" w:type="dxa"/>
            <w:tcBorders>
              <w:top w:val="nil"/>
              <w:left w:val="nil"/>
              <w:bottom w:val="single" w:color="000000" w:sz="8" w:space="0"/>
              <w:right w:val="single" w:color="000000" w:sz="4" w:space="0"/>
            </w:tcBorders>
            <w:shd w:val="clear" w:color="FFFFFF" w:fill="C0C0C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84</w:t>
            </w:r>
          </w:p>
        </w:tc>
        <w:tc>
          <w:tcPr>
            <w:tcW w:w="1218"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20,204.80</w:t>
            </w:r>
          </w:p>
        </w:tc>
        <w:tc>
          <w:tcPr>
            <w:tcW w:w="1529"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19,647.01</w:t>
            </w:r>
          </w:p>
        </w:tc>
        <w:tc>
          <w:tcPr>
            <w:tcW w:w="1379"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557.78</w:t>
            </w:r>
          </w:p>
        </w:tc>
      </w:tr>
    </w:tbl>
    <w:p>
      <w:r>
        <w:rPr>
          <w:rFonts w:hint="eastAsia"/>
        </w:rPr>
        <w:t>注：本表反映部门本年度一般公共预算财政拨款和政府性基金预算财政拨款的总收支和年末结转结余情况。</w:t>
      </w:r>
    </w:p>
    <w:p/>
    <w:p/>
    <w:p/>
    <w:p/>
    <w:p/>
    <w:p/>
    <w:p/>
    <w:p/>
    <w:p/>
    <w:p/>
    <w:p/>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wordWrap w:val="0"/>
        <w:jc w:val="right"/>
        <w:rPr>
          <w:rFonts w:ascii="宋体" w:hAnsi="宋体" w:cs="宋体"/>
          <w:kern w:val="0"/>
          <w:sz w:val="22"/>
          <w:szCs w:val="22"/>
        </w:rPr>
      </w:pPr>
      <w:r>
        <w:rPr>
          <w:rFonts w:hint="eastAsia" w:ascii="宋体" w:hAnsi="宋体" w:cs="宋体"/>
          <w:kern w:val="0"/>
          <w:sz w:val="22"/>
          <w:szCs w:val="22"/>
        </w:rPr>
        <w:t xml:space="preserve">   单位：</w:t>
      </w:r>
      <w:r>
        <w:rPr>
          <w:rFonts w:ascii="宋体" w:hAnsi="宋体" w:cs="宋体"/>
          <w:kern w:val="0"/>
          <w:sz w:val="22"/>
          <w:szCs w:val="22"/>
        </w:rPr>
        <w:t>万元</w:t>
      </w:r>
    </w:p>
    <w:tbl>
      <w:tblPr>
        <w:tblStyle w:val="4"/>
        <w:tblW w:w="14760" w:type="dxa"/>
        <w:tblInd w:w="93" w:type="dxa"/>
        <w:tblLayout w:type="autofit"/>
        <w:tblCellMar>
          <w:top w:w="0" w:type="dxa"/>
          <w:left w:w="108" w:type="dxa"/>
          <w:bottom w:w="0" w:type="dxa"/>
          <w:right w:w="108" w:type="dxa"/>
        </w:tblCellMar>
      </w:tblPr>
      <w:tblGrid>
        <w:gridCol w:w="2520"/>
        <w:gridCol w:w="4480"/>
        <w:gridCol w:w="2560"/>
        <w:gridCol w:w="2760"/>
        <w:gridCol w:w="2440"/>
      </w:tblGrid>
      <w:tr>
        <w:tblPrEx>
          <w:tblCellMar>
            <w:top w:w="0" w:type="dxa"/>
            <w:left w:w="108" w:type="dxa"/>
            <w:bottom w:w="0" w:type="dxa"/>
            <w:right w:w="108" w:type="dxa"/>
          </w:tblCellMar>
        </w:tblPrEx>
        <w:trPr>
          <w:trHeight w:val="270" w:hRule="atLeast"/>
        </w:trPr>
        <w:tc>
          <w:tcPr>
            <w:tcW w:w="7000" w:type="dxa"/>
            <w:gridSpan w:val="2"/>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2560"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2440" w:type="dxa"/>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585" w:hRule="atLeast"/>
        </w:trPr>
        <w:tc>
          <w:tcPr>
            <w:tcW w:w="2520"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支出功能分类科目编码</w:t>
            </w:r>
          </w:p>
        </w:tc>
        <w:tc>
          <w:tcPr>
            <w:tcW w:w="44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科目名称</w:t>
            </w:r>
          </w:p>
        </w:tc>
        <w:tc>
          <w:tcPr>
            <w:tcW w:w="25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2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85" w:hRule="atLeast"/>
        </w:trPr>
        <w:tc>
          <w:tcPr>
            <w:tcW w:w="7000" w:type="dxa"/>
            <w:gridSpan w:val="2"/>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栏次</w:t>
            </w:r>
          </w:p>
        </w:tc>
        <w:tc>
          <w:tcPr>
            <w:tcW w:w="256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76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4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r>
      <w:tr>
        <w:tblPrEx>
          <w:tblCellMar>
            <w:top w:w="0" w:type="dxa"/>
            <w:left w:w="108" w:type="dxa"/>
            <w:bottom w:w="0" w:type="dxa"/>
            <w:right w:w="108" w:type="dxa"/>
          </w:tblCellMar>
        </w:tblPrEx>
        <w:trPr>
          <w:trHeight w:val="270" w:hRule="atLeast"/>
        </w:trPr>
        <w:tc>
          <w:tcPr>
            <w:tcW w:w="7000" w:type="dxa"/>
            <w:gridSpan w:val="2"/>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18,185.93</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2,746.85</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15,439.08</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社会保障和就业支出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407.36</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385.48</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21.88</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20805</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行政事业单位离退休</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386.32</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364.44</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21.88</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2080501</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归口管理的行政单位离退休</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74.00</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52.12</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21.88</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2080502</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事业单位离退休</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67.46</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67.46</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2080505</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机关事业单位基本养老保险缴费支出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244.87</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244.87</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20808</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抚恤</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21.04</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21.04</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2080801</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死亡抚恤</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21.04</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21.04</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卫生健康支出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153.02</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153.02</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21011</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行政事业单位医疗</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153.02</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153.02</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2101101</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行政单位医疗</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26.62</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26.62</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2101102</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事业单位医疗</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78.14</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78.14</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2101103</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公务员医疗补助</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48.26</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48.26</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2101199</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其他行政事业单位医疗支出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211</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节能环保支出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21110</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能源节约利用</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2111001</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能源节约利用</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1,165.26</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212</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城乡社区支出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131.00</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131.00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21202</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城乡社区规划与管理</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109.00</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109.00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2120201</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城乡社区规划与管理</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109.00</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109.00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21203</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城乡社区公共设施</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22.00</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2120399</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其他城乡社区公共设施支出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22.00</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213</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农林水支出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21308</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普惠金融发展支出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2130899</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其他普惠金融发展支出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交通运输支出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15,079.14</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2,020.34</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13,058.80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公路水路运输</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7,470.65</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2,020.34</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5,450.31</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2140101</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行政运行</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492.00</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492.00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2140102</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一般行政管理事务</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231.82</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231.82</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2140104</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公路建设</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2140106</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公路养护</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170.00</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2140109</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交通运输信息化建设</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2140110</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公路和运输安全</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124.05</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124.05</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2140112</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公路运输管理</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1,347.96</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1,227.60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120.36</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2140136</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水路运输管理支出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1.33</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1.33</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2140139</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取消政府还贷二级公路收费专项支出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2,662.38</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175.37</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2,487.01</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2140199</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其他公路水路运输支出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2,441.12</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2,441.12</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21404</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成品油价格改革对交通运输的补贴</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7,186.59</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7,186.59</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2140401</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对城市公交的补贴</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2,179.54</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2,179.54</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2140402</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对农村道路客运的补贴</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1,247.43</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1,247.43</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2140403</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对出租车的补贴</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2,721.03</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2,721.03</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2140499</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成品油价格改革补贴其他支出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1,038.60</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1,038.60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21499</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其他交通运输支出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421.90</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421.90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2149999</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其他交通运输支出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421.90</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421.90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221</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住房保障支出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190.16</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188.01</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2.15</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22102</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住房改革支出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190.16</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188.01</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2.15</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2210201</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住房公积金</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187.62</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187.62</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2210203</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购房补贴</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2.54</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0.39</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2.15</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229</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70" w:hRule="atLeast"/>
        </w:trPr>
        <w:tc>
          <w:tcPr>
            <w:tcW w:w="252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22999</w:t>
            </w:r>
          </w:p>
        </w:tc>
        <w:tc>
          <w:tcPr>
            <w:tcW w:w="44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其他支出</w:t>
            </w:r>
          </w:p>
        </w:tc>
        <w:tc>
          <w:tcPr>
            <w:tcW w:w="25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7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85" w:hRule="atLeast"/>
        </w:trPr>
        <w:tc>
          <w:tcPr>
            <w:tcW w:w="2520" w:type="dxa"/>
            <w:tcBorders>
              <w:top w:val="nil"/>
              <w:left w:val="single" w:color="000000" w:sz="4" w:space="0"/>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2299901</w:t>
            </w:r>
          </w:p>
        </w:tc>
        <w:tc>
          <w:tcPr>
            <w:tcW w:w="4480"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其他支出</w:t>
            </w:r>
          </w:p>
        </w:tc>
        <w:tc>
          <w:tcPr>
            <w:tcW w:w="2560"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760"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440"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bl>
    <w:p/>
    <w:p>
      <w:r>
        <w:rPr>
          <w:rFonts w:hint="eastAsia"/>
        </w:rPr>
        <w:t>注：本表反映部门本年度一般公共预算财政拨款实际支出情况。</w:t>
      </w:r>
    </w:p>
    <w:p/>
    <w:p/>
    <w:p/>
    <w:p/>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wordWrap w:val="0"/>
        <w:jc w:val="right"/>
        <w:rPr>
          <w:rFonts w:ascii="宋体" w:hAnsi="宋体" w:cs="宋体"/>
          <w:kern w:val="0"/>
          <w:sz w:val="22"/>
          <w:szCs w:val="22"/>
        </w:rPr>
      </w:pPr>
      <w:r>
        <w:rPr>
          <w:rFonts w:hint="eastAsia" w:ascii="宋体" w:hAnsi="宋体" w:cs="宋体"/>
          <w:kern w:val="0"/>
          <w:sz w:val="22"/>
          <w:szCs w:val="22"/>
        </w:rPr>
        <w:t xml:space="preserve">         单位：万元</w:t>
      </w:r>
    </w:p>
    <w:tbl>
      <w:tblPr>
        <w:tblStyle w:val="4"/>
        <w:tblW w:w="9200" w:type="dxa"/>
        <w:tblInd w:w="-434" w:type="dxa"/>
        <w:tblLayout w:type="autofit"/>
        <w:tblCellMar>
          <w:top w:w="0" w:type="dxa"/>
          <w:left w:w="108" w:type="dxa"/>
          <w:bottom w:w="0" w:type="dxa"/>
          <w:right w:w="108" w:type="dxa"/>
        </w:tblCellMar>
      </w:tblPr>
      <w:tblGrid>
        <w:gridCol w:w="800"/>
        <w:gridCol w:w="2920"/>
        <w:gridCol w:w="1120"/>
        <w:gridCol w:w="840"/>
        <w:gridCol w:w="2500"/>
        <w:gridCol w:w="1020"/>
      </w:tblGrid>
      <w:tr>
        <w:tblPrEx>
          <w:tblCellMar>
            <w:top w:w="0" w:type="dxa"/>
            <w:left w:w="108" w:type="dxa"/>
            <w:bottom w:w="0" w:type="dxa"/>
            <w:right w:w="108" w:type="dxa"/>
          </w:tblCellMar>
        </w:tblPrEx>
        <w:trPr>
          <w:trHeight w:val="495" w:hRule="atLeast"/>
        </w:trPr>
        <w:tc>
          <w:tcPr>
            <w:tcW w:w="800"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科目编码</w:t>
            </w:r>
          </w:p>
        </w:tc>
        <w:tc>
          <w:tcPr>
            <w:tcW w:w="292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科目名称</w:t>
            </w:r>
          </w:p>
        </w:tc>
        <w:tc>
          <w:tcPr>
            <w:tcW w:w="112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决算数</w:t>
            </w:r>
          </w:p>
        </w:tc>
        <w:tc>
          <w:tcPr>
            <w:tcW w:w="84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科目编码</w:t>
            </w:r>
          </w:p>
        </w:tc>
        <w:tc>
          <w:tcPr>
            <w:tcW w:w="250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科目名称</w:t>
            </w:r>
          </w:p>
        </w:tc>
        <w:tc>
          <w:tcPr>
            <w:tcW w:w="102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决算数</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2,322.98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289.58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30101</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基本工资</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717.52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30201</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办公费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43.35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30102</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津贴补贴</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33.89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30202</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印刷费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0.83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30103</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奖金</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317.00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30203</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咨询费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30106</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伙食补助费</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46.34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30204</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手续费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0.25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30107</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绩效工资</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522.59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30205</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水费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1.78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30108</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机关事业单位基本养老保险缴费</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272.70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30206</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电费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8.00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30109</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职业年金缴费</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10.67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30207</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邮电费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4.12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30110</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职工基本医疗保险缴费</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104.55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30208</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取暖费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30111</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公务员医疗补助缴费</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50.79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30209</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物业管理费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1.32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30112</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其他社会保障缴费</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13.36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30211</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差旅费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34.78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30113</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住房公积金</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225.13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30212</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因公出国（境）费用</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30114</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医疗费</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0.47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30213</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维修（护）费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4.41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30199</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其他工资福利支出</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7.97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30214</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租赁费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对个人和家庭的补助</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134.30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30215</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会议费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1.46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30301</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离休费</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0.00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30216</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培训费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2.66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30302</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退休费</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36.79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30217</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公务接待费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3.82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30303</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退职（役）费</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0.00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30218</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专用材料费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30304</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抚恤金</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44.37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30224</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被装购置费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30305</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生活补助</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48.93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30225</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专用燃料费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30306</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救济费</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0.00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30226</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劳务费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0.64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30307</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医疗费补助</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0.00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30227</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委托业务费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0.15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30308</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助学金</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0.00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30228</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工会经费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33.85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30309</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奖励金</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0.00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30229</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福利费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7.25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30310</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个人农业生产补贴</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0.00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30231</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公务用车运行维护费</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32.53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30399</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其他对个人和家庭的补助</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4.21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30239</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其他交通费用</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31.35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single" w:color="000000" w:sz="4" w:space="0"/>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30240</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税金及附加费用</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2.09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nil"/>
              <w:left w:val="nil"/>
              <w:bottom w:val="nil"/>
              <w:right w:val="nil"/>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30299</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其他商品和服务支出</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xml:space="preserve">74.93 </w:t>
            </w:r>
          </w:p>
        </w:tc>
      </w:tr>
      <w:tr>
        <w:tblPrEx>
          <w:tblCellMar>
            <w:top w:w="0" w:type="dxa"/>
            <w:left w:w="108" w:type="dxa"/>
            <w:bottom w:w="0" w:type="dxa"/>
            <w:right w:w="108" w:type="dxa"/>
          </w:tblCellMar>
        </w:tblPrEx>
        <w:trPr>
          <w:trHeight w:val="282" w:hRule="atLeast"/>
        </w:trPr>
        <w:tc>
          <w:tcPr>
            <w:tcW w:w="80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9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20" w:type="dxa"/>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82" w:hRule="atLeast"/>
        </w:trPr>
        <w:tc>
          <w:tcPr>
            <w:tcW w:w="3720" w:type="dxa"/>
            <w:gridSpan w:val="2"/>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人员经费合计</w:t>
            </w:r>
          </w:p>
        </w:tc>
        <w:tc>
          <w:tcPr>
            <w:tcW w:w="1120" w:type="dxa"/>
            <w:tcBorders>
              <w:top w:val="nil"/>
              <w:left w:val="nil"/>
              <w:bottom w:val="single" w:color="auto" w:sz="8"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2,457.28 </w:t>
            </w:r>
          </w:p>
        </w:tc>
        <w:tc>
          <w:tcPr>
            <w:tcW w:w="33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公用经费合计</w:t>
            </w:r>
          </w:p>
        </w:tc>
        <w:tc>
          <w:tcPr>
            <w:tcW w:w="1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289.58 </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4"/>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2019年度预算数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2019年度决算数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Arial" w:hAnsi="Arial" w:cs="Arial"/>
                <w:color w:val="000000"/>
                <w:kern w:val="0"/>
                <w:sz w:val="20"/>
                <w:szCs w:val="20"/>
              </w:rPr>
              <w:t>102.83</w:t>
            </w:r>
          </w:p>
        </w:tc>
        <w:tc>
          <w:tcPr>
            <w:tcW w:w="160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 xml:space="preserve"> 0.00</w:t>
            </w:r>
          </w:p>
        </w:tc>
        <w:tc>
          <w:tcPr>
            <w:tcW w:w="828" w:type="dxa"/>
            <w:tcBorders>
              <w:top w:val="nil"/>
              <w:left w:val="nil"/>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Arial" w:hAnsi="Arial" w:cs="Arial"/>
                <w:color w:val="000000"/>
                <w:kern w:val="0"/>
                <w:sz w:val="20"/>
                <w:szCs w:val="20"/>
              </w:rPr>
              <w:t>80.52</w:t>
            </w: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30.00</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50.52</w:t>
            </w:r>
          </w:p>
        </w:tc>
        <w:tc>
          <w:tcPr>
            <w:tcW w:w="121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22.31</w:t>
            </w:r>
          </w:p>
        </w:tc>
        <w:tc>
          <w:tcPr>
            <w:tcW w:w="806" w:type="dxa"/>
            <w:tcBorders>
              <w:top w:val="nil"/>
              <w:left w:val="nil"/>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Arial" w:hAnsi="Arial" w:cs="Arial"/>
                <w:color w:val="000000"/>
                <w:kern w:val="0"/>
                <w:sz w:val="20"/>
                <w:szCs w:val="20"/>
              </w:rPr>
              <w:t>76.45</w:t>
            </w:r>
          </w:p>
        </w:tc>
        <w:tc>
          <w:tcPr>
            <w:tcW w:w="1560" w:type="dxa"/>
            <w:tcBorders>
              <w:top w:val="nil"/>
              <w:left w:val="nil"/>
              <w:bottom w:val="single" w:color="auto" w:sz="4" w:space="0"/>
              <w:right w:val="single" w:color="auto" w:sz="4" w:space="0"/>
            </w:tcBorders>
          </w:tcPr>
          <w:p>
            <w:pPr>
              <w:widowControl/>
              <w:ind w:firstLine="300" w:firstLineChars="15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0.00</w:t>
            </w:r>
          </w:p>
        </w:tc>
        <w:tc>
          <w:tcPr>
            <w:tcW w:w="806" w:type="dxa"/>
            <w:tcBorders>
              <w:top w:val="nil"/>
              <w:left w:val="nil"/>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Arial" w:hAnsi="Arial" w:cs="Arial"/>
                <w:color w:val="000000"/>
                <w:kern w:val="0"/>
                <w:sz w:val="20"/>
                <w:szCs w:val="20"/>
              </w:rPr>
              <w:t>65.57</w:t>
            </w:r>
          </w:p>
        </w:tc>
        <w:tc>
          <w:tcPr>
            <w:tcW w:w="1398" w:type="dxa"/>
            <w:tcBorders>
              <w:top w:val="nil"/>
              <w:left w:val="nil"/>
              <w:bottom w:val="single" w:color="auto" w:sz="4" w:space="0"/>
              <w:right w:val="single" w:color="auto" w:sz="4" w:space="0"/>
            </w:tcBorders>
          </w:tcPr>
          <w:p>
            <w:pPr>
              <w:widowControl/>
              <w:ind w:firstLine="300" w:firstLineChars="150"/>
              <w:jc w:val="left"/>
              <w:rPr>
                <w:rFonts w:ascii="Arial" w:hAnsi="Arial" w:cs="Arial"/>
                <w:color w:val="000000"/>
                <w:kern w:val="0"/>
                <w:sz w:val="20"/>
                <w:szCs w:val="20"/>
              </w:rPr>
            </w:pPr>
            <w:r>
              <w:rPr>
                <w:rFonts w:hint="eastAsia" w:ascii="Arial" w:hAnsi="Arial" w:cs="Arial"/>
                <w:color w:val="000000"/>
                <w:kern w:val="0"/>
                <w:sz w:val="20"/>
                <w:szCs w:val="20"/>
              </w:rPr>
              <w:t>27.14</w:t>
            </w:r>
          </w:p>
        </w:tc>
        <w:tc>
          <w:tcPr>
            <w:tcW w:w="1208" w:type="dxa"/>
            <w:tcBorders>
              <w:top w:val="nil"/>
              <w:left w:val="nil"/>
              <w:bottom w:val="single" w:color="auto" w:sz="4" w:space="0"/>
              <w:right w:val="single" w:color="auto" w:sz="4" w:space="0"/>
            </w:tcBorders>
          </w:tcPr>
          <w:p>
            <w:pPr>
              <w:widowControl/>
              <w:ind w:firstLine="300" w:firstLineChars="150"/>
              <w:jc w:val="left"/>
              <w:rPr>
                <w:rFonts w:ascii="Arial" w:hAnsi="Arial" w:cs="Arial"/>
                <w:color w:val="000000"/>
                <w:kern w:val="0"/>
                <w:sz w:val="20"/>
                <w:szCs w:val="20"/>
              </w:rPr>
            </w:pPr>
            <w:r>
              <w:rPr>
                <w:rFonts w:hint="eastAsia" w:ascii="Arial" w:hAnsi="Arial" w:cs="Arial"/>
                <w:color w:val="000000"/>
                <w:kern w:val="0"/>
                <w:sz w:val="20"/>
                <w:szCs w:val="20"/>
              </w:rPr>
              <w:t>38.43</w:t>
            </w:r>
          </w:p>
        </w:tc>
        <w:tc>
          <w:tcPr>
            <w:tcW w:w="118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10.88</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注：本表反映部门本年度“三公”经费支出预决算情况。其中，2019年度预算数为“三公”经费年初预算数，决算数是包括当年一般公共预算财政拨款和以前年度结转资金安排的实际支出。</w:t>
      </w:r>
    </w:p>
    <w:tbl>
      <w:tblPr>
        <w:tblStyle w:val="4"/>
        <w:tblW w:w="14538" w:type="dxa"/>
        <w:tblInd w:w="93" w:type="dxa"/>
        <w:tblLayout w:type="autofit"/>
        <w:tblCellMar>
          <w:top w:w="0" w:type="dxa"/>
          <w:left w:w="108" w:type="dxa"/>
          <w:bottom w:w="0" w:type="dxa"/>
          <w:right w:w="108" w:type="dxa"/>
        </w:tblCellMar>
      </w:tblPr>
      <w:tblGrid>
        <w:gridCol w:w="416"/>
        <w:gridCol w:w="416"/>
        <w:gridCol w:w="416"/>
        <w:gridCol w:w="1640"/>
        <w:gridCol w:w="1430"/>
        <w:gridCol w:w="660"/>
        <w:gridCol w:w="940"/>
        <w:gridCol w:w="840"/>
        <w:gridCol w:w="680"/>
        <w:gridCol w:w="820"/>
        <w:gridCol w:w="830"/>
        <w:gridCol w:w="740"/>
        <w:gridCol w:w="820"/>
        <w:gridCol w:w="1430"/>
        <w:gridCol w:w="780"/>
        <w:gridCol w:w="840"/>
        <w:gridCol w:w="840"/>
      </w:tblGrid>
      <w:tr>
        <w:tblPrEx>
          <w:tblCellMar>
            <w:top w:w="0" w:type="dxa"/>
            <w:left w:w="108" w:type="dxa"/>
            <w:bottom w:w="0" w:type="dxa"/>
            <w:right w:w="108" w:type="dxa"/>
          </w:tblCellMar>
        </w:tblPrEx>
        <w:trPr>
          <w:trHeight w:val="450" w:hRule="atLeast"/>
        </w:trPr>
        <w:tc>
          <w:tcPr>
            <w:tcW w:w="14538" w:type="dxa"/>
            <w:gridSpan w:val="17"/>
            <w:tcBorders>
              <w:top w:val="nil"/>
              <w:left w:val="nil"/>
              <w:bottom w:val="nil"/>
              <w:right w:val="nil"/>
            </w:tcBorders>
            <w:shd w:val="clear" w:color="000000" w:fill="FFFFFF"/>
            <w:noWrap/>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表八：政府性基金预算财政拨款收入支出决算表</w:t>
            </w:r>
          </w:p>
        </w:tc>
      </w:tr>
      <w:tr>
        <w:tblPrEx>
          <w:tblCellMar>
            <w:top w:w="0" w:type="dxa"/>
            <w:left w:w="108" w:type="dxa"/>
            <w:bottom w:w="0" w:type="dxa"/>
            <w:right w:w="108" w:type="dxa"/>
          </w:tblCellMar>
        </w:tblPrEx>
        <w:trPr>
          <w:trHeight w:val="270" w:hRule="atLeast"/>
        </w:trPr>
        <w:tc>
          <w:tcPr>
            <w:tcW w:w="14538" w:type="dxa"/>
            <w:gridSpan w:val="17"/>
            <w:tcBorders>
              <w:top w:val="nil"/>
              <w:left w:val="nil"/>
              <w:bottom w:val="single" w:color="auto" w:sz="4" w:space="0"/>
              <w:right w:val="nil"/>
            </w:tcBorders>
            <w:shd w:val="clear" w:color="000000" w:fill="FFFFFF"/>
            <w:noWrap/>
            <w:vAlign w:val="bottom"/>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单位：万元</w:t>
            </w:r>
          </w:p>
        </w:tc>
      </w:tr>
      <w:tr>
        <w:tblPrEx>
          <w:tblCellMar>
            <w:top w:w="0" w:type="dxa"/>
            <w:left w:w="108" w:type="dxa"/>
            <w:bottom w:w="0" w:type="dxa"/>
            <w:right w:w="108" w:type="dxa"/>
          </w:tblCellMar>
        </w:tblPrEx>
        <w:trPr>
          <w:trHeight w:val="600" w:hRule="atLeast"/>
        </w:trPr>
        <w:tc>
          <w:tcPr>
            <w:tcW w:w="124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科目编码</w:t>
            </w:r>
          </w:p>
        </w:tc>
        <w:tc>
          <w:tcPr>
            <w:tcW w:w="1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科目名称</w:t>
            </w:r>
          </w:p>
        </w:tc>
        <w:tc>
          <w:tcPr>
            <w:tcW w:w="303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年初结转和结余</w:t>
            </w:r>
          </w:p>
        </w:tc>
        <w:tc>
          <w:tcPr>
            <w:tcW w:w="234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本年收入</w:t>
            </w:r>
          </w:p>
        </w:tc>
        <w:tc>
          <w:tcPr>
            <w:tcW w:w="239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本年支出</w:t>
            </w:r>
          </w:p>
        </w:tc>
        <w:tc>
          <w:tcPr>
            <w:tcW w:w="389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年末结转和结余</w:t>
            </w:r>
          </w:p>
        </w:tc>
      </w:tr>
      <w:tr>
        <w:tblPrEx>
          <w:tblCellMar>
            <w:top w:w="0" w:type="dxa"/>
            <w:left w:w="108" w:type="dxa"/>
            <w:bottom w:w="0" w:type="dxa"/>
            <w:right w:w="108" w:type="dxa"/>
          </w:tblCellMar>
        </w:tblPrEx>
        <w:trPr>
          <w:trHeight w:val="600" w:hRule="atLeast"/>
        </w:trPr>
        <w:tc>
          <w:tcPr>
            <w:tcW w:w="124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基本支出结转</w:t>
            </w:r>
          </w:p>
        </w:tc>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项目支出结转和结余</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支出</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支出</w:t>
            </w:r>
          </w:p>
        </w:tc>
        <w:tc>
          <w:tcPr>
            <w:tcW w:w="8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支出</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支出</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基本支出结转</w:t>
            </w:r>
          </w:p>
        </w:tc>
        <w:tc>
          <w:tcPr>
            <w:tcW w:w="16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项目支出结转和结余</w:t>
            </w:r>
          </w:p>
        </w:tc>
      </w:tr>
      <w:tr>
        <w:tblPrEx>
          <w:tblCellMar>
            <w:top w:w="0" w:type="dxa"/>
            <w:left w:w="108" w:type="dxa"/>
            <w:bottom w:w="0" w:type="dxa"/>
            <w:right w:w="108" w:type="dxa"/>
          </w:tblCellMar>
        </w:tblPrEx>
        <w:trPr>
          <w:trHeight w:val="650" w:hRule="atLeast"/>
        </w:trPr>
        <w:tc>
          <w:tcPr>
            <w:tcW w:w="124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4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4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项目支出结转</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项目支出结余</w:t>
            </w:r>
          </w:p>
        </w:tc>
      </w:tr>
      <w:tr>
        <w:tblPrEx>
          <w:tblCellMar>
            <w:top w:w="0" w:type="dxa"/>
            <w:left w:w="108" w:type="dxa"/>
            <w:bottom w:w="0" w:type="dxa"/>
            <w:right w:w="108" w:type="dxa"/>
          </w:tblCellMar>
        </w:tblPrEx>
        <w:trPr>
          <w:trHeight w:val="402" w:hRule="atLeast"/>
        </w:trPr>
        <w:tc>
          <w:tcPr>
            <w:tcW w:w="4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类</w:t>
            </w:r>
          </w:p>
        </w:tc>
        <w:tc>
          <w:tcPr>
            <w:tcW w:w="4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款</w:t>
            </w:r>
          </w:p>
        </w:tc>
        <w:tc>
          <w:tcPr>
            <w:tcW w:w="4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1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栏次</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4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r>
      <w:tr>
        <w:tblPrEx>
          <w:tblCellMar>
            <w:top w:w="0" w:type="dxa"/>
            <w:left w:w="108" w:type="dxa"/>
            <w:bottom w:w="0" w:type="dxa"/>
            <w:right w:w="108" w:type="dxa"/>
          </w:tblCellMar>
        </w:tblPrEx>
        <w:trPr>
          <w:trHeight w:val="480" w:hRule="atLeast"/>
        </w:trPr>
        <w:tc>
          <w:tcPr>
            <w:tcW w:w="4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278.98</w:t>
            </w:r>
          </w:p>
        </w:tc>
        <w:tc>
          <w:tcPr>
            <w:tcW w:w="6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9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278.98</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278.80</w:t>
            </w:r>
          </w:p>
        </w:tc>
        <w:tc>
          <w:tcPr>
            <w:tcW w:w="6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278.80</w:t>
            </w:r>
          </w:p>
        </w:tc>
        <w:tc>
          <w:tcPr>
            <w:tcW w:w="8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278.80</w:t>
            </w:r>
          </w:p>
        </w:tc>
        <w:tc>
          <w:tcPr>
            <w:tcW w:w="7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278.80</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278.98</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278.98</w:t>
            </w:r>
          </w:p>
        </w:tc>
        <w:tc>
          <w:tcPr>
            <w:tcW w:w="8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r>
      <w:tr>
        <w:tblPrEx>
          <w:tblCellMar>
            <w:top w:w="0" w:type="dxa"/>
            <w:left w:w="108" w:type="dxa"/>
            <w:bottom w:w="0" w:type="dxa"/>
            <w:right w:w="108" w:type="dxa"/>
          </w:tblCellMar>
        </w:tblPrEx>
        <w:trPr>
          <w:trHeight w:val="480" w:hRule="atLeast"/>
        </w:trPr>
        <w:tc>
          <w:tcPr>
            <w:tcW w:w="1248"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212</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城乡社区支出</w:t>
            </w:r>
          </w:p>
        </w:tc>
        <w:tc>
          <w:tcPr>
            <w:tcW w:w="1430" w:type="dxa"/>
            <w:tcBorders>
              <w:top w:val="nil"/>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278.98</w:t>
            </w:r>
          </w:p>
        </w:tc>
        <w:tc>
          <w:tcPr>
            <w:tcW w:w="660" w:type="dxa"/>
            <w:tcBorders>
              <w:top w:val="nil"/>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940" w:type="dxa"/>
            <w:tcBorders>
              <w:top w:val="nil"/>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278.98</w:t>
            </w:r>
          </w:p>
        </w:tc>
        <w:tc>
          <w:tcPr>
            <w:tcW w:w="840" w:type="dxa"/>
            <w:tcBorders>
              <w:top w:val="nil"/>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278.80</w:t>
            </w:r>
          </w:p>
        </w:tc>
        <w:tc>
          <w:tcPr>
            <w:tcW w:w="680" w:type="dxa"/>
            <w:tcBorders>
              <w:top w:val="nil"/>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820" w:type="dxa"/>
            <w:tcBorders>
              <w:top w:val="nil"/>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278.80</w:t>
            </w:r>
          </w:p>
        </w:tc>
        <w:tc>
          <w:tcPr>
            <w:tcW w:w="830" w:type="dxa"/>
            <w:tcBorders>
              <w:top w:val="nil"/>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278.80</w:t>
            </w:r>
          </w:p>
        </w:tc>
        <w:tc>
          <w:tcPr>
            <w:tcW w:w="740" w:type="dxa"/>
            <w:tcBorders>
              <w:top w:val="nil"/>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820" w:type="dxa"/>
            <w:tcBorders>
              <w:top w:val="nil"/>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278.80</w:t>
            </w:r>
          </w:p>
        </w:tc>
        <w:tc>
          <w:tcPr>
            <w:tcW w:w="1430" w:type="dxa"/>
            <w:tcBorders>
              <w:top w:val="nil"/>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278.98</w:t>
            </w:r>
          </w:p>
        </w:tc>
        <w:tc>
          <w:tcPr>
            <w:tcW w:w="780" w:type="dxa"/>
            <w:tcBorders>
              <w:top w:val="nil"/>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840" w:type="dxa"/>
            <w:tcBorders>
              <w:top w:val="nil"/>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278.98</w:t>
            </w:r>
          </w:p>
        </w:tc>
        <w:tc>
          <w:tcPr>
            <w:tcW w:w="840" w:type="dxa"/>
            <w:tcBorders>
              <w:top w:val="nil"/>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r>
      <w:tr>
        <w:tblPrEx>
          <w:tblCellMar>
            <w:top w:w="0" w:type="dxa"/>
            <w:left w:w="108" w:type="dxa"/>
            <w:bottom w:w="0" w:type="dxa"/>
            <w:right w:w="108" w:type="dxa"/>
          </w:tblCellMar>
        </w:tblPrEx>
        <w:trPr>
          <w:trHeight w:val="1395" w:hRule="atLeast"/>
        </w:trPr>
        <w:tc>
          <w:tcPr>
            <w:tcW w:w="1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21208</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国有土地使用权出让收入及对应专项债务收入安排的支出</w:t>
            </w:r>
          </w:p>
        </w:tc>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278.98</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278.98</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278.80</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278.80</w:t>
            </w:r>
          </w:p>
        </w:tc>
        <w:tc>
          <w:tcPr>
            <w:tcW w:w="8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278.80</w:t>
            </w:r>
          </w:p>
        </w:tc>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278.80</w:t>
            </w:r>
          </w:p>
        </w:tc>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278.98</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278.98</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r>
      <w:tr>
        <w:tblPrEx>
          <w:tblCellMar>
            <w:top w:w="0" w:type="dxa"/>
            <w:left w:w="108" w:type="dxa"/>
            <w:bottom w:w="0" w:type="dxa"/>
            <w:right w:w="108" w:type="dxa"/>
          </w:tblCellMar>
        </w:tblPrEx>
        <w:trPr>
          <w:trHeight w:val="915" w:hRule="atLeast"/>
        </w:trPr>
        <w:tc>
          <w:tcPr>
            <w:tcW w:w="1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2120804</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农村基础设施建设支出</w:t>
            </w:r>
          </w:p>
        </w:tc>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278.80</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278.80</w:t>
            </w:r>
          </w:p>
        </w:tc>
        <w:tc>
          <w:tcPr>
            <w:tcW w:w="8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278.80</w:t>
            </w:r>
          </w:p>
        </w:tc>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278.80</w:t>
            </w:r>
          </w:p>
        </w:tc>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r>
      <w:tr>
        <w:tblPrEx>
          <w:tblCellMar>
            <w:top w:w="0" w:type="dxa"/>
            <w:left w:w="108" w:type="dxa"/>
            <w:bottom w:w="0" w:type="dxa"/>
            <w:right w:w="108" w:type="dxa"/>
          </w:tblCellMar>
        </w:tblPrEx>
        <w:trPr>
          <w:trHeight w:val="1110" w:hRule="atLeast"/>
        </w:trPr>
        <w:tc>
          <w:tcPr>
            <w:tcW w:w="1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2120899</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其他国有土地使用权出让收入安排的支出</w:t>
            </w:r>
          </w:p>
        </w:tc>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278.98</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278.98</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8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278.98</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278.98</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r>
    </w:tbl>
    <w:p>
      <w:pPr>
        <w:spacing w:line="560" w:lineRule="exact"/>
        <w:rPr>
          <w:rFonts w:ascii="仿宋_GB2312" w:eastAsia="仿宋_GB2312"/>
          <w:b/>
          <w:sz w:val="32"/>
          <w:szCs w:val="32"/>
        </w:r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注：本表反映部门本年度政府性基金预算财政拨款收入支出及结转和结余情况。</w:t>
      </w:r>
    </w:p>
    <w:p>
      <w:pPr>
        <w:spacing w:line="56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柳州市交通运输局</w:t>
      </w:r>
      <w:r>
        <w:rPr>
          <w:rFonts w:hint="eastAsia" w:ascii="仿宋_GB2312" w:eastAsia="仿宋_GB2312"/>
          <w:b/>
          <w:sz w:val="32"/>
          <w:szCs w:val="32"/>
        </w:rPr>
        <w:t>2019年度部门决算情况说明</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2019</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2019年度收入总计21670.95万元，支出总计21670.95万元，与2018年相比，收入增长了739.23万，支出增长了739.23万；收入增长了3.5%，支出增长了3.5%。</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2019</w:t>
      </w:r>
      <w:r>
        <w:rPr>
          <w:rFonts w:hint="eastAsia" w:ascii="仿宋_GB2312" w:eastAsia="仿宋_GB2312" w:cs="仿宋_GB2312"/>
          <w:b/>
          <w:kern w:val="0"/>
          <w:sz w:val="32"/>
          <w:szCs w:val="32"/>
        </w:rPr>
        <w:t>年度收入决算情况</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本年收入总计19104.05万元 ，其中：一般公共预算财政拨款收入</w:t>
      </w:r>
      <w:r>
        <w:rPr>
          <w:rFonts w:ascii="仿宋_GB2312" w:eastAsia="仿宋_GB2312" w:cs="仿宋_GB2312"/>
          <w:bCs/>
          <w:kern w:val="0"/>
          <w:sz w:val="32"/>
          <w:szCs w:val="32"/>
        </w:rPr>
        <w:t>17839.81</w:t>
      </w:r>
      <w:r>
        <w:rPr>
          <w:rFonts w:hint="eastAsia" w:ascii="仿宋_GB2312" w:eastAsia="仿宋_GB2312" w:cs="仿宋_GB2312"/>
          <w:bCs/>
          <w:kern w:val="0"/>
          <w:sz w:val="32"/>
          <w:szCs w:val="32"/>
        </w:rPr>
        <w:t>万元；占比93.4% ；政府基金预算财政拨款收入</w:t>
      </w:r>
      <w:r>
        <w:rPr>
          <w:rFonts w:ascii="仿宋_GB2312" w:eastAsia="仿宋_GB2312" w:cs="仿宋_GB2312"/>
          <w:bCs/>
          <w:kern w:val="0"/>
          <w:sz w:val="32"/>
          <w:szCs w:val="32"/>
        </w:rPr>
        <w:t>278.8</w:t>
      </w:r>
      <w:r>
        <w:rPr>
          <w:rFonts w:hint="eastAsia" w:ascii="仿宋_GB2312" w:eastAsia="仿宋_GB2312" w:cs="仿宋_GB2312"/>
          <w:bCs/>
          <w:kern w:val="0"/>
          <w:sz w:val="32"/>
          <w:szCs w:val="32"/>
        </w:rPr>
        <w:t>万元；占比1.5%；上级补助收入</w:t>
      </w:r>
      <w:r>
        <w:rPr>
          <w:rFonts w:ascii="仿宋_GB2312" w:eastAsia="仿宋_GB2312" w:cs="仿宋_GB2312"/>
          <w:bCs/>
          <w:kern w:val="0"/>
          <w:sz w:val="32"/>
          <w:szCs w:val="32"/>
        </w:rPr>
        <w:t>980.65</w:t>
      </w:r>
      <w:r>
        <w:rPr>
          <w:rFonts w:hint="eastAsia" w:ascii="仿宋_GB2312" w:eastAsia="仿宋_GB2312" w:cs="仿宋_GB2312"/>
          <w:bCs/>
          <w:kern w:val="0"/>
          <w:sz w:val="32"/>
          <w:szCs w:val="32"/>
        </w:rPr>
        <w:t>万元，占比5.07%；事业收入0万元，占比0 ；事业单位经营收入0万元，占比0；附属单位上缴收入0万元，占比0；其他收入4.79万元，占比0.03%。</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2019</w:t>
      </w:r>
      <w:r>
        <w:rPr>
          <w:rFonts w:hint="eastAsia" w:ascii="仿宋_GB2312" w:eastAsia="仿宋_GB2312" w:cs="仿宋_GB2312"/>
          <w:b/>
          <w:kern w:val="0"/>
          <w:sz w:val="32"/>
          <w:szCs w:val="32"/>
        </w:rPr>
        <w:t>年度支出决算情况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w:t>
      </w:r>
      <w:r>
        <w:rPr>
          <w:rFonts w:ascii="仿宋_GB2312" w:eastAsia="仿宋_GB2312" w:cs="仿宋_GB2312"/>
          <w:bCs/>
          <w:kern w:val="0"/>
          <w:sz w:val="32"/>
          <w:szCs w:val="32"/>
        </w:rPr>
        <w:t>18735.64</w:t>
      </w:r>
      <w:r>
        <w:rPr>
          <w:rFonts w:hint="eastAsia" w:ascii="仿宋_GB2312" w:eastAsia="仿宋_GB2312" w:cs="仿宋_GB2312"/>
          <w:bCs/>
          <w:kern w:val="0"/>
          <w:sz w:val="32"/>
          <w:szCs w:val="32"/>
        </w:rPr>
        <w:t>万元，其中：基本支出</w:t>
      </w:r>
      <w:r>
        <w:rPr>
          <w:rFonts w:ascii="仿宋_GB2312" w:eastAsia="仿宋_GB2312" w:cs="仿宋_GB2312"/>
          <w:bCs/>
          <w:kern w:val="0"/>
          <w:sz w:val="32"/>
          <w:szCs w:val="32"/>
        </w:rPr>
        <w:t>2746.96</w:t>
      </w:r>
      <w:r>
        <w:rPr>
          <w:rFonts w:hint="eastAsia" w:ascii="仿宋_GB2312" w:eastAsia="仿宋_GB2312" w:cs="仿宋_GB2312"/>
          <w:bCs/>
          <w:kern w:val="0"/>
          <w:sz w:val="32"/>
          <w:szCs w:val="32"/>
        </w:rPr>
        <w:t>万元，占14.7%；项目支出</w:t>
      </w:r>
      <w:r>
        <w:rPr>
          <w:rFonts w:ascii="仿宋_GB2312" w:eastAsia="仿宋_GB2312" w:cs="仿宋_GB2312"/>
          <w:bCs/>
          <w:kern w:val="0"/>
          <w:sz w:val="32"/>
          <w:szCs w:val="32"/>
        </w:rPr>
        <w:t>15988.67</w:t>
      </w:r>
      <w:r>
        <w:rPr>
          <w:rFonts w:hint="eastAsia" w:ascii="仿宋_GB2312" w:eastAsia="仿宋_GB2312" w:cs="仿宋_GB2312"/>
          <w:bCs/>
          <w:kern w:val="0"/>
          <w:sz w:val="32"/>
          <w:szCs w:val="32"/>
        </w:rPr>
        <w:t>万元，占85.3%；经营支出0万元，占 0%。</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2019</w:t>
      </w:r>
      <w:r>
        <w:rPr>
          <w:rFonts w:hint="eastAsia" w:ascii="仿宋_GB2312" w:eastAsia="仿宋_GB2312" w:cs="仿宋_GB2312"/>
          <w:b/>
          <w:kern w:val="0"/>
          <w:sz w:val="32"/>
          <w:szCs w:val="32"/>
        </w:rPr>
        <w:t>年度财政拨款收入支出决算情况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 2019年度财政拨款收入总决算18118.61万元，支出总决算</w:t>
      </w:r>
      <w:r>
        <w:rPr>
          <w:rFonts w:ascii="仿宋_GB2312" w:eastAsia="仿宋_GB2312" w:cs="仿宋_GB2312"/>
          <w:bCs/>
          <w:kern w:val="0"/>
          <w:sz w:val="32"/>
          <w:szCs w:val="32"/>
        </w:rPr>
        <w:t>18464.73</w:t>
      </w:r>
      <w:r>
        <w:rPr>
          <w:rFonts w:hint="eastAsia" w:ascii="仿宋_GB2312" w:eastAsia="仿宋_GB2312" w:cs="仿宋_GB2312"/>
          <w:bCs/>
          <w:kern w:val="0"/>
          <w:sz w:val="32"/>
          <w:szCs w:val="32"/>
        </w:rPr>
        <w:t>万元。与 2018 年相比，财政拨款收入增加4695.34万元，增长34.9%，财政拨款支出增加496.54万元，增长2.8%。</w:t>
      </w:r>
    </w:p>
    <w:p>
      <w:pPr>
        <w:autoSpaceDE w:val="0"/>
        <w:autoSpaceDN w:val="0"/>
        <w:adjustRightInd w:val="0"/>
        <w:spacing w:line="56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2019年度一般公共预算财政拨款支出决算情况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2019年度财政拨款支出</w:t>
      </w:r>
      <w:r>
        <w:rPr>
          <w:rFonts w:ascii="仿宋_GB2312" w:eastAsia="仿宋_GB2312" w:cs="仿宋_GB2312"/>
          <w:bCs/>
          <w:kern w:val="0"/>
          <w:sz w:val="32"/>
          <w:szCs w:val="32"/>
        </w:rPr>
        <w:t>18464.73</w:t>
      </w:r>
      <w:r>
        <w:rPr>
          <w:rFonts w:hint="eastAsia" w:ascii="仿宋_GB2312" w:eastAsia="仿宋_GB2312" w:cs="仿宋_GB2312"/>
          <w:bCs/>
          <w:kern w:val="0"/>
          <w:sz w:val="32"/>
          <w:szCs w:val="32"/>
        </w:rPr>
        <w:t>万元，占本年支出合计的 99.5%。与 2018 年相比，财政拨款支出增加496.54万元，增长2.8%。</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2019 年度财政拨款支出 </w:t>
      </w:r>
      <w:r>
        <w:rPr>
          <w:rFonts w:ascii="仿宋_GB2312" w:eastAsia="仿宋_GB2312" w:cs="仿宋_GB2312"/>
          <w:bCs/>
          <w:kern w:val="0"/>
          <w:sz w:val="32"/>
          <w:szCs w:val="32"/>
        </w:rPr>
        <w:t>18464.73</w:t>
      </w:r>
      <w:r>
        <w:rPr>
          <w:rFonts w:hint="eastAsia" w:ascii="仿宋_GB2312" w:eastAsia="仿宋_GB2312" w:cs="仿宋_GB2312"/>
          <w:bCs/>
          <w:kern w:val="0"/>
          <w:sz w:val="32"/>
          <w:szCs w:val="32"/>
        </w:rPr>
        <w:t>万元，主要用于以下方面：社会保障和就业支出</w:t>
      </w:r>
      <w:r>
        <w:rPr>
          <w:rFonts w:ascii="仿宋_GB2312" w:eastAsia="仿宋_GB2312" w:cs="仿宋_GB2312"/>
          <w:bCs/>
          <w:kern w:val="0"/>
          <w:sz w:val="32"/>
          <w:szCs w:val="32"/>
        </w:rPr>
        <w:t>407.36</w:t>
      </w:r>
      <w:r>
        <w:rPr>
          <w:rFonts w:hint="eastAsia" w:ascii="仿宋_GB2312" w:eastAsia="仿宋_GB2312" w:cs="仿宋_GB2312"/>
          <w:bCs/>
          <w:kern w:val="0"/>
          <w:sz w:val="32"/>
          <w:szCs w:val="32"/>
        </w:rPr>
        <w:t>万元，占2.2%；卫生健康支出</w:t>
      </w:r>
      <w:r>
        <w:rPr>
          <w:rFonts w:ascii="仿宋_GB2312" w:eastAsia="仿宋_GB2312" w:cs="仿宋_GB2312"/>
          <w:bCs/>
          <w:kern w:val="0"/>
          <w:sz w:val="32"/>
          <w:szCs w:val="32"/>
        </w:rPr>
        <w:t>153.02</w:t>
      </w:r>
      <w:r>
        <w:rPr>
          <w:rFonts w:hint="eastAsia" w:ascii="仿宋_GB2312" w:eastAsia="仿宋_GB2312" w:cs="仿宋_GB2312"/>
          <w:bCs/>
          <w:kern w:val="0"/>
          <w:sz w:val="32"/>
          <w:szCs w:val="32"/>
        </w:rPr>
        <w:t>万元，占0.8%；节能环保支出</w:t>
      </w:r>
      <w:r>
        <w:rPr>
          <w:rFonts w:ascii="仿宋_GB2312" w:eastAsia="仿宋_GB2312" w:cs="仿宋_GB2312"/>
          <w:bCs/>
          <w:kern w:val="0"/>
          <w:sz w:val="32"/>
          <w:szCs w:val="32"/>
        </w:rPr>
        <w:t>1165.26</w:t>
      </w:r>
      <w:r>
        <w:rPr>
          <w:rFonts w:hint="eastAsia" w:ascii="仿宋_GB2312" w:eastAsia="仿宋_GB2312" w:cs="仿宋_GB2312"/>
          <w:bCs/>
          <w:kern w:val="0"/>
          <w:sz w:val="32"/>
          <w:szCs w:val="32"/>
        </w:rPr>
        <w:t>万元，占6.3%；城乡社区支出</w:t>
      </w:r>
      <w:r>
        <w:rPr>
          <w:rFonts w:ascii="仿宋_GB2312" w:eastAsia="仿宋_GB2312" w:cs="仿宋_GB2312"/>
          <w:bCs/>
          <w:kern w:val="0"/>
          <w:sz w:val="32"/>
          <w:szCs w:val="32"/>
        </w:rPr>
        <w:t>409.8</w:t>
      </w:r>
      <w:r>
        <w:rPr>
          <w:rFonts w:hint="eastAsia" w:ascii="仿宋_GB2312" w:eastAsia="仿宋_GB2312" w:cs="仿宋_GB2312"/>
          <w:bCs/>
          <w:kern w:val="0"/>
          <w:sz w:val="32"/>
          <w:szCs w:val="32"/>
        </w:rPr>
        <w:t>万元，占2.2%；农林水支出</w:t>
      </w:r>
      <w:r>
        <w:rPr>
          <w:rFonts w:ascii="仿宋_GB2312" w:eastAsia="仿宋_GB2312" w:cs="仿宋_GB2312"/>
          <w:bCs/>
          <w:kern w:val="0"/>
          <w:sz w:val="32"/>
          <w:szCs w:val="32"/>
        </w:rPr>
        <w:t>1060</w:t>
      </w:r>
      <w:r>
        <w:rPr>
          <w:rFonts w:hint="eastAsia" w:ascii="仿宋_GB2312" w:eastAsia="仿宋_GB2312" w:cs="仿宋_GB2312"/>
          <w:bCs/>
          <w:kern w:val="0"/>
          <w:sz w:val="32"/>
          <w:szCs w:val="32"/>
        </w:rPr>
        <w:t>万元，占5.7%；交通运输支出</w:t>
      </w:r>
      <w:r>
        <w:rPr>
          <w:rFonts w:ascii="仿宋_GB2312" w:eastAsia="仿宋_GB2312" w:cs="仿宋_GB2312"/>
          <w:bCs/>
          <w:kern w:val="0"/>
          <w:sz w:val="32"/>
          <w:szCs w:val="32"/>
        </w:rPr>
        <w:t>15079.14</w:t>
      </w:r>
      <w:r>
        <w:rPr>
          <w:rFonts w:hint="eastAsia" w:ascii="仿宋_GB2312" w:eastAsia="仿宋_GB2312" w:cs="仿宋_GB2312"/>
          <w:bCs/>
          <w:kern w:val="0"/>
          <w:sz w:val="32"/>
          <w:szCs w:val="32"/>
        </w:rPr>
        <w:t>万元，占81.7%；住房保障支出</w:t>
      </w:r>
      <w:r>
        <w:rPr>
          <w:rFonts w:ascii="仿宋_GB2312" w:eastAsia="仿宋_GB2312" w:cs="仿宋_GB2312"/>
          <w:bCs/>
          <w:kern w:val="0"/>
          <w:sz w:val="32"/>
          <w:szCs w:val="32"/>
        </w:rPr>
        <w:t>190.16</w:t>
      </w:r>
      <w:r>
        <w:rPr>
          <w:rFonts w:hint="eastAsia" w:ascii="仿宋_GB2312" w:eastAsia="仿宋_GB2312" w:cs="仿宋_GB2312"/>
          <w:bCs/>
          <w:kern w:val="0"/>
          <w:sz w:val="32"/>
          <w:szCs w:val="32"/>
        </w:rPr>
        <w:t>万元，占1%。</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2019 年度财政拨款支出年初预算为5335.55万元，支出决算为18464.73万元，完成年初预算的346.1 %。决算数大于预算数的主要原因：一是年中追加安排财政拨款支出预算，涉及项目主要为中央转移支付的成品油价格补助11757.28万元，用于对公交车、出租车及农村客运的补助；二是部分支出按规定，通过使用以前年度财政拨款结转资金解决。其中：</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1.交通运输支出（类）成品油价格改革对交通运输的补贴（款）对农村道路客运的补贴（项）。年初预算为0万元，支出决算为1247.42万元。决算数大于预算数的主要原因是</w:t>
      </w:r>
      <w:r>
        <w:rPr>
          <w:rFonts w:hint="eastAsia" w:ascii="仿宋_GB2312" w:eastAsia="仿宋_GB2312"/>
          <w:color w:val="333333"/>
          <w:sz w:val="32"/>
          <w:szCs w:val="32"/>
          <w:shd w:val="clear" w:color="auto" w:fill="FFFFFF"/>
        </w:rPr>
        <w:t>年中中央转移支付资金下拨。</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 交通运输支出（类）成品油价格改革对交通运输的补贴（款）成品油价格改革补贴其他支出（项）。年初预算为0万元，支出决算为 1038.6万元。决算数大于预算数的主要原因是年中中央转移支付资金下拨。</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 交通运输支出（类）公路水路运输（款）公路养护（项）。年初 预算为0万元，支出决算为170万元。决算数大于预算数的主要原因是年中市财政下达资金。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 交通运输支出（类）公路水路运输（款）公路运输管理（项）。年初预算为1344.03万元，支出决算为1472万元。决算数大于预算数的主要原因是动用上年结转（结余）及年中市财政下达资金。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 交通运输支出（类）公路水路运输（款）取消政府还贷二级公路收费专项支出（项）。年初预算为2592.3万元，支出决算为2662.38万元。决算数大于预算数的主要原因是使用上年结转（结余）资金支出。</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 交通运输支出（类）公路水路运输（款）其他公路水路运输支出（项）。年初预算为45.3万元，支出决算为2441.12万元。决算数大于预算数的主要原因是年中中央转移支付资金下拨及使用上年结余资金支出。</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7. 交通运输支出（类）成品油价格改革对交通运输的补贴（款） 对城市公交的补贴（项）。年初预算为0万元，支出决算为2179.54万元。决算数大于预算数的主要原因是年中中央转移支付资金下拨及使用上年结余资金支出。</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8. 交通运输支出（类）成品油价格改革对交通运输的补贴（款） 对农村道路客运的补贴（项）。年初预算为0万元，支出决算为1247.42万元。决算数大于预算数的主要原因是年中中央转移支付资金下拨、使用上年结余资金支出及年中市财政下达资金。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9. 交通运输支出（类）成品油价格改革对交通运输的补贴（款） 对出租车的补贴（项）。年初预算为0万元，支出决算为2721.03万元。决算数大于预算数的主要原因是年中中央转移支付资金下拨。</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10. 交通运输支出（类）成品油价格改革对交通运输的补贴（款） 成品油价格改革补贴其他支出（项）。年初预算为0万元，支出决算为1038.6万元。决算数大于预算数的主要原因是年中中央转移支付资金下拨。</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11. 交通运输支出（类）成品油价格改革对交通运输的补贴（款）其他交通运输支出（项）。年初预算为0万元，支出决算为421.9万元。决算数大于预算数的主要原因是年中中央转移支付资金下拨、使用上年结余资金支出及年中市财政下达资金。</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2019年度一般公共预算财政拨款基本支出决算情况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2019年度财政拨款基本支出2746.85万元，其中：</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2457.28万元，主要包括：基本工资、津贴补贴、奖金、伙食补助费、绩效工资、机关事业单位基本养老保险缴费、职业年金缴费、职工基本医疗保险缴费、公务员医疗补助缴费、其他社会保障缴费、住房公积金、医疗费、其他工资福利支出、退休费、抚恤金、生活补助、其他对个人和家庭的补助。</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公用经费289.58万元，主要包括：办公费、印刷费、手续费、水费、电费、邮电费、物业管理费、差旅费、维 修（护）费、会议费、培训费、公务接待费、劳务费、委托业务费、工会经费、福利费、公务用车运行维护费、其他交通费用、税金及附加费用、其他商品和服务支出。</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2019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 年度“三公”经费财政拨款支出预算为102.83万元，支出决算为76.45万元，完成预算的74.3%，其中：因公出国（境）费支出决算为0万元；公务用车购置及运行费支出决算为65.57万元，完成预算的81.4%；公务接待费支出决算为10.88万元，完成预算的48.8%。2019年度“三公”经费支出决算数小于预算数的主要原因是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2019年度“三公”经费财政拨款支出决算数比2018年减少2.09万元，下降2.7%，其中：因公出国（境</w:t>
      </w:r>
      <w:bookmarkStart w:id="0" w:name="_GoBack"/>
      <w:bookmarkEnd w:id="0"/>
      <w:r>
        <w:rPr>
          <w:rFonts w:hint="eastAsia" w:ascii="仿宋_GB2312" w:eastAsia="仿宋_GB2312" w:cs="仿宋_GB2312"/>
          <w:bCs/>
          <w:kern w:val="0"/>
          <w:sz w:val="32"/>
          <w:szCs w:val="32"/>
        </w:rPr>
        <w:t>）费支出决算减少0万元，下降0%；公务用车购置及运行费支出决算增加1.03万元，增长1.6 %；公务接待费支出决算减少3.12万元，下降22.3%。</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因公出国（境）费支出无发生；公务用车购置及运行费支出增长的主要原因是下属二层单位因实际工作需要产生公务用车购置及运行费，但基本与上年持平；公务接待费支出减少的主要原因是厉行节约。</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2019年度“三公”经费财政拨款支出决算中，因公出国（境）费支出决算0万元，占0%；公务用车购置及运行费支出决算65.57万元，占85.8%；公务接待费支出决算10.88万元，占14.2%。具体情况如下：  </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 因公出国（境）费支出0万元。全年安排机关和所属单位因公出国（境）团组0个，累计0人次。</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65.57万元。其中公务用车购置支出为27.14万元，为下属单位柳州市交通综合行政执法支队新购入3辆车辆。公务用车运行支出38.43万元。主要用于车辆的保险、维修保养、油耗及路桥费等。2019年，机关所属单位开支财政拨款的公务用车购置数为3辆，公务用车保有量为23辆。</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3.公务接待费支出10.88万元。其中：</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外宾接待支出0万元。2019年共接待国（境）外来访团组0个、来访外宾0人次。</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国内公务接待支出10.88万元。主要用于接待上级检查及外单位交流。2019 年共接待国内来访团组136个、来宾941人次。</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2019 年度政府性基金预算财政拨款收入支出决算情况说明 </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2019年度政府基金预算财政拨款收、支总决算 278.8万元、278.8万元。与 2018年相比，收入减少4432.09万元，支出减少4432.09万元。其中，支出情况为：</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2019年基金拨款年初预算为0万元，支出决算278.8万元。决算大于预算数主要原因：动用上年结转（结余），涉及项目为各县区2011-2015年农村公路建设。</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1.城乡社区支出（类）国有土地使用权出让收入及对应专项债务收入安排的支出（款）其他国有土地使用权出让收入安排的支出（项）。 年初预算为0万元，支出决算为278.8万元。决算数大于预算数的主要原因是动用上年结转（结余），涉及项目为各县区2011-2015年农村公路建设。</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九、</w:t>
      </w:r>
      <w:r>
        <w:rPr>
          <w:rFonts w:hint="eastAsia" w:eastAsia="仿宋_GB2312"/>
          <w:b/>
          <w:kern w:val="0"/>
          <w:sz w:val="32"/>
          <w:szCs w:val="32"/>
        </w:rPr>
        <w:t>2019</w:t>
      </w:r>
      <w:r>
        <w:rPr>
          <w:rFonts w:hint="eastAsia" w:ascii="仿宋_GB2312" w:eastAsia="仿宋_GB2312" w:cs="仿宋_GB2312"/>
          <w:b/>
          <w:kern w:val="0"/>
          <w:sz w:val="32"/>
          <w:szCs w:val="32"/>
        </w:rPr>
        <w:t xml:space="preserve"> 年度预算绩效情况说明</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（一）绩效管理工作开展情况。根据财政预算管理要求，我局组织对局机关及直属二层机构整体绩效、2019年度一般公共预算项目支出2个项目开展绩效自评。共涉及预算资金19319.06万元，自评覆盖率达到 100%。</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（二）部门决算中项目绩效自评结果。2019年项目绩效为市财政安排300万用于“城区农村公路修复养护工程”项目及市财政安排600万用于“文明示范路及县道养护补助资金”项目。</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其中：“文明示范路及县道养护补助资金”项目，预算资金执行率为83.33%。</w:t>
      </w:r>
    </w:p>
    <w:p>
      <w:pPr>
        <w:autoSpaceDE w:val="0"/>
        <w:autoSpaceDN w:val="0"/>
        <w:adjustRightInd w:val="0"/>
        <w:spacing w:line="560" w:lineRule="exact"/>
        <w:ind w:firstLine="480" w:firstLineChars="150"/>
        <w:jc w:val="left"/>
        <w:rPr>
          <w:rFonts w:ascii="仿宋_GB2312" w:eastAsia="仿宋_GB2312" w:cs="仿宋_GB2312"/>
          <w:b/>
          <w:kern w:val="0"/>
          <w:sz w:val="32"/>
          <w:szCs w:val="32"/>
        </w:rPr>
      </w:pPr>
      <w:r>
        <w:rPr>
          <w:rFonts w:hint="eastAsia" w:ascii="仿宋_GB2312" w:eastAsia="仿宋_GB2312" w:cs="仿宋_GB2312"/>
          <w:bCs/>
          <w:kern w:val="0"/>
          <w:sz w:val="32"/>
          <w:szCs w:val="32"/>
        </w:rPr>
        <w:t>“城区农村公路路面大中修”项目，预算资金执行率为25.13%。目前前期工作已完成，截止2020年四月底已完成60%工程量，预计可在2020年6月底完工。</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十、其他重要事项的情况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（一）机关运行经费支出情况。2019年度部门机关运行经费支出89.54万元，比2018年增加57.92万元，增长183.2%，增长原因为公用经费增加。</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（二）政府采购支出情况。2019年度部门政府采购支出总额859.72万元，其中：货物支出194.18万元、工程支出0万元、服务支出665.54万元。</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（三）国有资产占用情况。截至年末部门共有车辆23辆，其中：公务用车8辆；执法执勤用车5辆；其他用车10 辆；单价50万元以上通用设备1台（套），单价100 万元以上专用设备3台（套）。 </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pPr>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1"/>
        </w:numPr>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1"/>
        </w:numPr>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1"/>
        </w:numPr>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1"/>
        </w:numPr>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1"/>
        </w:numPr>
        <w:ind w:firstLine="645"/>
        <w:rPr>
          <w:rFonts w:ascii="仿宋_GB2312" w:eastAsia="仿宋_GB2312"/>
          <w:bCs/>
          <w:sz w:val="32"/>
          <w:szCs w:val="32"/>
        </w:rPr>
      </w:pPr>
      <w:r>
        <w:rPr>
          <w:rFonts w:hint="eastAsia" w:ascii="仿宋_GB2312" w:eastAsia="仿宋_GB2312"/>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1"/>
        </w:numPr>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1"/>
        </w:numPr>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1"/>
        </w:numPr>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1"/>
        </w:numPr>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1"/>
        </w:numPr>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1"/>
        </w:numPr>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1"/>
        </w:numPr>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1"/>
        </w:numPr>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341586-4E36-4E52-8491-16AA168DEA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41669566-211D-4A23-AF7B-C17048CFA3BD}"/>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AD79A428-2ADE-47F9-8B24-11314B11BAD7}"/>
  </w:font>
  <w:font w:name="微软雅黑">
    <w:panose1 w:val="020B0503020204020204"/>
    <w:charset w:val="86"/>
    <w:family w:val="swiss"/>
    <w:pitch w:val="default"/>
    <w:sig w:usb0="80000287" w:usb1="2ACF3C50" w:usb2="00000016" w:usb3="00000000" w:csb0="0004001F" w:csb1="00000000"/>
    <w:embedRegular r:id="rId4" w:fontKey="{428AF981-75CA-4C2D-BCBA-6264C79E18C3}"/>
  </w:font>
  <w:font w:name="Arial">
    <w:panose1 w:val="020B0604020202020204"/>
    <w:charset w:val="00"/>
    <w:family w:val="swiss"/>
    <w:pitch w:val="default"/>
    <w:sig w:usb0="E0002EFF" w:usb1="C000785B" w:usb2="00000009" w:usb3="00000000" w:csb0="400001FF" w:csb1="FFFF0000"/>
    <w:embedRegular r:id="rId5" w:fontKey="{F5A506C5-C9B8-4154-A2B2-DCE68DAA9CAC}"/>
  </w:font>
  <w:font w:name="华文中宋">
    <w:altName w:val="宋体"/>
    <w:panose1 w:val="02010600040101010101"/>
    <w:charset w:val="86"/>
    <w:family w:val="auto"/>
    <w:pitch w:val="default"/>
    <w:sig w:usb0="00000000" w:usb1="00000000" w:usb2="00000010" w:usb3="00000000" w:csb0="0004009F" w:csb1="00000000"/>
    <w:embedRegular r:id="rId6" w:fontKey="{15900D29-C65D-43C1-AD18-3B76159E192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7</w:t>
    </w:r>
    <w:r>
      <w:rPr>
        <w:rFonts w:ascii="宋体" w:hAnsi="宋体"/>
        <w:sz w:val="24"/>
        <w:szCs w:val="24"/>
      </w:rPr>
      <w:fldChar w:fldCharType="end"/>
    </w:r>
    <w:r>
      <w:rPr>
        <w:rFonts w:hint="eastAsia" w:ascii="宋体" w:hAnsi="宋体"/>
        <w:sz w:val="24"/>
        <w:szCs w:val="24"/>
      </w:rPr>
      <w:t xml:space="preserve"> -</w:t>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- 27 -</w:t>
    </w:r>
    <w:r>
      <w:rPr>
        <w:sz w:val="30"/>
        <w:szCs w:val="30"/>
      </w:rP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U4OGE0YTE5NWJjM2Y5N2I3MDYxMmIwNzljZTk5ZDIifQ=="/>
  </w:docVars>
  <w:rsids>
    <w:rsidRoot w:val="4C256E3D"/>
    <w:rsid w:val="0000631C"/>
    <w:rsid w:val="0001088C"/>
    <w:rsid w:val="00051216"/>
    <w:rsid w:val="00073497"/>
    <w:rsid w:val="000808B1"/>
    <w:rsid w:val="000C18ED"/>
    <w:rsid w:val="000D443F"/>
    <w:rsid w:val="000D7F20"/>
    <w:rsid w:val="001027CD"/>
    <w:rsid w:val="00105FB6"/>
    <w:rsid w:val="00157B4B"/>
    <w:rsid w:val="001813B1"/>
    <w:rsid w:val="001A1825"/>
    <w:rsid w:val="001D6C8C"/>
    <w:rsid w:val="001D7867"/>
    <w:rsid w:val="001F2564"/>
    <w:rsid w:val="002209E5"/>
    <w:rsid w:val="00233B08"/>
    <w:rsid w:val="00241122"/>
    <w:rsid w:val="002446DD"/>
    <w:rsid w:val="00287D47"/>
    <w:rsid w:val="002C4AB1"/>
    <w:rsid w:val="002E2ACA"/>
    <w:rsid w:val="002E5491"/>
    <w:rsid w:val="003C0EA9"/>
    <w:rsid w:val="003D7AA9"/>
    <w:rsid w:val="00410B48"/>
    <w:rsid w:val="00423F57"/>
    <w:rsid w:val="004361AD"/>
    <w:rsid w:val="00491E3A"/>
    <w:rsid w:val="00493191"/>
    <w:rsid w:val="0049413C"/>
    <w:rsid w:val="004D61F5"/>
    <w:rsid w:val="00527A82"/>
    <w:rsid w:val="00551BE3"/>
    <w:rsid w:val="00551D8F"/>
    <w:rsid w:val="005A50CD"/>
    <w:rsid w:val="005D0EA5"/>
    <w:rsid w:val="00603320"/>
    <w:rsid w:val="00605337"/>
    <w:rsid w:val="006164D2"/>
    <w:rsid w:val="00625EF5"/>
    <w:rsid w:val="006517F4"/>
    <w:rsid w:val="00695D5B"/>
    <w:rsid w:val="006B43F1"/>
    <w:rsid w:val="00716F2C"/>
    <w:rsid w:val="007447FC"/>
    <w:rsid w:val="00753C0C"/>
    <w:rsid w:val="0076597A"/>
    <w:rsid w:val="00771EE4"/>
    <w:rsid w:val="0077518D"/>
    <w:rsid w:val="0083307A"/>
    <w:rsid w:val="00833872"/>
    <w:rsid w:val="00837F90"/>
    <w:rsid w:val="0084162A"/>
    <w:rsid w:val="0086105B"/>
    <w:rsid w:val="008756C2"/>
    <w:rsid w:val="008D053E"/>
    <w:rsid w:val="00902DCD"/>
    <w:rsid w:val="009111C9"/>
    <w:rsid w:val="00923F65"/>
    <w:rsid w:val="00925BC6"/>
    <w:rsid w:val="00967F65"/>
    <w:rsid w:val="00981163"/>
    <w:rsid w:val="00992218"/>
    <w:rsid w:val="009A4231"/>
    <w:rsid w:val="009A7531"/>
    <w:rsid w:val="009C727C"/>
    <w:rsid w:val="009D3DE0"/>
    <w:rsid w:val="009E41D7"/>
    <w:rsid w:val="009F0004"/>
    <w:rsid w:val="00A26748"/>
    <w:rsid w:val="00A41381"/>
    <w:rsid w:val="00A6667A"/>
    <w:rsid w:val="00A71B4B"/>
    <w:rsid w:val="00A97580"/>
    <w:rsid w:val="00AA3EA0"/>
    <w:rsid w:val="00AA40F3"/>
    <w:rsid w:val="00AC53F7"/>
    <w:rsid w:val="00B124B8"/>
    <w:rsid w:val="00B22450"/>
    <w:rsid w:val="00B224E2"/>
    <w:rsid w:val="00B74F08"/>
    <w:rsid w:val="00B96BDA"/>
    <w:rsid w:val="00B97868"/>
    <w:rsid w:val="00BA465B"/>
    <w:rsid w:val="00BC4644"/>
    <w:rsid w:val="00BD0FD3"/>
    <w:rsid w:val="00BE72D5"/>
    <w:rsid w:val="00C35BD7"/>
    <w:rsid w:val="00C37FBE"/>
    <w:rsid w:val="00C40E9F"/>
    <w:rsid w:val="00C423B9"/>
    <w:rsid w:val="00C73B37"/>
    <w:rsid w:val="00C82722"/>
    <w:rsid w:val="00C9713B"/>
    <w:rsid w:val="00CB7EE3"/>
    <w:rsid w:val="00CC5D69"/>
    <w:rsid w:val="00CC689D"/>
    <w:rsid w:val="00CE32CB"/>
    <w:rsid w:val="00D10E56"/>
    <w:rsid w:val="00D11263"/>
    <w:rsid w:val="00D23420"/>
    <w:rsid w:val="00D31A82"/>
    <w:rsid w:val="00D60AD9"/>
    <w:rsid w:val="00D659CE"/>
    <w:rsid w:val="00D93BCD"/>
    <w:rsid w:val="00DE2D3C"/>
    <w:rsid w:val="00DE4A83"/>
    <w:rsid w:val="00DF1881"/>
    <w:rsid w:val="00E01EA2"/>
    <w:rsid w:val="00E05BEE"/>
    <w:rsid w:val="00E12098"/>
    <w:rsid w:val="00E81E5F"/>
    <w:rsid w:val="00E94018"/>
    <w:rsid w:val="00E96376"/>
    <w:rsid w:val="00EB7A1E"/>
    <w:rsid w:val="00F128D5"/>
    <w:rsid w:val="00F20F31"/>
    <w:rsid w:val="00F213ED"/>
    <w:rsid w:val="00F414C3"/>
    <w:rsid w:val="00F44A8E"/>
    <w:rsid w:val="00F54768"/>
    <w:rsid w:val="00F83604"/>
    <w:rsid w:val="00F85A8D"/>
    <w:rsid w:val="00FC5A36"/>
    <w:rsid w:val="00FF3E8A"/>
    <w:rsid w:val="26460DBA"/>
    <w:rsid w:val="2C4219FE"/>
    <w:rsid w:val="39A63F06"/>
    <w:rsid w:val="3ED1439F"/>
    <w:rsid w:val="4C256E3D"/>
    <w:rsid w:val="4CB52F0F"/>
    <w:rsid w:val="532F1F9A"/>
    <w:rsid w:val="62163194"/>
    <w:rsid w:val="7BCB5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正文1"/>
    <w:basedOn w:val="1"/>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31</Pages>
  <Words>2939</Words>
  <Characters>16757</Characters>
  <Lines>139</Lines>
  <Paragraphs>39</Paragraphs>
  <TotalTime>588</TotalTime>
  <ScaleCrop>false</ScaleCrop>
  <LinksUpToDate>false</LinksUpToDate>
  <CharactersWithSpaces>19657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2020-08-07T07:18:00Z</cp:lastPrinted>
  <dcterms:modified xsi:type="dcterms:W3CDTF">2023-11-22T02:26:32Z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B112AB842D5B413285CC08AF72876C4E_12</vt:lpwstr>
  </property>
</Properties>
</file>