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eastAsia="仿宋_GB2312" w:cs="ArialUnicodeMS"/>
          <w:kern w:val="0"/>
          <w:sz w:val="32"/>
          <w:szCs w:val="32"/>
          <w:lang w:val="en-US" w:eastAsia="zh-CN"/>
        </w:rPr>
      </w:pPr>
      <w:r>
        <w:rPr>
          <w:rFonts w:hint="eastAsia" w:ascii="仿宋_GB2312" w:eastAsia="仿宋_GB2312" w:cs="ArialUnicodeMS"/>
          <w:kern w:val="0"/>
          <w:sz w:val="32"/>
          <w:szCs w:val="32"/>
          <w:lang w:val="en-US" w:eastAsia="zh-CN"/>
        </w:rPr>
        <w:t xml:space="preserve">  </w:t>
      </w: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lang w:eastAsia="zh-CN"/>
        </w:rPr>
        <w:t>柳州市</w:t>
      </w:r>
      <w:r>
        <w:rPr>
          <w:rFonts w:hint="eastAsia" w:ascii="黑体" w:hAnsi="黑体" w:eastAsia="黑体"/>
          <w:bCs/>
          <w:color w:val="000000"/>
          <w:sz w:val="52"/>
          <w:szCs w:val="52"/>
          <w:u w:val="none"/>
          <w:lang w:eastAsia="zh-CN"/>
        </w:rPr>
        <w:t>人民检察院</w:t>
      </w:r>
    </w:p>
    <w:p>
      <w:pPr>
        <w:jc w:val="center"/>
        <w:rPr>
          <w:rFonts w:hint="eastAsia" w:ascii="黑体" w:eastAsia="黑体" w:cs="ArialUnicodeMS"/>
          <w:kern w:val="0"/>
          <w:sz w:val="52"/>
          <w:szCs w:val="52"/>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lang w:eastAsia="zh-CN"/>
        </w:rPr>
      </w:pPr>
      <w:bookmarkStart w:id="0" w:name="_GoBack"/>
      <w:bookmarkEnd w:id="0"/>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八、</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ind w:firstLine="646"/>
        <w:jc w:val="center"/>
        <w:rPr>
          <w:rFonts w:ascii="仿宋_GB2312" w:eastAsia="仿宋_GB2312"/>
          <w:b/>
          <w:sz w:val="32"/>
          <w:szCs w:val="32"/>
        </w:rPr>
      </w:pPr>
      <w:r>
        <w:rPr>
          <w:rFonts w:hint="eastAsia" w:ascii="仿宋_GB2312" w:eastAsia="仿宋_GB2312" w:cs="仿宋_GB2312"/>
          <w:b w:val="0"/>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u w:val="none"/>
        </w:rPr>
        <w:t>概</w:t>
      </w:r>
      <w:r>
        <w:rPr>
          <w:rFonts w:hint="eastAsia" w:ascii="仿宋_GB2312" w:eastAsia="仿宋_GB2312"/>
          <w:b/>
          <w:sz w:val="32"/>
          <w:szCs w:val="32"/>
        </w:rPr>
        <w:t>况</w:t>
      </w:r>
    </w:p>
    <w:p>
      <w:pPr>
        <w:ind w:firstLine="646"/>
        <w:rPr>
          <w:rFonts w:hint="eastAsia" w:ascii="仿宋_GB2312" w:eastAsia="仿宋_GB2312"/>
          <w:sz w:val="32"/>
          <w:szCs w:val="32"/>
        </w:rPr>
      </w:pPr>
      <w:r>
        <w:rPr>
          <w:rFonts w:hint="eastAsia" w:ascii="仿宋_GB2312" w:eastAsia="仿宋_GB2312"/>
          <w:sz w:val="32"/>
          <w:szCs w:val="32"/>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560" w:lineRule="atLeast"/>
        <w:ind w:left="0" w:right="0" w:firstLine="672"/>
        <w:jc w:val="both"/>
        <w:rPr>
          <w:rFonts w:hint="eastAsia" w:ascii="仿宋_GB2312" w:hAnsi="Times New Roman" w:eastAsia="仿宋_GB2312" w:cs="Times New Roman"/>
          <w:b w:val="0"/>
          <w:kern w:val="2"/>
          <w:sz w:val="32"/>
          <w:szCs w:val="32"/>
          <w:lang w:val="en-US" w:eastAsia="zh-CN" w:bidi="ar"/>
        </w:rPr>
      </w:pPr>
      <w:r>
        <w:rPr>
          <w:rFonts w:hint="eastAsia" w:ascii="仿宋_GB2312" w:hAnsi="宋体" w:eastAsia="仿宋_GB2312" w:cs="仿宋_GB2312"/>
          <w:b w:val="0"/>
          <w:kern w:val="0"/>
          <w:sz w:val="32"/>
          <w:szCs w:val="32"/>
          <w:lang w:val="en-US" w:eastAsia="zh-CN" w:bidi="ar"/>
        </w:rPr>
        <w:t>检察机关是法律监督机关，</w:t>
      </w:r>
      <w:r>
        <w:rPr>
          <w:rStyle w:val="8"/>
          <w:rFonts w:hint="eastAsia" w:ascii="仿宋_GB2312" w:hAnsi="Times New Roman" w:eastAsia="仿宋_GB2312" w:cs="Times New Roman"/>
          <w:b w:val="0"/>
          <w:color w:val="000000"/>
          <w:sz w:val="32"/>
          <w:szCs w:val="32"/>
        </w:rPr>
        <w:t>人民检察院依法</w:t>
      </w:r>
      <w:r>
        <w:rPr>
          <w:rFonts w:hint="eastAsia" w:ascii="仿宋_GB2312" w:hAnsi="Times New Roman" w:eastAsia="仿宋_GB2312" w:cs="Times New Roman"/>
          <w:i w:val="0"/>
          <w:caps w:val="0"/>
          <w:color w:val="333333"/>
          <w:spacing w:val="0"/>
          <w:sz w:val="32"/>
          <w:szCs w:val="32"/>
          <w:shd w:val="clear" w:color="auto" w:fill="FFFFFF"/>
        </w:rPr>
        <w:t>对于危害国家安全案、危害公共安全案、侵犯公民人身权利民主权利案和其他重大犯罪案件，行使检察权；对于公安机关侦查的案件进行审查，决定是否逮捕、起诉或者不起诉；对于刑事案件提起公诉、支持公诉；对于公安机关、人民法院和监狱、看守所、劳动改造机关的活动是否合法，实行监督</w:t>
      </w:r>
      <w:r>
        <w:rPr>
          <w:rFonts w:hint="eastAsia" w:ascii="仿宋_GB2312" w:hAnsi="Times New Roman" w:eastAsia="仿宋_GB2312" w:cs="Times New Roman"/>
          <w:i w:val="0"/>
          <w:caps w:val="0"/>
          <w:spacing w:val="0"/>
          <w:sz w:val="32"/>
          <w:szCs w:val="32"/>
          <w:lang w:eastAsia="zh-CN"/>
        </w:rPr>
        <w:t>；</w:t>
      </w:r>
      <w:r>
        <w:rPr>
          <w:rFonts w:hint="eastAsia" w:ascii="仿宋_GB2312" w:hAnsi="宋体" w:eastAsia="仿宋_GB2312" w:cs="仿宋_GB2312"/>
          <w:b w:val="0"/>
          <w:kern w:val="0"/>
          <w:sz w:val="32"/>
          <w:szCs w:val="32"/>
          <w:lang w:val="en-US" w:eastAsia="zh-CN" w:bidi="ar"/>
        </w:rPr>
        <w:t>受理来信、来访，控告、举报、申诉和犯罪嫌疑人的自首；勘验公安机关重大案件的现场，鉴定与案件有关的人身、尸体、痕迹、物品、会计资料等</w:t>
      </w:r>
      <w:r>
        <w:rPr>
          <w:rFonts w:hint="eastAsia" w:ascii="仿宋_GB2312" w:hAnsi="Times New Roman" w:eastAsia="仿宋_GB2312" w:cs="Times New Roman"/>
          <w:i w:val="0"/>
          <w:caps w:val="0"/>
          <w:color w:val="333333"/>
          <w:spacing w:val="0"/>
          <w:sz w:val="32"/>
          <w:szCs w:val="32"/>
          <w:shd w:val="clear" w:color="auto" w:fill="FFFFFF"/>
        </w:rPr>
        <w:t>。</w:t>
      </w:r>
    </w:p>
    <w:p>
      <w:pPr>
        <w:ind w:firstLine="645"/>
        <w:rPr>
          <w:rFonts w:hint="eastAsia" w:ascii="仿宋_GB2312" w:hAnsi="宋体" w:eastAsia="仿宋_GB2312" w:cs="仿宋_GB2312"/>
          <w:b w:val="0"/>
          <w:kern w:val="0"/>
          <w:sz w:val="32"/>
          <w:szCs w:val="32"/>
          <w:lang w:val="en-US" w:eastAsia="zh-CN" w:bidi="ar"/>
        </w:rPr>
      </w:pPr>
      <w:r>
        <w:rPr>
          <w:rFonts w:hint="eastAsia" w:ascii="仿宋_GB2312" w:hAnsi="宋体" w:eastAsia="仿宋_GB2312" w:cs="仿宋_GB2312"/>
          <w:b w:val="0"/>
          <w:kern w:val="0"/>
          <w:sz w:val="32"/>
          <w:szCs w:val="32"/>
          <w:lang w:val="en-US" w:eastAsia="zh-CN" w:bidi="ar"/>
        </w:rPr>
        <w:t>我院主要工作目标是深入实践“强化法律监督，维护公平正义”，进一步落实“加大工作力度，提高执法水平和办案质量”，以业务建设为主线，以队伍建设为根本，以改革创新为动力，以执法保障建设为基础，全面加强自身建设，充分履行法律监督职责，为构建社会主义和谐社会营造平安稳定的治安环境。</w:t>
      </w: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6"/>
        <w:rPr>
          <w:rFonts w:hint="eastAsia" w:ascii="仿宋_GB2312" w:eastAsia="仿宋_GB2312"/>
          <w:sz w:val="32"/>
          <w:szCs w:val="32"/>
        </w:rPr>
      </w:pPr>
      <w:r>
        <w:rPr>
          <w:rFonts w:hint="eastAsia" w:ascii="仿宋_GB2312" w:eastAsia="仿宋_GB2312"/>
          <w:sz w:val="32"/>
          <w:szCs w:val="32"/>
        </w:rPr>
        <w:t>二、部门决算单位构成</w:t>
      </w:r>
    </w:p>
    <w:p>
      <w:pPr>
        <w:ind w:firstLine="646"/>
        <w:jc w:val="center"/>
        <w:rPr>
          <w:rFonts w:hint="eastAsia" w:ascii="仿宋_GB2312" w:eastAsia="仿宋_GB2312"/>
          <w:b/>
          <w:bCs/>
          <w:sz w:val="32"/>
          <w:szCs w:val="32"/>
          <w:lang w:eastAsia="zh-CN"/>
        </w:rPr>
      </w:pPr>
      <w:r>
        <w:rPr>
          <w:rFonts w:hint="eastAsia" w:ascii="仿宋_GB2312" w:eastAsia="仿宋_GB2312"/>
          <w:b/>
          <w:bCs/>
          <w:sz w:val="32"/>
          <w:szCs w:val="32"/>
          <w:lang w:eastAsia="zh-CN"/>
        </w:rPr>
        <w:t>机构和人员情况表</w:t>
      </w:r>
    </w:p>
    <w:p>
      <w:pPr>
        <w:jc w:val="center"/>
      </w:pPr>
    </w:p>
    <w:tbl>
      <w:tblPr>
        <w:tblStyle w:val="6"/>
        <w:tblW w:w="0" w:type="auto"/>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40"/>
        <w:gridCol w:w="900"/>
        <w:gridCol w:w="1350"/>
        <w:gridCol w:w="1830"/>
        <w:gridCol w:w="87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60" w:type="dxa"/>
          <w:trHeight w:val="570" w:hRule="atLeast"/>
        </w:trPr>
        <w:tc>
          <w:tcPr>
            <w:tcW w:w="324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pPr>
            <w:r>
              <w:rPr>
                <w:rFonts w:hint="eastAsia" w:ascii="仿宋_GB2312" w:hAnsi="宋体" w:eastAsia="仿宋_GB2312" w:cs="仿宋_GB2312"/>
                <w:b w:val="0"/>
                <w:i w:val="0"/>
                <w:color w:val="000000"/>
                <w:kern w:val="0"/>
                <w:sz w:val="22"/>
                <w:szCs w:val="22"/>
                <w:lang w:val="en-US" w:eastAsia="zh-CN" w:bidi="ar"/>
              </w:rPr>
              <w:t> </w:t>
            </w:r>
          </w:p>
        </w:tc>
        <w:tc>
          <w:tcPr>
            <w:tcW w:w="90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pPr>
            <w:r>
              <w:rPr>
                <w:rFonts w:hint="eastAsia" w:ascii="仿宋_GB2312" w:hAnsi="宋体" w:eastAsia="仿宋_GB2312" w:cs="仿宋_GB2312"/>
                <w:b w:val="0"/>
                <w:i w:val="0"/>
                <w:color w:val="000000"/>
                <w:kern w:val="0"/>
                <w:sz w:val="22"/>
                <w:szCs w:val="22"/>
                <w:lang w:val="en-US" w:eastAsia="zh-CN" w:bidi="ar"/>
              </w:rPr>
              <w:t> </w:t>
            </w:r>
          </w:p>
        </w:tc>
        <w:tc>
          <w:tcPr>
            <w:tcW w:w="135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pPr>
            <w:r>
              <w:rPr>
                <w:rFonts w:hint="eastAsia" w:ascii="仿宋_GB2312" w:hAnsi="宋体" w:eastAsia="仿宋_GB2312" w:cs="仿宋_GB2312"/>
                <w:b w:val="0"/>
                <w:i w:val="0"/>
                <w:color w:val="000000"/>
                <w:kern w:val="0"/>
                <w:sz w:val="22"/>
                <w:szCs w:val="22"/>
                <w:lang w:val="en-US" w:eastAsia="zh-CN" w:bidi="ar"/>
              </w:rPr>
              <w:t> </w:t>
            </w:r>
          </w:p>
        </w:tc>
        <w:tc>
          <w:tcPr>
            <w:tcW w:w="183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pPr>
            <w:r>
              <w:rPr>
                <w:rFonts w:hint="eastAsia" w:ascii="仿宋_GB2312" w:hAnsi="宋体" w:eastAsia="仿宋_GB2312" w:cs="仿宋_GB2312"/>
                <w:b w:val="0"/>
                <w:i w:val="0"/>
                <w:color w:val="000000"/>
                <w:kern w:val="0"/>
                <w:sz w:val="22"/>
                <w:szCs w:val="22"/>
                <w:lang w:val="en-US" w:eastAsia="zh-CN" w:bidi="ar"/>
              </w:rPr>
              <w:t> </w:t>
            </w:r>
            <w:r>
              <w:rPr>
                <w:rFonts w:hint="eastAsia" w:ascii="仿宋_GB2312" w:hAnsi="宋体" w:eastAsia="仿宋_GB2312" w:cs="仿宋_GB2312"/>
                <w:b w:val="0"/>
                <w:i w:val="0"/>
                <w:color w:val="000000"/>
                <w:kern w:val="0"/>
                <w:sz w:val="30"/>
                <w:szCs w:val="30"/>
                <w:lang w:val="en-US" w:eastAsia="zh-CN" w:bidi="ar"/>
              </w:rPr>
              <w:t>单位：人</w:t>
            </w:r>
          </w:p>
        </w:tc>
        <w:tc>
          <w:tcPr>
            <w:tcW w:w="870"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pPr>
            <w:r>
              <w:rPr>
                <w:rFonts w:hint="eastAsia" w:ascii="仿宋_GB2312" w:hAnsi="宋体" w:eastAsia="仿宋_GB2312" w:cs="仿宋_GB2312"/>
                <w:b w:val="0"/>
                <w:i w:val="0"/>
                <w:color w:val="000000"/>
                <w:kern w:val="0"/>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40" w:type="dxa"/>
            <w:vMerge w:val="restart"/>
            <w:tcBorders>
              <w:top w:val="single" w:color="000000" w:sz="18" w:space="0"/>
              <w:left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单位名称</w:t>
            </w:r>
          </w:p>
        </w:tc>
        <w:tc>
          <w:tcPr>
            <w:tcW w:w="900" w:type="dxa"/>
            <w:vMerge w:val="restart"/>
            <w:tcBorders>
              <w:top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单位 性质</w:t>
            </w:r>
          </w:p>
        </w:tc>
        <w:tc>
          <w:tcPr>
            <w:tcW w:w="1350" w:type="dxa"/>
            <w:vMerge w:val="restart"/>
            <w:tcBorders>
              <w:top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编制人数</w:t>
            </w:r>
          </w:p>
        </w:tc>
        <w:tc>
          <w:tcPr>
            <w:tcW w:w="1830" w:type="dxa"/>
            <w:vMerge w:val="restart"/>
            <w:tcBorders>
              <w:top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实有在职人数</w:t>
            </w:r>
          </w:p>
        </w:tc>
        <w:tc>
          <w:tcPr>
            <w:tcW w:w="870" w:type="dxa"/>
            <w:vMerge w:val="restart"/>
            <w:tcBorders>
              <w:top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离休 人数</w:t>
            </w:r>
          </w:p>
        </w:tc>
        <w:tc>
          <w:tcPr>
            <w:tcW w:w="960" w:type="dxa"/>
            <w:vMerge w:val="restart"/>
            <w:tcBorders>
              <w:top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聘用 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240" w:type="dxa"/>
            <w:vMerge w:val="continue"/>
            <w:tcBorders>
              <w:top w:val="single" w:color="000000" w:sz="18" w:space="0"/>
              <w:left w:val="single" w:color="000000" w:sz="18" w:space="0"/>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900" w:type="dxa"/>
            <w:vMerge w:val="continue"/>
            <w:tcBorders>
              <w:top w:val="single" w:color="000000" w:sz="18" w:space="0"/>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1350" w:type="dxa"/>
            <w:vMerge w:val="continue"/>
            <w:tcBorders>
              <w:top w:val="single" w:color="000000" w:sz="18" w:space="0"/>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1830" w:type="dxa"/>
            <w:vMerge w:val="continue"/>
            <w:tcBorders>
              <w:top w:val="single" w:color="000000" w:sz="18" w:space="0"/>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870" w:type="dxa"/>
            <w:vMerge w:val="continue"/>
            <w:tcBorders>
              <w:top w:val="single" w:color="000000" w:sz="18" w:space="0"/>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960" w:type="dxa"/>
            <w:vMerge w:val="continue"/>
            <w:tcBorders>
              <w:top w:val="single" w:color="000000" w:sz="18" w:space="0"/>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240" w:type="dxa"/>
            <w:tcBorders>
              <w:left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合计</w:t>
            </w:r>
          </w:p>
        </w:tc>
        <w:tc>
          <w:tcPr>
            <w:tcW w:w="90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pPr>
            <w:r>
              <w:rPr>
                <w:rFonts w:hint="eastAsia" w:ascii="仿宋_GB2312" w:hAnsi="宋体" w:eastAsia="仿宋_GB2312" w:cs="仿宋_GB2312"/>
                <w:b w:val="0"/>
                <w:i w:val="0"/>
                <w:color w:val="000000"/>
                <w:kern w:val="0"/>
                <w:sz w:val="24"/>
                <w:szCs w:val="24"/>
                <w:lang w:val="en-US" w:eastAsia="zh-CN" w:bidi="ar"/>
              </w:rPr>
              <w:t> </w:t>
            </w:r>
          </w:p>
        </w:tc>
        <w:tc>
          <w:tcPr>
            <w:tcW w:w="135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color w:val="000000"/>
                <w:kern w:val="0"/>
                <w:sz w:val="30"/>
                <w:szCs w:val="30"/>
                <w:lang w:val="en-US" w:eastAsia="zh-CN" w:bidi="ar"/>
              </w:rPr>
              <w:t>163</w:t>
            </w:r>
          </w:p>
        </w:tc>
        <w:tc>
          <w:tcPr>
            <w:tcW w:w="183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i w:val="0"/>
                <w:color w:val="000000"/>
                <w:kern w:val="0"/>
                <w:sz w:val="30"/>
                <w:szCs w:val="30"/>
                <w:lang w:val="en-US" w:eastAsia="zh-CN" w:bidi="ar"/>
              </w:rPr>
              <w:t>177</w:t>
            </w:r>
          </w:p>
        </w:tc>
        <w:tc>
          <w:tcPr>
            <w:tcW w:w="87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2</w:t>
            </w:r>
          </w:p>
        </w:tc>
        <w:tc>
          <w:tcPr>
            <w:tcW w:w="96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i w:val="0"/>
                <w:color w:val="000000"/>
                <w:kern w:val="0"/>
                <w:sz w:val="30"/>
                <w:szCs w:val="30"/>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3240" w:type="dxa"/>
            <w:tcBorders>
              <w:left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柳州市人民检察院</w:t>
            </w:r>
          </w:p>
        </w:tc>
        <w:tc>
          <w:tcPr>
            <w:tcW w:w="90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行政 机关</w:t>
            </w:r>
          </w:p>
        </w:tc>
        <w:tc>
          <w:tcPr>
            <w:tcW w:w="135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i w:val="0"/>
                <w:color w:val="000000"/>
                <w:kern w:val="0"/>
                <w:sz w:val="30"/>
                <w:szCs w:val="30"/>
                <w:lang w:val="en-US" w:eastAsia="zh-CN" w:bidi="ar"/>
              </w:rPr>
              <w:t>122</w:t>
            </w:r>
          </w:p>
        </w:tc>
        <w:tc>
          <w:tcPr>
            <w:tcW w:w="183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i w:val="0"/>
                <w:color w:val="000000"/>
                <w:kern w:val="0"/>
                <w:sz w:val="30"/>
                <w:szCs w:val="30"/>
                <w:lang w:val="en-US" w:eastAsia="zh-CN" w:bidi="ar"/>
              </w:rPr>
              <w:t>135</w:t>
            </w:r>
          </w:p>
        </w:tc>
        <w:tc>
          <w:tcPr>
            <w:tcW w:w="87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2</w:t>
            </w:r>
          </w:p>
        </w:tc>
        <w:tc>
          <w:tcPr>
            <w:tcW w:w="960" w:type="dxa"/>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i w:val="0"/>
                <w:color w:val="000000"/>
                <w:kern w:val="0"/>
                <w:sz w:val="30"/>
                <w:szCs w:val="30"/>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40" w:type="dxa"/>
            <w:vMerge w:val="restart"/>
            <w:tcBorders>
              <w:left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柳州市露塘地区检察院</w:t>
            </w:r>
          </w:p>
        </w:tc>
        <w:tc>
          <w:tcPr>
            <w:tcW w:w="90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行政 机关</w:t>
            </w:r>
          </w:p>
        </w:tc>
        <w:tc>
          <w:tcPr>
            <w:tcW w:w="135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i w:val="0"/>
                <w:color w:val="000000"/>
                <w:kern w:val="0"/>
                <w:sz w:val="30"/>
                <w:szCs w:val="30"/>
                <w:lang w:val="en-US" w:eastAsia="zh-CN" w:bidi="ar"/>
              </w:rPr>
              <w:t>19</w:t>
            </w:r>
          </w:p>
        </w:tc>
        <w:tc>
          <w:tcPr>
            <w:tcW w:w="183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i w:val="0"/>
                <w:color w:val="000000"/>
                <w:kern w:val="0"/>
                <w:sz w:val="30"/>
                <w:szCs w:val="30"/>
                <w:lang w:val="en-US" w:eastAsia="zh-CN" w:bidi="ar"/>
              </w:rPr>
              <w:t>19</w:t>
            </w:r>
          </w:p>
        </w:tc>
        <w:tc>
          <w:tcPr>
            <w:tcW w:w="87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pPr>
            <w:r>
              <w:rPr>
                <w:rFonts w:hint="eastAsia" w:ascii="仿宋_GB2312" w:hAnsi="宋体" w:eastAsia="仿宋_GB2312" w:cs="仿宋_GB2312"/>
                <w:b w:val="0"/>
                <w:i w:val="0"/>
                <w:color w:val="000000"/>
                <w:kern w:val="0"/>
                <w:sz w:val="24"/>
                <w:szCs w:val="24"/>
                <w:lang w:val="en-US" w:eastAsia="zh-CN" w:bidi="ar"/>
              </w:rPr>
              <w:t> </w:t>
            </w:r>
          </w:p>
        </w:tc>
        <w:tc>
          <w:tcPr>
            <w:tcW w:w="96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default"/>
                <w:lang w:val="en-US"/>
              </w:rPr>
            </w:pPr>
            <w:r>
              <w:rPr>
                <w:rFonts w:hint="eastAsia" w:ascii="仿宋_GB2312" w:hAnsi="宋体" w:eastAsia="仿宋_GB2312" w:cs="仿宋_GB2312"/>
                <w:b w:val="0"/>
                <w:i w:val="0"/>
                <w:color w:val="000000"/>
                <w:kern w:val="0"/>
                <w:sz w:val="24"/>
                <w:szCs w:val="24"/>
                <w:lang w:val="en-US" w:eastAsia="zh-CN" w:bidi="ar"/>
              </w:rPr>
              <w:t>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240" w:type="dxa"/>
            <w:vMerge w:val="continue"/>
            <w:tcBorders>
              <w:left w:val="single" w:color="000000" w:sz="18" w:space="0"/>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90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135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183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87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96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40" w:type="dxa"/>
            <w:vMerge w:val="restart"/>
            <w:tcBorders>
              <w:left w:val="single" w:color="000000" w:sz="18" w:space="0"/>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柳州市鹿寨地区检察院</w:t>
            </w:r>
          </w:p>
        </w:tc>
        <w:tc>
          <w:tcPr>
            <w:tcW w:w="90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行政 机关</w:t>
            </w:r>
          </w:p>
        </w:tc>
        <w:tc>
          <w:tcPr>
            <w:tcW w:w="135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rPr>
                <w:rFonts w:hint="default"/>
                <w:lang w:val="en-US"/>
              </w:rPr>
            </w:pPr>
            <w:r>
              <w:rPr>
                <w:rFonts w:hint="eastAsia" w:ascii="仿宋_GB2312" w:hAnsi="宋体" w:eastAsia="仿宋_GB2312" w:cs="仿宋_GB2312"/>
                <w:b w:val="0"/>
                <w:i w:val="0"/>
                <w:color w:val="000000"/>
                <w:kern w:val="0"/>
                <w:sz w:val="30"/>
                <w:szCs w:val="30"/>
                <w:lang w:val="en-US" w:eastAsia="zh-CN" w:bidi="ar"/>
              </w:rPr>
              <w:t>22</w:t>
            </w:r>
          </w:p>
        </w:tc>
        <w:tc>
          <w:tcPr>
            <w:tcW w:w="183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textAlignment w:val="center"/>
            </w:pPr>
            <w:r>
              <w:rPr>
                <w:rFonts w:hint="eastAsia" w:ascii="仿宋_GB2312" w:hAnsi="宋体" w:eastAsia="仿宋_GB2312" w:cs="仿宋_GB2312"/>
                <w:b w:val="0"/>
                <w:i w:val="0"/>
                <w:color w:val="000000"/>
                <w:kern w:val="0"/>
                <w:sz w:val="30"/>
                <w:szCs w:val="30"/>
                <w:lang w:val="en-US" w:eastAsia="zh-CN" w:bidi="ar"/>
              </w:rPr>
              <w:t>23</w:t>
            </w:r>
          </w:p>
        </w:tc>
        <w:tc>
          <w:tcPr>
            <w:tcW w:w="870" w:type="dxa"/>
            <w:vMerge w:val="restart"/>
            <w:tcBorders>
              <w:bottom w:val="single" w:color="000000" w:sz="12"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pPr>
            <w:r>
              <w:rPr>
                <w:rFonts w:hint="eastAsia" w:ascii="仿宋_GB2312" w:hAnsi="宋体" w:eastAsia="仿宋_GB2312" w:cs="仿宋_GB2312"/>
                <w:b w:val="0"/>
                <w:i w:val="0"/>
                <w:color w:val="000000"/>
                <w:kern w:val="0"/>
                <w:sz w:val="24"/>
                <w:szCs w:val="24"/>
                <w:lang w:val="en-US" w:eastAsia="zh-CN" w:bidi="ar"/>
              </w:rPr>
              <w:t> </w:t>
            </w:r>
          </w:p>
        </w:tc>
        <w:tc>
          <w:tcPr>
            <w:tcW w:w="960" w:type="dxa"/>
            <w:vMerge w:val="restart"/>
            <w:tcBorders>
              <w:bottom w:val="single" w:color="000000" w:sz="18" w:space="0"/>
              <w:right w:val="single" w:color="000000" w:sz="12"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default"/>
                <w:lang w:val="en-US"/>
              </w:rPr>
            </w:pPr>
            <w:r>
              <w:rPr>
                <w:rFonts w:hint="eastAsia" w:ascii="仿宋_GB2312" w:hAnsi="宋体" w:eastAsia="仿宋_GB2312" w:cs="仿宋_GB2312"/>
                <w:b w:val="0"/>
                <w:i w:val="0"/>
                <w:color w:val="000000"/>
                <w:kern w:val="0"/>
                <w:sz w:val="24"/>
                <w:szCs w:val="24"/>
                <w:lang w:val="en-US" w:eastAsia="zh-CN" w:bidi="ar"/>
              </w:rPr>
              <w:t>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3240" w:type="dxa"/>
            <w:vMerge w:val="continue"/>
            <w:tcBorders>
              <w:left w:val="single" w:color="000000" w:sz="18" w:space="0"/>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90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135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183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870" w:type="dxa"/>
            <w:vMerge w:val="continue"/>
            <w:tcBorders>
              <w:bottom w:val="single" w:color="000000" w:sz="12" w:space="0"/>
              <w:right w:val="single" w:color="000000" w:sz="12" w:space="0"/>
            </w:tcBorders>
            <w:noWrap w:val="0"/>
            <w:vAlign w:val="center"/>
          </w:tcPr>
          <w:p>
            <w:pPr>
              <w:rPr>
                <w:rFonts w:hint="eastAsia" w:ascii="宋体" w:hAnsi="宋体" w:eastAsia="宋体" w:cs="宋体"/>
                <w:b w:val="0"/>
                <w:sz w:val="21"/>
                <w:szCs w:val="21"/>
              </w:rPr>
            </w:pPr>
          </w:p>
        </w:tc>
        <w:tc>
          <w:tcPr>
            <w:tcW w:w="960" w:type="dxa"/>
            <w:vMerge w:val="continue"/>
            <w:tcBorders>
              <w:bottom w:val="single" w:color="000000" w:sz="18" w:space="0"/>
              <w:right w:val="single" w:color="000000" w:sz="12" w:space="0"/>
            </w:tcBorders>
            <w:noWrap w:val="0"/>
            <w:vAlign w:val="center"/>
          </w:tcPr>
          <w:p>
            <w:pPr>
              <w:rPr>
                <w:rFonts w:hint="eastAsia" w:ascii="宋体" w:hAnsi="宋体" w:eastAsia="宋体" w:cs="宋体"/>
                <w:b w:val="0"/>
                <w:sz w:val="21"/>
                <w:szCs w:val="21"/>
              </w:rPr>
            </w:pPr>
          </w:p>
        </w:tc>
      </w:tr>
    </w:tbl>
    <w:p>
      <w:pPr>
        <w:numPr>
          <w:ilvl w:val="0"/>
          <w:numId w:val="0"/>
        </w:numPr>
        <w:ind w:firstLine="0"/>
        <w:rPr>
          <w:rFonts w:hint="eastAsia" w:ascii="仿宋_GB2312" w:eastAsia="仿宋_GB2312"/>
          <w:sz w:val="32"/>
          <w:szCs w:val="32"/>
        </w:rPr>
      </w:pPr>
    </w:p>
    <w:p>
      <w:pPr>
        <w:ind w:firstLine="645"/>
        <w:rPr>
          <w:rFonts w:hint="eastAsia" w:ascii="仿宋_GB2312" w:eastAsia="仿宋_GB2312"/>
          <w:sz w:val="32"/>
          <w:szCs w:val="32"/>
        </w:rPr>
      </w:pPr>
    </w:p>
    <w:p>
      <w:pPr>
        <w:jc w:val="center"/>
        <w:rPr>
          <w:rFonts w:hint="eastAsia"/>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ind w:firstLine="0"/>
        <w:jc w:val="both"/>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jc w:val="center"/>
        <w:rPr>
          <w:rFonts w:hint="eastAsia"/>
        </w:rPr>
      </w:pPr>
    </w:p>
    <w:p>
      <w:pPr>
        <w:rPr>
          <w:rFonts w:hint="eastAsia"/>
        </w:rPr>
      </w:pPr>
    </w:p>
    <w:tbl>
      <w:tblPr>
        <w:tblStyle w:val="6"/>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624"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一般公共预算财政拨款收入</w:t>
            </w:r>
          </w:p>
        </w:tc>
        <w:tc>
          <w:tcPr>
            <w:tcW w:w="108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7799.14</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6474.16</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二、</w:t>
            </w:r>
            <w:r>
              <w:rPr>
                <w:rFonts w:hint="eastAsia" w:ascii="宋体" w:hAnsi="宋体" w:cs="宋体"/>
                <w:color w:val="000000"/>
                <w:kern w:val="0"/>
                <w:sz w:val="22"/>
                <w:szCs w:val="22"/>
                <w:lang w:eastAsia="zh-CN"/>
              </w:rPr>
              <w:t>政府性基金预算财政拨款收入</w:t>
            </w:r>
          </w:p>
        </w:tc>
        <w:tc>
          <w:tcPr>
            <w:tcW w:w="108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200.00</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三</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上级补助</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四</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事业</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经营</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w:t>
            </w:r>
            <w:r>
              <w:rPr>
                <w:rFonts w:hint="eastAsia" w:ascii="宋体" w:hAnsi="宋体" w:cs="宋体"/>
                <w:color w:val="000000"/>
                <w:kern w:val="0"/>
                <w:sz w:val="22"/>
                <w:szCs w:val="22"/>
                <w:lang w:eastAsia="zh-CN"/>
              </w:rPr>
              <w:t>旅游体育</w:t>
            </w:r>
            <w:r>
              <w:rPr>
                <w:rFonts w:hint="eastAsia" w:ascii="宋体" w:hAnsi="宋体" w:cs="宋体"/>
                <w:color w:val="000000"/>
                <w:kern w:val="0"/>
                <w:sz w:val="22"/>
                <w:szCs w:val="22"/>
              </w:rPr>
              <w:t>与传媒支出</w:t>
            </w:r>
          </w:p>
        </w:tc>
        <w:tc>
          <w:tcPr>
            <w:tcW w:w="1617" w:type="dxa"/>
            <w:gridSpan w:val="2"/>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六、附属单位上缴收入</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六</w:t>
            </w:r>
            <w:r>
              <w:rPr>
                <w:rFonts w:hint="eastAsia" w:ascii="宋体" w:hAnsi="宋体" w:cs="宋体"/>
                <w:color w:val="000000"/>
                <w:kern w:val="0"/>
                <w:sz w:val="22"/>
                <w:szCs w:val="22"/>
              </w:rPr>
              <w:t>、社会保障和就业支出</w:t>
            </w:r>
          </w:p>
        </w:tc>
        <w:tc>
          <w:tcPr>
            <w:tcW w:w="161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627.01</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、其他收入</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1.62</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、卫生健康支出</w:t>
            </w:r>
          </w:p>
        </w:tc>
        <w:tc>
          <w:tcPr>
            <w:tcW w:w="161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437.80</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八</w:t>
            </w:r>
            <w:r>
              <w:rPr>
                <w:rFonts w:hint="eastAsia" w:ascii="宋体" w:hAnsi="宋体" w:cs="宋体"/>
                <w:color w:val="000000"/>
                <w:kern w:val="0"/>
                <w:sz w:val="22"/>
                <w:szCs w:val="22"/>
              </w:rPr>
              <w:t>、城乡社区支出</w:t>
            </w:r>
          </w:p>
        </w:tc>
        <w:tc>
          <w:tcPr>
            <w:tcW w:w="161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200.00</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九、住房保障支出</w:t>
            </w:r>
          </w:p>
        </w:tc>
        <w:tc>
          <w:tcPr>
            <w:tcW w:w="161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368.39</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szCs w:val="22"/>
              </w:rPr>
            </w:pP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十、其他支出</w:t>
            </w:r>
          </w:p>
        </w:tc>
        <w:tc>
          <w:tcPr>
            <w:tcW w:w="161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60.01</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8000.76</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bCs/>
                <w:color w:val="000000"/>
                <w:kern w:val="0"/>
                <w:sz w:val="22"/>
                <w:szCs w:val="22"/>
                <w:lang w:val="en-US" w:eastAsia="zh-CN"/>
              </w:rPr>
              <w:t>8167.37</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w:t>
            </w:r>
            <w:r>
              <w:rPr>
                <w:rFonts w:hint="eastAsia" w:ascii="宋体" w:hAnsi="宋体" w:cs="宋体"/>
                <w:color w:val="000000"/>
                <w:kern w:val="0"/>
                <w:sz w:val="22"/>
                <w:szCs w:val="22"/>
                <w:lang w:eastAsia="zh-CN"/>
              </w:rPr>
              <w:t>和结余</w:t>
            </w:r>
          </w:p>
        </w:tc>
        <w:tc>
          <w:tcPr>
            <w:tcW w:w="108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1152.09</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985.48</w:t>
            </w: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624"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9152.85</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9152.85</w:t>
            </w:r>
          </w:p>
        </w:tc>
      </w:tr>
    </w:tbl>
    <w:p>
      <w:pPr>
        <w:rPr>
          <w:rFonts w:hint="eastAsia" w:eastAsia="宋体"/>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lang w:eastAsia="zh-CN"/>
        </w:rPr>
        <w:t>注：本表反映部门本年度的总收支和年末结转结余情况。</w:t>
      </w: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6"/>
        <w:tblW w:w="14140" w:type="dxa"/>
        <w:jc w:val="center"/>
        <w:tblLayout w:type="fixed"/>
        <w:tblCellMar>
          <w:top w:w="0" w:type="dxa"/>
          <w:left w:w="108" w:type="dxa"/>
          <w:bottom w:w="0" w:type="dxa"/>
          <w:right w:w="108" w:type="dxa"/>
        </w:tblCellMar>
      </w:tblPr>
      <w:tblGrid>
        <w:gridCol w:w="1348"/>
        <w:gridCol w:w="2012"/>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201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8,000.76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7,999.14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1.62</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公共安全支出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6,138.46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6,136.88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检察</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6,123.94</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6,122.36</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2040401</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3,857.68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3,856.10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1.58</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2040402</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一般行政管理事务</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916.78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916.78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2040410</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检察监督</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716.00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716.00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2040499</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其他检察支出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633.48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633.48</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法院</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717.80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717.80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0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717.80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717.80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归口管理的行政单位离退休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214.36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214.36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503.44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503.44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516.23</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516.23</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516.23</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516.23</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215.37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215.37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300.14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300.14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2101199</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0.72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0.72</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368.24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368.24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ind w:firstLine="220" w:firstLineChars="10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368.24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368.24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359.36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359.36</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8.87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8.87</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0.04</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0.04</w:t>
            </w:r>
          </w:p>
        </w:tc>
      </w:tr>
      <w:tr>
        <w:tblPrEx>
          <w:tblCellMar>
            <w:top w:w="0" w:type="dxa"/>
            <w:left w:w="108" w:type="dxa"/>
            <w:bottom w:w="0" w:type="dxa"/>
            <w:right w:w="108" w:type="dxa"/>
          </w:tblCellMar>
        </w:tblPrEx>
        <w:trPr>
          <w:trHeight w:val="288"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20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60.04</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0.04</w:t>
            </w:r>
          </w:p>
        </w:tc>
      </w:tr>
    </w:tbl>
    <w:p>
      <w:pPr>
        <w:rPr>
          <w:rFonts w:hint="eastAsia"/>
        </w:rPr>
      </w:pPr>
    </w:p>
    <w:p>
      <w:pPr>
        <w:rPr>
          <w:rFonts w:hint="eastAsia" w:eastAsia="宋体"/>
          <w:lang w:eastAsia="zh-CN"/>
        </w:rPr>
      </w:pPr>
      <w:r>
        <w:rPr>
          <w:rFonts w:hint="eastAsia"/>
          <w:lang w:eastAsia="zh-CN"/>
        </w:rPr>
        <w:t>注：本表反映部门本年度取得的各项收入情况。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6"/>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8,167.37</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5,099.07</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3,068.30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公共安全支出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6,474.16</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3,665.86</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2,808.30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检察</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6,459.64</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3,651.34</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2,808.30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2040401</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3,646.85</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3,646.85</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2040402</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一般行政管理事务</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980.59</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4.49</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976.10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2040410</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检察监督</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498.61</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498.61</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2040499</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其他检察支出</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1,333.59</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1,333.59</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法院</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2040501</w:t>
            </w:r>
          </w:p>
        </w:tc>
        <w:tc>
          <w:tcPr>
            <w:tcW w:w="18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行政运行</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w:t>
            </w:r>
          </w:p>
        </w:tc>
        <w:tc>
          <w:tcPr>
            <w:tcW w:w="184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14.52</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7"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627.01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627.01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行政事业单位离退休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627.01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627.01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213.29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213.29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2080505</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413.72</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413.72</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437.80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437.80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行政事业单位医疗</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437.80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437.80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行政单位医疗</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177.00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177.00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2101103</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260.80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260.80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住房保障支出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368.39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368.39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住房改革支出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368.39</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368.39</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住房公积金</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359.51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359.51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2210203</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购房补贴</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8.87</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8.87</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8"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0"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181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60.01</w:t>
            </w:r>
          </w:p>
        </w:tc>
        <w:tc>
          <w:tcPr>
            <w:tcW w:w="184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60.00</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9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Pr>
        <w:rPr>
          <w:rFonts w:hint="eastAsia"/>
        </w:rPr>
      </w:pPr>
    </w:p>
    <w:p>
      <w:pPr>
        <w:rPr>
          <w:rFonts w:hint="eastAsia" w:eastAsia="宋体"/>
          <w:lang w:eastAsia="zh-CN"/>
        </w:rPr>
      </w:pPr>
      <w:r>
        <w:rPr>
          <w:rFonts w:hint="eastAsia"/>
          <w:lang w:eastAsia="zh-CN"/>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rPr>
          <w:rFonts w:hint="eastAsia"/>
        </w:rPr>
      </w:pPr>
      <w:r>
        <w:rPr>
          <w:rFonts w:hint="eastAsia"/>
          <w:sz w:val="22"/>
          <w:szCs w:val="22"/>
        </w:rPr>
        <w:t>单位：万元</w:t>
      </w:r>
    </w:p>
    <w:tbl>
      <w:tblPr>
        <w:tblStyle w:val="6"/>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3843"/>
        <w:gridCol w:w="705"/>
        <w:gridCol w:w="1432"/>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384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43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0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3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一、一般公共预算财政拨款</w:t>
            </w:r>
            <w:r>
              <w:rPr>
                <w:rFonts w:hint="eastAsia" w:ascii="宋体" w:hAnsi="宋体" w:cs="Arial"/>
                <w:kern w:val="0"/>
                <w:sz w:val="22"/>
                <w:szCs w:val="22"/>
                <w:lang w:eastAsia="zh-CN"/>
              </w:rPr>
              <w:t>收入</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43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7799.14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二、政府性基金预算财政拨款</w:t>
            </w:r>
            <w:r>
              <w:rPr>
                <w:rFonts w:hint="eastAsia" w:ascii="宋体" w:hAnsi="宋体" w:cs="Arial"/>
                <w:kern w:val="0"/>
                <w:sz w:val="22"/>
                <w:szCs w:val="22"/>
                <w:lang w:eastAsia="zh-CN"/>
              </w:rPr>
              <w:t>收入</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3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200.00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四、公共安全支出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21</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6474.16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6474.16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五、文化</w:t>
            </w:r>
            <w:r>
              <w:rPr>
                <w:rFonts w:hint="eastAsia" w:ascii="宋体" w:hAnsi="宋体" w:cs="Arial"/>
                <w:kern w:val="0"/>
                <w:sz w:val="22"/>
                <w:szCs w:val="22"/>
                <w:lang w:eastAsia="zh-CN"/>
              </w:rPr>
              <w:t>旅游</w:t>
            </w:r>
            <w:r>
              <w:rPr>
                <w:rFonts w:hint="eastAsia" w:ascii="宋体" w:hAnsi="宋体" w:cs="Arial"/>
                <w:kern w:val="0"/>
                <w:sz w:val="22"/>
                <w:szCs w:val="22"/>
              </w:rPr>
              <w:t>体育与传媒支出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627.01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627.01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宋体"/>
                <w:i w:val="0"/>
                <w:color w:val="000000"/>
                <w:kern w:val="0"/>
                <w:sz w:val="22"/>
                <w:szCs w:val="22"/>
                <w:u w:val="none"/>
                <w:lang w:val="en-US" w:eastAsia="zh-CN" w:bidi="ar"/>
              </w:rPr>
              <w:t>七</w:t>
            </w:r>
            <w:r>
              <w:rPr>
                <w:rFonts w:hint="eastAsia" w:ascii="宋体" w:hAnsi="宋体" w:eastAsia="宋体" w:cs="宋体"/>
                <w:i w:val="0"/>
                <w:color w:val="000000"/>
                <w:kern w:val="0"/>
                <w:sz w:val="22"/>
                <w:szCs w:val="22"/>
                <w:u w:val="none"/>
                <w:lang w:val="en-US" w:eastAsia="zh-CN" w:bidi="ar"/>
              </w:rPr>
              <w:t>、卫生健康支出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39</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437.80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437.80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cs="宋体"/>
                <w:i w:val="0"/>
                <w:color w:val="000000"/>
                <w:kern w:val="0"/>
                <w:sz w:val="22"/>
                <w:szCs w:val="22"/>
                <w:u w:val="none"/>
                <w:lang w:val="en-US" w:eastAsia="zh-CN" w:bidi="ar"/>
              </w:rPr>
              <w:t>八</w:t>
            </w:r>
            <w:r>
              <w:rPr>
                <w:rFonts w:hint="eastAsia" w:ascii="宋体" w:hAnsi="宋体" w:eastAsia="宋体" w:cs="宋体"/>
                <w:i w:val="0"/>
                <w:color w:val="000000"/>
                <w:kern w:val="0"/>
                <w:sz w:val="22"/>
                <w:szCs w:val="22"/>
                <w:u w:val="none"/>
                <w:lang w:val="en-US" w:eastAsia="zh-CN" w:bidi="ar"/>
              </w:rPr>
              <w:t>、城乡社区支出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41</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200.00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200.00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九、住房保障支出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49</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368.39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368.39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十、其他支出</w:t>
            </w:r>
          </w:p>
        </w:tc>
        <w:tc>
          <w:tcPr>
            <w:tcW w:w="6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52</w:t>
            </w:r>
          </w:p>
        </w:tc>
        <w:tc>
          <w:tcPr>
            <w:tcW w:w="1267"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60.00 </w:t>
            </w:r>
          </w:p>
        </w:tc>
        <w:tc>
          <w:tcPr>
            <w:tcW w:w="1149"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60.00 </w:t>
            </w:r>
          </w:p>
        </w:tc>
        <w:tc>
          <w:tcPr>
            <w:tcW w:w="131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432"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43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7999.14 </w:t>
            </w:r>
          </w:p>
        </w:tc>
        <w:tc>
          <w:tcPr>
            <w:tcW w:w="337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8167.36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43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1141.88 </w:t>
            </w:r>
          </w:p>
        </w:tc>
        <w:tc>
          <w:tcPr>
            <w:tcW w:w="337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w:t>
            </w:r>
            <w:r>
              <w:rPr>
                <w:rFonts w:hint="eastAsia" w:ascii="宋体" w:hAnsi="宋体" w:cs="Arial"/>
                <w:kern w:val="0"/>
                <w:sz w:val="22"/>
                <w:szCs w:val="22"/>
                <w:lang w:eastAsia="zh-CN"/>
              </w:rPr>
              <w:t>财政拨款</w:t>
            </w:r>
            <w:r>
              <w:rPr>
                <w:rFonts w:hint="eastAsia" w:ascii="宋体" w:hAnsi="宋体" w:cs="Arial"/>
                <w:kern w:val="0"/>
                <w:sz w:val="22"/>
                <w:szCs w:val="22"/>
              </w:rPr>
              <w:t>结转和结余</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973.66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43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1141.88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432"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43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0.00 </w:t>
            </w:r>
          </w:p>
        </w:tc>
        <w:tc>
          <w:tcPr>
            <w:tcW w:w="337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3843"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0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43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9141.02 </w:t>
            </w:r>
          </w:p>
        </w:tc>
        <w:tc>
          <w:tcPr>
            <w:tcW w:w="337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9141.02 </w:t>
            </w:r>
          </w:p>
        </w:tc>
      </w:tr>
    </w:tbl>
    <w:p>
      <w:pPr>
        <w:rPr>
          <w:rFonts w:hint="eastAsia" w:eastAsia="宋体"/>
          <w:lang w:eastAsia="zh-CN"/>
        </w:rPr>
      </w:pPr>
      <w:r>
        <w:rPr>
          <w:rFonts w:hint="eastAsia"/>
          <w:lang w:eastAsia="zh-CN"/>
        </w:rPr>
        <w:t>注：本表反映部门本年度一般公共预算财政拨款和政府性基金预算财政拨款的总收支和年末结转结余情况。</w:t>
      </w:r>
    </w:p>
    <w:p>
      <w:pPr>
        <w:rPr>
          <w:rFonts w:hint="eastAsia"/>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宋体" w:cs="Arial"/>
                <w:kern w:val="0"/>
                <w:sz w:val="22"/>
                <w:szCs w:val="22"/>
                <w:lang w:eastAsia="zh-CN"/>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both"/>
              <w:rPr>
                <w:rFonts w:ascii="MingLiU" w:hAnsi="MingLiU" w:eastAsia="MingLiU" w:cs="Arial"/>
                <w:kern w:val="0"/>
                <w:sz w:val="22"/>
                <w:szCs w:val="22"/>
              </w:rPr>
            </w:pPr>
            <w:r>
              <w:rPr>
                <w:rFonts w:hint="eastAsia" w:ascii="MingLiU" w:hAnsi="MingLiU" w:cs="Arial"/>
                <w:kern w:val="0"/>
                <w:sz w:val="22"/>
                <w:szCs w:val="22"/>
                <w:lang w:eastAsia="zh-CN"/>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7967.3</w:t>
            </w:r>
            <w:r>
              <w:rPr>
                <w:rFonts w:hint="eastAsia" w:ascii="宋体" w:hAnsi="宋体" w:cs="宋体"/>
                <w:i w:val="0"/>
                <w:color w:val="000000"/>
                <w:kern w:val="0"/>
                <w:sz w:val="24"/>
                <w:szCs w:val="24"/>
                <w:u w:val="none"/>
                <w:lang w:val="en-US" w:eastAsia="zh-CN" w:bidi="ar"/>
              </w:rPr>
              <w:t>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5099.05</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2868.30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公共安全支出</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6,474.16</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3,665.86</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2,808.30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检察</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6,459.64</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3,651.34</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2,808.30</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2040401</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3,646.85</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3,646.85</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2040402</w:t>
            </w:r>
          </w:p>
        </w:tc>
        <w:tc>
          <w:tcPr>
            <w:tcW w:w="300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一般行政管理事务</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980.59</w:t>
            </w:r>
          </w:p>
        </w:tc>
        <w:tc>
          <w:tcPr>
            <w:tcW w:w="2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4.49</w:t>
            </w:r>
          </w:p>
        </w:tc>
        <w:tc>
          <w:tcPr>
            <w:tcW w:w="339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976.10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2040410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检察监督</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498.61</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498.61</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2040499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其他检察支出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1,333.59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1,333.59</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20405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法院</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14.52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14.52</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2040501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行政运行</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14.52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14.52</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627.01</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627.01</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行政事业单位离退休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627.01</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627.01</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归口管理的行政单位离退休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213.29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213.29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413.72</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413.72</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437.80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437.80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437.80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437.80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行政单位医疗</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177.00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177.00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2101103</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公务员医疗补助</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260.80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260.80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2101199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住房保障支出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368.39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368.39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住房改革支出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368.39</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368.39</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住房公积金</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359.51</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359.51</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2210203</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购房补贴</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8.87</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8.87</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60.00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2299901</w:t>
            </w:r>
          </w:p>
        </w:tc>
        <w:tc>
          <w:tcPr>
            <w:tcW w:w="30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其他支出</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60.00</w:t>
            </w:r>
          </w:p>
        </w:tc>
        <w:tc>
          <w:tcPr>
            <w:tcW w:w="29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0.00</w:t>
            </w:r>
          </w:p>
        </w:tc>
        <w:tc>
          <w:tcPr>
            <w:tcW w:w="3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60.00</w:t>
            </w:r>
          </w:p>
        </w:tc>
      </w:tr>
    </w:tbl>
    <w:p>
      <w:pPr>
        <w:rPr>
          <w:rFonts w:hint="eastAsia"/>
        </w:rPr>
      </w:pPr>
    </w:p>
    <w:p>
      <w:pPr>
        <w:rPr>
          <w:rFonts w:hint="eastAsia"/>
        </w:rPr>
      </w:pPr>
      <w:r>
        <w:rPr>
          <w:rFonts w:hint="eastAsia"/>
          <w:lang w:eastAsia="zh-CN"/>
        </w:rPr>
        <w:t>注：本表反映部门本年度一般公共预算财政拨款实际支出情况。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9697" w:type="dxa"/>
        <w:tblInd w:w="-453" w:type="dxa"/>
        <w:tblLayout w:type="fixed"/>
        <w:tblCellMar>
          <w:top w:w="0" w:type="dxa"/>
          <w:left w:w="108" w:type="dxa"/>
          <w:bottom w:w="0" w:type="dxa"/>
          <w:right w:w="108" w:type="dxa"/>
        </w:tblCellMar>
      </w:tblPr>
      <w:tblGrid>
        <w:gridCol w:w="1020"/>
        <w:gridCol w:w="2820"/>
        <w:gridCol w:w="1035"/>
        <w:gridCol w:w="1005"/>
        <w:gridCol w:w="2212"/>
        <w:gridCol w:w="1605"/>
      </w:tblGrid>
      <w:tr>
        <w:tblPrEx>
          <w:tblCellMar>
            <w:top w:w="0" w:type="dxa"/>
            <w:left w:w="108" w:type="dxa"/>
            <w:bottom w:w="0" w:type="dxa"/>
            <w:right w:w="108" w:type="dxa"/>
          </w:tblCellMar>
        </w:tblPrEx>
        <w:trPr>
          <w:trHeight w:val="564" w:hRule="atLeast"/>
        </w:trPr>
        <w:tc>
          <w:tcPr>
            <w:tcW w:w="487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人员经费</w:t>
            </w:r>
          </w:p>
        </w:tc>
        <w:tc>
          <w:tcPr>
            <w:tcW w:w="482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w:t>
            </w:r>
          </w:p>
        </w:tc>
      </w:tr>
      <w:tr>
        <w:tblPrEx>
          <w:tblCellMar>
            <w:top w:w="0" w:type="dxa"/>
            <w:left w:w="108" w:type="dxa"/>
            <w:bottom w:w="0" w:type="dxa"/>
            <w:right w:w="108" w:type="dxa"/>
          </w:tblCellMar>
        </w:tblPrEx>
        <w:trPr>
          <w:trHeight w:val="312" w:hRule="atLeast"/>
        </w:trPr>
        <w:tc>
          <w:tcPr>
            <w:tcW w:w="1020"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支出经济分类科目编码</w:t>
            </w:r>
          </w:p>
        </w:tc>
        <w:tc>
          <w:tcPr>
            <w:tcW w:w="282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035" w:type="dxa"/>
            <w:tcBorders>
              <w:top w:val="nil"/>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金额</w:t>
            </w:r>
          </w:p>
        </w:tc>
        <w:tc>
          <w:tcPr>
            <w:tcW w:w="10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221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金额</w:t>
            </w:r>
          </w:p>
        </w:tc>
      </w:tr>
      <w:tr>
        <w:tblPrEx>
          <w:tblCellMar>
            <w:top w:w="0" w:type="dxa"/>
            <w:left w:w="108" w:type="dxa"/>
            <w:bottom w:w="0" w:type="dxa"/>
            <w:right w:w="108" w:type="dxa"/>
          </w:tblCellMar>
        </w:tblPrEx>
        <w:trPr>
          <w:trHeight w:val="264"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301</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4291.05 </w:t>
            </w:r>
          </w:p>
        </w:tc>
        <w:tc>
          <w:tcPr>
            <w:tcW w:w="100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w:t>
            </w:r>
          </w:p>
        </w:tc>
        <w:tc>
          <w:tcPr>
            <w:tcW w:w="221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商品和服务支出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603.68 </w:t>
            </w:r>
          </w:p>
        </w:tc>
      </w:tr>
      <w:tr>
        <w:tblPrEx>
          <w:tblCellMar>
            <w:top w:w="0" w:type="dxa"/>
            <w:left w:w="108" w:type="dxa"/>
            <w:bottom w:w="0" w:type="dxa"/>
            <w:right w:w="108" w:type="dxa"/>
          </w:tblCellMar>
        </w:tblPrEx>
        <w:trPr>
          <w:trHeight w:val="264"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30101</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986.98 </w:t>
            </w:r>
          </w:p>
        </w:tc>
        <w:tc>
          <w:tcPr>
            <w:tcW w:w="1005"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30201</w:t>
            </w:r>
          </w:p>
        </w:tc>
        <w:tc>
          <w:tcPr>
            <w:tcW w:w="221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办公费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133.54 </w:t>
            </w:r>
          </w:p>
        </w:tc>
      </w:tr>
      <w:tr>
        <w:tblPrEx>
          <w:tblCellMar>
            <w:top w:w="0" w:type="dxa"/>
            <w:left w:w="108" w:type="dxa"/>
            <w:bottom w:w="0" w:type="dxa"/>
            <w:right w:w="108" w:type="dxa"/>
          </w:tblCellMar>
        </w:tblPrEx>
        <w:trPr>
          <w:trHeight w:val="264"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30102</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762.67 </w:t>
            </w:r>
          </w:p>
        </w:tc>
        <w:tc>
          <w:tcPr>
            <w:tcW w:w="1005"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221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印刷费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3.10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30103</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 xml:space="preserve">  资金  </w:t>
            </w:r>
            <w:r>
              <w:rPr>
                <w:rFonts w:ascii="宋体" w:hAnsi="宋体" w:cs="Arial"/>
                <w:color w:val="000000"/>
                <w:kern w:val="0"/>
                <w:sz w:val="22"/>
                <w:szCs w:val="22"/>
              </w:rPr>
              <w:t>　</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1181.38 </w:t>
            </w:r>
          </w:p>
        </w:tc>
        <w:tc>
          <w:tcPr>
            <w:tcW w:w="100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30303</w:t>
            </w:r>
          </w:p>
        </w:tc>
        <w:tc>
          <w:tcPr>
            <w:tcW w:w="221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咨询费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30104</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其他社会保障缴费</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9.73</w:t>
            </w:r>
          </w:p>
        </w:tc>
        <w:tc>
          <w:tcPr>
            <w:tcW w:w="100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221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手续费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0.06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30106</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伙食补助费</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 xml:space="preserve">65.62 </w:t>
            </w:r>
          </w:p>
        </w:tc>
        <w:tc>
          <w:tcPr>
            <w:tcW w:w="1005"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30305</w:t>
            </w:r>
          </w:p>
        </w:tc>
        <w:tc>
          <w:tcPr>
            <w:tcW w:w="221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水费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2.79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30107</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绩效工资</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 xml:space="preserve">97.19 </w:t>
            </w:r>
          </w:p>
        </w:tc>
        <w:tc>
          <w:tcPr>
            <w:tcW w:w="1005"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30306</w:t>
            </w:r>
          </w:p>
        </w:tc>
        <w:tc>
          <w:tcPr>
            <w:tcW w:w="221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电费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50.45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 xml:space="preserve"> 30108</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机关事业单位基本养老保险缴费</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 xml:space="preserve">389.86 </w:t>
            </w:r>
          </w:p>
        </w:tc>
        <w:tc>
          <w:tcPr>
            <w:tcW w:w="100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30307</w:t>
            </w:r>
          </w:p>
        </w:tc>
        <w:tc>
          <w:tcPr>
            <w:tcW w:w="221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邮电费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38.58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30109</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职业年金缴费</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p>
        </w:tc>
        <w:tc>
          <w:tcPr>
            <w:tcW w:w="100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30308</w:t>
            </w:r>
          </w:p>
        </w:tc>
        <w:tc>
          <w:tcPr>
            <w:tcW w:w="221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取暖费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30110</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 xml:space="preserve">165.89 </w:t>
            </w:r>
          </w:p>
        </w:tc>
        <w:tc>
          <w:tcPr>
            <w:tcW w:w="100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30309</w:t>
            </w:r>
          </w:p>
        </w:tc>
        <w:tc>
          <w:tcPr>
            <w:tcW w:w="2212"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物业管理费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0.30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30111</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245.10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30211</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差旅费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6.14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30113</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 xml:space="preserve">  住房公积金</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377.84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30212</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60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30199</w:t>
            </w: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bidi="ar-SA"/>
              </w:rPr>
            </w:pPr>
            <w:r>
              <w:rPr>
                <w:rFonts w:ascii="宋体" w:hAnsi="宋体" w:cs="Arial"/>
                <w:color w:val="000000"/>
                <w:kern w:val="0"/>
                <w:sz w:val="22"/>
                <w:szCs w:val="22"/>
              </w:rPr>
              <w:t>　</w:t>
            </w:r>
            <w:r>
              <w:rPr>
                <w:rFonts w:hint="eastAsia" w:ascii="宋体" w:hAnsi="宋体" w:cs="Arial"/>
                <w:color w:val="000000"/>
                <w:kern w:val="0"/>
                <w:sz w:val="22"/>
                <w:szCs w:val="22"/>
                <w:lang w:eastAsia="zh-CN"/>
              </w:rPr>
              <w:t>其他工资福利支出</w:t>
            </w:r>
          </w:p>
        </w:tc>
        <w:tc>
          <w:tcPr>
            <w:tcW w:w="103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8.78</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30213</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维修（护）费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12.07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303</w:t>
            </w: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对个人家庭的补助</w:t>
            </w:r>
            <w:r>
              <w:rPr>
                <w:rFonts w:ascii="宋体" w:hAnsi="宋体" w:cs="Arial"/>
                <w:color w:val="000000"/>
                <w:kern w:val="0"/>
                <w:sz w:val="22"/>
                <w:szCs w:val="22"/>
              </w:rPr>
              <w:t>　</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204.33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30214</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租赁费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0.24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30301</w:t>
            </w: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离休费</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 xml:space="preserve">32.57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30215</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会议费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6.00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30302</w:t>
            </w: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退休费</w:t>
            </w:r>
            <w:r>
              <w:rPr>
                <w:rFonts w:ascii="宋体" w:hAnsi="宋体" w:cs="Arial"/>
                <w:color w:val="000000"/>
                <w:kern w:val="0"/>
                <w:sz w:val="22"/>
                <w:szCs w:val="22"/>
              </w:rPr>
              <w:t>　</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24.74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30216</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培训费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16.70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30304</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 xml:space="preserve">  抚恤金</w:t>
            </w:r>
          </w:p>
        </w:tc>
        <w:tc>
          <w:tcPr>
            <w:tcW w:w="1035" w:type="dxa"/>
            <w:tcBorders>
              <w:top w:val="nil"/>
              <w:left w:val="nil"/>
              <w:bottom w:val="single" w:color="auto" w:sz="4" w:space="0"/>
              <w:right w:val="single" w:color="auto" w:sz="4" w:space="0"/>
            </w:tcBorders>
            <w:vAlign w:val="center"/>
          </w:tcPr>
          <w:p>
            <w:pPr>
              <w:jc w:val="righ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88.34</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30217</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公务接待费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5.91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30305</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eastAsia="宋体" w:cs="宋体"/>
                <w:i w:val="0"/>
                <w:color w:val="000000"/>
                <w:kern w:val="0"/>
                <w:sz w:val="20"/>
                <w:szCs w:val="20"/>
                <w:u w:val="none"/>
                <w:lang w:val="en-US" w:eastAsia="zh-CN" w:bidi="ar"/>
              </w:rPr>
              <w:t xml:space="preserve">  生活补助</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58.69 </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30218</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专用材料费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0.69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30306</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救济费</w:t>
            </w:r>
          </w:p>
        </w:tc>
        <w:tc>
          <w:tcPr>
            <w:tcW w:w="1035" w:type="dxa"/>
            <w:tcBorders>
              <w:top w:val="nil"/>
              <w:left w:val="nil"/>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30224</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被装购置费</w:t>
            </w:r>
          </w:p>
        </w:tc>
        <w:tc>
          <w:tcPr>
            <w:tcW w:w="160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30307</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医疗费补助</w:t>
            </w:r>
          </w:p>
        </w:tc>
        <w:tc>
          <w:tcPr>
            <w:tcW w:w="1035" w:type="dxa"/>
            <w:tcBorders>
              <w:top w:val="nil"/>
              <w:left w:val="nil"/>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30225</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专用燃料费</w:t>
            </w:r>
          </w:p>
        </w:tc>
        <w:tc>
          <w:tcPr>
            <w:tcW w:w="160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30308</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助学金</w:t>
            </w:r>
          </w:p>
        </w:tc>
        <w:tc>
          <w:tcPr>
            <w:tcW w:w="1035" w:type="dxa"/>
            <w:tcBorders>
              <w:top w:val="nil"/>
              <w:left w:val="nil"/>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30226</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劳务费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1.24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30309</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奖励金</w:t>
            </w:r>
          </w:p>
        </w:tc>
        <w:tc>
          <w:tcPr>
            <w:tcW w:w="1035" w:type="dxa"/>
            <w:tcBorders>
              <w:top w:val="nil"/>
              <w:left w:val="nil"/>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30227</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委托业务费</w:t>
            </w:r>
          </w:p>
        </w:tc>
        <w:tc>
          <w:tcPr>
            <w:tcW w:w="160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30310</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035" w:type="dxa"/>
            <w:tcBorders>
              <w:top w:val="nil"/>
              <w:left w:val="nil"/>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30228</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工会经费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46.37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30399</w:t>
            </w: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035" w:type="dxa"/>
            <w:tcBorders>
              <w:top w:val="nil"/>
              <w:left w:val="nil"/>
              <w:bottom w:val="single" w:color="auto" w:sz="4" w:space="0"/>
              <w:right w:val="single" w:color="auto" w:sz="4" w:space="0"/>
            </w:tcBorders>
            <w:vAlign w:val="center"/>
          </w:tcPr>
          <w:p>
            <w:pP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30229</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福利费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6.21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30231</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34.72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ind w:firstLine="0" w:firstLineChars="0"/>
              <w:jc w:val="left"/>
              <w:rPr>
                <w:rFonts w:hint="eastAsia" w:ascii="宋体" w:hAnsi="宋体" w:eastAsia="宋体" w:cs="Arial"/>
                <w:color w:val="000000"/>
                <w:kern w:val="0"/>
                <w:sz w:val="22"/>
                <w:szCs w:val="22"/>
                <w:lang w:val="en-US" w:eastAsia="zh-CN" w:bidi="ar-SA"/>
              </w:rPr>
            </w:pP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bidi="ar-SA"/>
              </w:rPr>
            </w:pP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30239</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其他交通费用</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153.49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bidi="ar-SA"/>
              </w:rPr>
            </w:pP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bidi="ar-SA"/>
              </w:rPr>
            </w:pP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30240</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10.89 </w:t>
            </w:r>
          </w:p>
        </w:tc>
      </w:tr>
      <w:tr>
        <w:tblPrEx>
          <w:tblCellMar>
            <w:top w:w="0" w:type="dxa"/>
            <w:left w:w="108" w:type="dxa"/>
            <w:bottom w:w="0" w:type="dxa"/>
            <w:right w:w="108" w:type="dxa"/>
          </w:tblCellMar>
        </w:tblPrEx>
        <w:trPr>
          <w:trHeight w:val="276" w:hRule="atLeast"/>
        </w:trPr>
        <w:tc>
          <w:tcPr>
            <w:tcW w:w="102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p>
        </w:tc>
        <w:tc>
          <w:tcPr>
            <w:tcW w:w="28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30299</w:t>
            </w:r>
          </w:p>
        </w:tc>
        <w:tc>
          <w:tcPr>
            <w:tcW w:w="2212"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74.18 </w:t>
            </w:r>
          </w:p>
        </w:tc>
      </w:tr>
      <w:tr>
        <w:tblPrEx>
          <w:tblCellMar>
            <w:top w:w="0" w:type="dxa"/>
            <w:left w:w="108" w:type="dxa"/>
            <w:bottom w:w="0" w:type="dxa"/>
            <w:right w:w="108" w:type="dxa"/>
          </w:tblCellMar>
        </w:tblPrEx>
        <w:trPr>
          <w:trHeight w:val="264" w:hRule="atLeast"/>
        </w:trPr>
        <w:tc>
          <w:tcPr>
            <w:tcW w:w="3840"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人员经费合计</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4495.38 </w:t>
            </w:r>
          </w:p>
        </w:tc>
        <w:tc>
          <w:tcPr>
            <w:tcW w:w="3217"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公用经费合计</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 xml:space="preserve">603.68 </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lang w:eastAsia="zh-CN"/>
        </w:rPr>
        <w:t>注：本表反映部门本年度一般公共预算财政拨款基本支出明细情</w:t>
      </w:r>
    </w:p>
    <w:p>
      <w:pPr>
        <w:jc w:val="both"/>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6"/>
        <w:tblW w:w="13921" w:type="dxa"/>
        <w:jc w:val="center"/>
        <w:tblLayout w:type="fixed"/>
        <w:tblCellMar>
          <w:top w:w="0" w:type="dxa"/>
          <w:left w:w="108" w:type="dxa"/>
          <w:bottom w:w="0" w:type="dxa"/>
          <w:right w:w="108" w:type="dxa"/>
        </w:tblCellMar>
      </w:tblPr>
      <w:tblGrid>
        <w:gridCol w:w="829"/>
        <w:gridCol w:w="1603"/>
        <w:gridCol w:w="828"/>
        <w:gridCol w:w="1242"/>
        <w:gridCol w:w="1242"/>
        <w:gridCol w:w="1150"/>
        <w:gridCol w:w="872"/>
        <w:gridCol w:w="1468"/>
        <w:gridCol w:w="898"/>
        <w:gridCol w:w="1398"/>
        <w:gridCol w:w="1208"/>
        <w:gridCol w:w="1183"/>
      </w:tblGrid>
      <w:tr>
        <w:tblPrEx>
          <w:tblCellMar>
            <w:top w:w="0" w:type="dxa"/>
            <w:left w:w="108" w:type="dxa"/>
            <w:bottom w:w="0" w:type="dxa"/>
            <w:right w:w="108" w:type="dxa"/>
          </w:tblCellMar>
        </w:tblPrEx>
        <w:trPr>
          <w:trHeight w:val="540" w:hRule="atLeast"/>
          <w:jc w:val="center"/>
        </w:trPr>
        <w:tc>
          <w:tcPr>
            <w:tcW w:w="689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年度预算数</w:t>
            </w:r>
          </w:p>
        </w:tc>
        <w:tc>
          <w:tcPr>
            <w:tcW w:w="702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5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7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468"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50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5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68"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5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7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46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116.56</w:t>
            </w:r>
          </w:p>
        </w:tc>
        <w:tc>
          <w:tcPr>
            <w:tcW w:w="1603" w:type="dxa"/>
            <w:tcBorders>
              <w:top w:val="nil"/>
              <w:left w:val="nil"/>
              <w:bottom w:val="single" w:color="auto" w:sz="4" w:space="0"/>
              <w:right w:val="single" w:color="auto" w:sz="4" w:space="0"/>
            </w:tcBorders>
            <w:vAlign w:val="center"/>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0.71</w:t>
            </w:r>
          </w:p>
        </w:tc>
        <w:tc>
          <w:tcPr>
            <w:tcW w:w="82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104.82</w:t>
            </w: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vAlign w:val="center"/>
          </w:tcPr>
          <w:p>
            <w:pPr>
              <w:widowControl/>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53.94</w:t>
            </w:r>
          </w:p>
        </w:tc>
        <w:tc>
          <w:tcPr>
            <w:tcW w:w="1242" w:type="dxa"/>
            <w:tcBorders>
              <w:top w:val="nil"/>
              <w:left w:val="nil"/>
              <w:bottom w:val="single" w:color="auto" w:sz="4" w:space="0"/>
              <w:right w:val="single" w:color="auto" w:sz="4" w:space="0"/>
            </w:tcBorders>
            <w:vAlign w:val="center"/>
          </w:tcPr>
          <w:p>
            <w:pPr>
              <w:widowControl/>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50.88</w:t>
            </w:r>
          </w:p>
        </w:tc>
        <w:tc>
          <w:tcPr>
            <w:tcW w:w="1150" w:type="dxa"/>
            <w:tcBorders>
              <w:top w:val="nil"/>
              <w:left w:val="nil"/>
              <w:bottom w:val="single" w:color="auto" w:sz="4" w:space="0"/>
              <w:right w:val="single" w:color="auto" w:sz="4" w:space="0"/>
            </w:tcBorders>
            <w:vAlign w:val="center"/>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11.03</w:t>
            </w:r>
          </w:p>
        </w:tc>
        <w:tc>
          <w:tcPr>
            <w:tcW w:w="872" w:type="dxa"/>
            <w:tcBorders>
              <w:top w:val="nil"/>
              <w:left w:val="nil"/>
              <w:bottom w:val="single" w:color="auto" w:sz="4" w:space="0"/>
              <w:right w:val="single" w:color="auto" w:sz="4" w:space="0"/>
            </w:tcBorders>
            <w:vAlign w:val="center"/>
          </w:tcPr>
          <w:p>
            <w:pPr>
              <w:widowControl/>
              <w:jc w:val="righ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113.13</w:t>
            </w:r>
          </w:p>
        </w:tc>
        <w:tc>
          <w:tcPr>
            <w:tcW w:w="1468" w:type="dxa"/>
            <w:tcBorders>
              <w:top w:val="nil"/>
              <w:left w:val="nil"/>
              <w:bottom w:val="single" w:color="auto" w:sz="4" w:space="0"/>
              <w:right w:val="single" w:color="auto" w:sz="4" w:space="0"/>
            </w:tcBorders>
            <w:vAlign w:val="center"/>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0.71</w:t>
            </w:r>
          </w:p>
        </w:tc>
        <w:tc>
          <w:tcPr>
            <w:tcW w:w="89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101.81</w:t>
            </w:r>
            <w:r>
              <w:rPr>
                <w:rFonts w:ascii="Arial" w:hAnsi="Arial" w:cs="Arial"/>
                <w:color w:val="000000"/>
                <w:kern w:val="0"/>
                <w:sz w:val="20"/>
                <w:szCs w:val="20"/>
              </w:rPr>
              <w:t>　</w:t>
            </w:r>
          </w:p>
        </w:tc>
        <w:tc>
          <w:tcPr>
            <w:tcW w:w="1398" w:type="dxa"/>
            <w:tcBorders>
              <w:top w:val="nil"/>
              <w:left w:val="nil"/>
              <w:bottom w:val="single" w:color="auto" w:sz="4" w:space="0"/>
              <w:right w:val="single" w:color="auto" w:sz="4" w:space="0"/>
            </w:tcBorders>
            <w:vAlign w:val="center"/>
          </w:tcPr>
          <w:p>
            <w:pPr>
              <w:widowControl/>
              <w:ind w:firstLine="400" w:firstLineChars="2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53.20</w:t>
            </w:r>
          </w:p>
        </w:tc>
        <w:tc>
          <w:tcPr>
            <w:tcW w:w="1208" w:type="dxa"/>
            <w:tcBorders>
              <w:top w:val="nil"/>
              <w:left w:val="nil"/>
              <w:bottom w:val="single" w:color="auto" w:sz="4" w:space="0"/>
              <w:right w:val="single" w:color="auto" w:sz="4" w:space="0"/>
            </w:tcBorders>
            <w:vAlign w:val="center"/>
          </w:tcPr>
          <w:p>
            <w:pPr>
              <w:widowControl/>
              <w:jc w:val="right"/>
              <w:rPr>
                <w:rFonts w:ascii="Arial" w:hAnsi="Arial" w:cs="Arial"/>
                <w:color w:val="000000"/>
                <w:kern w:val="0"/>
                <w:sz w:val="20"/>
                <w:szCs w:val="20"/>
              </w:rPr>
            </w:pPr>
            <w:r>
              <w:rPr>
                <w:rFonts w:hint="eastAsia" w:ascii="Arial" w:hAnsi="Arial" w:cs="Arial"/>
                <w:color w:val="000000"/>
                <w:kern w:val="0"/>
                <w:sz w:val="20"/>
                <w:szCs w:val="20"/>
                <w:lang w:val="en-US" w:eastAsia="zh-CN"/>
              </w:rPr>
              <w:t>48.61</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vAlign w:val="center"/>
          </w:tcPr>
          <w:p>
            <w:pPr>
              <w:widowControl/>
              <w:ind w:firstLine="200" w:firstLineChars="100"/>
              <w:jc w:val="right"/>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10.61</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rPr>
          <w:rFonts w:hint="eastAsia"/>
        </w:rPr>
      </w:pPr>
    </w:p>
    <w:p>
      <w:pPr>
        <w:rPr>
          <w:rFonts w:hint="eastAsia"/>
        </w:rPr>
      </w:pPr>
    </w:p>
    <w:tbl>
      <w:tblPr>
        <w:tblStyle w:val="6"/>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支出功能分类</w:t>
            </w: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537"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w:t>
            </w:r>
          </w:p>
        </w:tc>
        <w:tc>
          <w:tcPr>
            <w:tcW w:w="13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城乡社区支出</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21208</w:t>
            </w:r>
          </w:p>
        </w:tc>
        <w:tc>
          <w:tcPr>
            <w:tcW w:w="13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2120803</w:t>
            </w:r>
          </w:p>
        </w:tc>
        <w:tc>
          <w:tcPr>
            <w:tcW w:w="138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城市建设支出</w:t>
            </w:r>
          </w:p>
        </w:tc>
        <w:tc>
          <w:tcPr>
            <w:tcW w:w="76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200.00</w:t>
            </w:r>
          </w:p>
        </w:tc>
        <w:tc>
          <w:tcPr>
            <w:tcW w:w="104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0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9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bl>
    <w:p>
      <w:pPr>
        <w:spacing w:line="560" w:lineRule="exact"/>
        <w:rPr>
          <w:rFonts w:hint="eastAsia" w:ascii="仿宋_GB2312"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lang w:val="en-US" w:eastAsia="zh-CN"/>
        </w:rPr>
        <w:t xml:space="preserve">    </w:t>
      </w:r>
      <w:r>
        <w:rPr>
          <w:rFonts w:hint="eastAsia"/>
          <w:lang w:eastAsia="zh-CN"/>
        </w:rPr>
        <w:t>注：本表反映部门本年度政府性基金预算财政拨款收入支出及结转和结余情况。</w:t>
      </w:r>
    </w:p>
    <w:p>
      <w:pPr>
        <w:spacing w:line="56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柳州市人民检察院</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年度收</w:t>
      </w:r>
      <w:r>
        <w:rPr>
          <w:rFonts w:hint="eastAsia" w:ascii="仿宋_GB2312" w:eastAsia="仿宋_GB2312" w:cs="仿宋_GB2312"/>
          <w:b w:val="0"/>
          <w:bCs/>
          <w:kern w:val="0"/>
          <w:sz w:val="32"/>
          <w:szCs w:val="32"/>
          <w:lang w:eastAsia="zh-CN"/>
        </w:rPr>
        <w:t>入、支出</w:t>
      </w:r>
      <w:r>
        <w:rPr>
          <w:rFonts w:hint="eastAsia" w:ascii="仿宋_GB2312" w:eastAsia="仿宋_GB2312" w:cs="仿宋_GB2312"/>
          <w:b w:val="0"/>
          <w:bCs/>
          <w:kern w:val="0"/>
          <w:sz w:val="32"/>
          <w:szCs w:val="32"/>
        </w:rPr>
        <w:t>总计</w:t>
      </w:r>
      <w:r>
        <w:rPr>
          <w:rFonts w:hint="eastAsia" w:ascii="仿宋_GB2312" w:eastAsia="仿宋_GB2312" w:cs="仿宋_GB2312"/>
          <w:b w:val="0"/>
          <w:bCs/>
          <w:kern w:val="0"/>
          <w:sz w:val="32"/>
          <w:szCs w:val="32"/>
          <w:lang w:val="en-US" w:eastAsia="zh-CN"/>
        </w:rPr>
        <w:t>9152.85</w:t>
      </w:r>
      <w:r>
        <w:rPr>
          <w:rFonts w:hint="eastAsia" w:ascii="仿宋_GB2312" w:eastAsia="仿宋_GB2312" w:cs="仿宋_GB2312"/>
          <w:b w:val="0"/>
          <w:bCs/>
          <w:kern w:val="0"/>
          <w:sz w:val="32"/>
          <w:szCs w:val="32"/>
        </w:rPr>
        <w:t>万元，与</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8</w:t>
      </w:r>
      <w:r>
        <w:rPr>
          <w:rFonts w:hint="eastAsia" w:ascii="仿宋_GB2312" w:eastAsia="仿宋_GB2312" w:cs="仿宋_GB2312"/>
          <w:b w:val="0"/>
          <w:bCs/>
          <w:kern w:val="0"/>
          <w:sz w:val="32"/>
          <w:szCs w:val="32"/>
        </w:rPr>
        <w:t>年相比，收</w:t>
      </w:r>
      <w:r>
        <w:rPr>
          <w:rFonts w:hint="eastAsia" w:ascii="仿宋_GB2312" w:eastAsia="仿宋_GB2312" w:cs="仿宋_GB2312"/>
          <w:b w:val="0"/>
          <w:bCs/>
          <w:kern w:val="0"/>
          <w:sz w:val="32"/>
          <w:szCs w:val="32"/>
          <w:lang w:eastAsia="zh-CN"/>
        </w:rPr>
        <w:t>、支各</w:t>
      </w:r>
      <w:r>
        <w:rPr>
          <w:rFonts w:hint="eastAsia" w:ascii="仿宋_GB2312" w:eastAsia="仿宋_GB2312" w:cs="仿宋_GB2312"/>
          <w:b w:val="0"/>
          <w:bCs/>
          <w:kern w:val="0"/>
          <w:sz w:val="32"/>
          <w:szCs w:val="32"/>
        </w:rPr>
        <w:t>增加</w:t>
      </w:r>
      <w:r>
        <w:rPr>
          <w:rFonts w:hint="eastAsia" w:ascii="仿宋_GB2312" w:eastAsia="仿宋_GB2312" w:cs="仿宋_GB2312"/>
          <w:b w:val="0"/>
          <w:bCs/>
          <w:kern w:val="0"/>
          <w:sz w:val="32"/>
          <w:szCs w:val="32"/>
          <w:lang w:val="en-US" w:eastAsia="zh-CN"/>
        </w:rPr>
        <w:t>493.55万元，</w:t>
      </w:r>
      <w:r>
        <w:rPr>
          <w:rFonts w:hint="eastAsia" w:ascii="仿宋_GB2312" w:eastAsia="仿宋_GB2312" w:cs="仿宋_GB2312"/>
          <w:b w:val="0"/>
          <w:bCs/>
          <w:kern w:val="0"/>
          <w:sz w:val="32"/>
          <w:szCs w:val="32"/>
        </w:rPr>
        <w:t>增长</w:t>
      </w:r>
      <w:r>
        <w:rPr>
          <w:rFonts w:hint="eastAsia" w:ascii="仿宋_GB2312" w:eastAsia="仿宋_GB2312" w:cs="仿宋_GB2312"/>
          <w:b w:val="0"/>
          <w:bCs/>
          <w:kern w:val="0"/>
          <w:sz w:val="32"/>
          <w:szCs w:val="32"/>
          <w:lang w:val="en-US" w:eastAsia="zh-CN"/>
        </w:rPr>
        <w:t>5.70</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二、</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 w:val="0"/>
          <w:bCs/>
          <w:kern w:val="0"/>
          <w:sz w:val="32"/>
          <w:szCs w:val="32"/>
        </w:rPr>
        <w:t>本年收入总计</w:t>
      </w:r>
      <w:r>
        <w:rPr>
          <w:rFonts w:hint="eastAsia" w:ascii="仿宋_GB2312" w:eastAsia="仿宋_GB2312" w:cs="仿宋_GB2312"/>
          <w:b w:val="0"/>
          <w:bCs/>
          <w:kern w:val="0"/>
          <w:sz w:val="32"/>
          <w:szCs w:val="32"/>
          <w:lang w:val="en-US" w:eastAsia="zh-CN"/>
        </w:rPr>
        <w:t>8000.76</w:t>
      </w:r>
      <w:r>
        <w:rPr>
          <w:rFonts w:hint="eastAsia" w:ascii="仿宋_GB2312" w:eastAsia="仿宋_GB2312" w:cs="仿宋_GB2312"/>
          <w:b w:val="0"/>
          <w:bCs/>
          <w:kern w:val="0"/>
          <w:sz w:val="32"/>
          <w:szCs w:val="32"/>
        </w:rPr>
        <w:t>万元 ，其中：</w:t>
      </w:r>
      <w:r>
        <w:rPr>
          <w:rFonts w:hint="eastAsia" w:ascii="仿宋_GB2312" w:eastAsia="仿宋_GB2312" w:cs="仿宋_GB2312"/>
          <w:b w:val="0"/>
          <w:bCs/>
          <w:kern w:val="0"/>
          <w:sz w:val="32"/>
          <w:szCs w:val="32"/>
          <w:lang w:eastAsia="zh-CN"/>
        </w:rPr>
        <w:t>一般公共预算财政拨款</w:t>
      </w:r>
      <w:r>
        <w:rPr>
          <w:rFonts w:hint="eastAsia" w:ascii="仿宋_GB2312" w:eastAsia="仿宋_GB2312" w:cs="仿宋_GB2312"/>
          <w:b w:val="0"/>
          <w:bCs/>
          <w:kern w:val="0"/>
          <w:sz w:val="32"/>
          <w:szCs w:val="32"/>
        </w:rPr>
        <w:t>收入</w:t>
      </w:r>
      <w:r>
        <w:rPr>
          <w:rFonts w:hint="eastAsia" w:ascii="仿宋_GB2312" w:eastAsia="仿宋_GB2312" w:cs="仿宋_GB2312"/>
          <w:b w:val="0"/>
          <w:bCs/>
          <w:kern w:val="0"/>
          <w:sz w:val="32"/>
          <w:szCs w:val="32"/>
          <w:lang w:val="en-US" w:eastAsia="zh-CN"/>
        </w:rPr>
        <w:t>7799.14</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97.48%</w:t>
      </w:r>
      <w:r>
        <w:rPr>
          <w:rFonts w:hint="eastAsia" w:ascii="仿宋_GB2312" w:eastAsia="仿宋_GB2312" w:cs="仿宋_GB2312"/>
          <w:b w:val="0"/>
          <w:bCs/>
          <w:kern w:val="0"/>
          <w:sz w:val="32"/>
          <w:szCs w:val="32"/>
        </w:rPr>
        <w:t> ；</w:t>
      </w:r>
      <w:r>
        <w:rPr>
          <w:rFonts w:hint="eastAsia" w:ascii="仿宋_GB2312" w:eastAsia="仿宋_GB2312" w:cs="仿宋_GB2312"/>
          <w:b w:val="0"/>
          <w:bCs/>
          <w:kern w:val="0"/>
          <w:sz w:val="32"/>
          <w:szCs w:val="32"/>
          <w:lang w:eastAsia="zh-CN"/>
        </w:rPr>
        <w:t>政府基金预算财政拨款收入</w:t>
      </w:r>
      <w:r>
        <w:rPr>
          <w:rFonts w:hint="eastAsia" w:ascii="仿宋_GB2312" w:eastAsia="仿宋_GB2312" w:cs="仿宋_GB2312"/>
          <w:b w:val="0"/>
          <w:bCs/>
          <w:kern w:val="0"/>
          <w:sz w:val="32"/>
          <w:szCs w:val="32"/>
          <w:lang w:val="en-US" w:eastAsia="zh-CN"/>
        </w:rPr>
        <w:t>200万元；占比2.5%；</w:t>
      </w:r>
      <w:r>
        <w:rPr>
          <w:rFonts w:hint="eastAsia" w:ascii="仿宋_GB2312" w:eastAsia="仿宋_GB2312" w:cs="仿宋_GB2312"/>
          <w:b w:val="0"/>
          <w:bCs/>
          <w:kern w:val="0"/>
          <w:sz w:val="32"/>
          <w:szCs w:val="32"/>
        </w:rPr>
        <w:t>上级补助收入</w:t>
      </w:r>
      <w:r>
        <w:rPr>
          <w:rFonts w:hint="eastAsia" w:ascii="仿宋_GB2312" w:eastAsia="仿宋_GB2312" w:cs="仿宋_GB2312"/>
          <w:b w:val="0"/>
          <w:bCs/>
          <w:kern w:val="0"/>
          <w:sz w:val="32"/>
          <w:szCs w:val="32"/>
          <w:lang w:val="en-US" w:eastAsia="zh-CN"/>
        </w:rPr>
        <w:t>0万</w:t>
      </w:r>
      <w:r>
        <w:rPr>
          <w:rFonts w:hint="eastAsia" w:ascii="仿宋_GB2312" w:eastAsia="仿宋_GB2312" w:cs="仿宋_GB2312"/>
          <w:b w:val="0"/>
          <w:bCs/>
          <w:kern w:val="0"/>
          <w:sz w:val="32"/>
          <w:szCs w:val="32"/>
        </w:rPr>
        <w:t>元；事业收入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万元；事业单位经营收入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万元；其他收入</w:t>
      </w:r>
      <w:r>
        <w:rPr>
          <w:rFonts w:hint="eastAsia" w:ascii="仿宋_GB2312" w:eastAsia="仿宋_GB2312" w:cs="仿宋_GB2312"/>
          <w:b w:val="0"/>
          <w:bCs/>
          <w:kern w:val="0"/>
          <w:sz w:val="32"/>
          <w:szCs w:val="32"/>
          <w:lang w:val="en-US" w:eastAsia="zh-CN"/>
        </w:rPr>
        <w:t>1.62</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0.02%</w:t>
      </w:r>
      <w:r>
        <w:rPr>
          <w:rFonts w:hint="eastAsia" w:ascii="仿宋_GB2312" w:eastAsia="仿宋_GB2312" w:cs="仿宋_GB2312"/>
          <w:b w:val="0"/>
          <w:bCs/>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三、</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支出</w:t>
      </w:r>
      <w:r>
        <w:rPr>
          <w:rFonts w:hint="eastAsia" w:ascii="仿宋_GB2312" w:eastAsia="仿宋_GB2312" w:cs="仿宋_GB2312"/>
          <w:b/>
          <w:kern w:val="0"/>
          <w:sz w:val="32"/>
          <w:szCs w:val="32"/>
        </w:rPr>
        <w:t>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rPr>
        <w:t>本年支出合计</w:t>
      </w:r>
      <w:r>
        <w:rPr>
          <w:rFonts w:hint="eastAsia" w:ascii="仿宋_GB2312" w:eastAsia="仿宋_GB2312" w:cs="仿宋_GB2312"/>
          <w:b w:val="0"/>
          <w:bCs/>
          <w:kern w:val="0"/>
          <w:sz w:val="32"/>
          <w:szCs w:val="32"/>
          <w:lang w:val="en-US" w:eastAsia="zh-CN"/>
        </w:rPr>
        <w:t>8167.37</w:t>
      </w:r>
      <w:r>
        <w:rPr>
          <w:rFonts w:hint="eastAsia" w:ascii="仿宋_GB2312" w:eastAsia="仿宋_GB2312" w:cs="仿宋_GB2312"/>
          <w:b w:val="0"/>
          <w:bCs/>
          <w:kern w:val="0"/>
          <w:sz w:val="32"/>
          <w:szCs w:val="32"/>
        </w:rPr>
        <w:t xml:space="preserve"> 万元，其中：基本支出</w:t>
      </w:r>
      <w:r>
        <w:rPr>
          <w:rFonts w:hint="eastAsia" w:ascii="仿宋_GB2312" w:eastAsia="仿宋_GB2312" w:cs="仿宋_GB2312"/>
          <w:b w:val="0"/>
          <w:bCs/>
          <w:kern w:val="0"/>
          <w:sz w:val="32"/>
          <w:szCs w:val="32"/>
          <w:lang w:val="en-US" w:eastAsia="zh-CN"/>
        </w:rPr>
        <w:t>5099.07</w:t>
      </w:r>
      <w:r>
        <w:rPr>
          <w:rFonts w:hint="eastAsia" w:ascii="仿宋_GB2312" w:eastAsia="仿宋_GB2312" w:cs="仿宋_GB2312"/>
          <w:b w:val="0"/>
          <w:bCs/>
          <w:kern w:val="0"/>
          <w:sz w:val="32"/>
          <w:szCs w:val="32"/>
        </w:rPr>
        <w:t>万元，占</w:t>
      </w:r>
      <w:r>
        <w:rPr>
          <w:rFonts w:hint="eastAsia" w:ascii="仿宋_GB2312" w:eastAsia="仿宋_GB2312" w:cs="仿宋_GB2312"/>
          <w:b w:val="0"/>
          <w:bCs/>
          <w:kern w:val="0"/>
          <w:sz w:val="32"/>
          <w:szCs w:val="32"/>
          <w:lang w:val="en-US" w:eastAsia="zh-CN"/>
        </w:rPr>
        <w:t>62.43</w:t>
      </w:r>
      <w:r>
        <w:rPr>
          <w:rFonts w:hint="eastAsia" w:ascii="仿宋_GB2312" w:eastAsia="仿宋_GB2312" w:cs="仿宋_GB2312"/>
          <w:b w:val="0"/>
          <w:bCs/>
          <w:kern w:val="0"/>
          <w:sz w:val="32"/>
          <w:szCs w:val="32"/>
        </w:rPr>
        <w:t>%；项目支出</w:t>
      </w:r>
      <w:r>
        <w:rPr>
          <w:rFonts w:hint="eastAsia" w:ascii="仿宋_GB2312" w:eastAsia="仿宋_GB2312" w:cs="仿宋_GB2312"/>
          <w:b w:val="0"/>
          <w:bCs/>
          <w:kern w:val="0"/>
          <w:sz w:val="32"/>
          <w:szCs w:val="32"/>
          <w:lang w:val="en-US" w:eastAsia="zh-CN"/>
        </w:rPr>
        <w:t>3068.30</w:t>
      </w:r>
      <w:r>
        <w:rPr>
          <w:rFonts w:hint="eastAsia" w:ascii="仿宋_GB2312" w:eastAsia="仿宋_GB2312" w:cs="仿宋_GB2312"/>
          <w:b w:val="0"/>
          <w:bCs/>
          <w:kern w:val="0"/>
          <w:sz w:val="32"/>
          <w:szCs w:val="32"/>
        </w:rPr>
        <w:t>万元， 占</w:t>
      </w:r>
      <w:r>
        <w:rPr>
          <w:rFonts w:hint="eastAsia" w:ascii="仿宋_GB2312" w:eastAsia="仿宋_GB2312" w:cs="仿宋_GB2312"/>
          <w:b w:val="0"/>
          <w:bCs/>
          <w:kern w:val="0"/>
          <w:sz w:val="32"/>
          <w:szCs w:val="32"/>
          <w:lang w:val="en-US" w:eastAsia="zh-CN"/>
        </w:rPr>
        <w:t>37.57</w:t>
      </w:r>
      <w:r>
        <w:rPr>
          <w:rFonts w:hint="eastAsia" w:ascii="仿宋_GB2312" w:eastAsia="仿宋_GB2312" w:cs="仿宋_GB2312"/>
          <w:b w:val="0"/>
          <w:bCs/>
          <w:kern w:val="0"/>
          <w:sz w:val="32"/>
          <w:szCs w:val="32"/>
        </w:rPr>
        <w:t>%；经营支出</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b/>
          <w:bCs w:val="0"/>
          <w:kern w:val="0"/>
          <w:sz w:val="32"/>
          <w:szCs w:val="32"/>
          <w:lang w:eastAsia="zh-CN"/>
        </w:rPr>
        <w:t>四、</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年度财政拨款收</w:t>
      </w:r>
      <w:r>
        <w:rPr>
          <w:rFonts w:hint="eastAsia" w:ascii="仿宋_GB2312" w:eastAsia="仿宋_GB2312" w:cs="仿宋_GB2312"/>
          <w:bCs/>
          <w:kern w:val="0"/>
          <w:sz w:val="32"/>
          <w:szCs w:val="32"/>
          <w:lang w:eastAsia="zh-CN"/>
        </w:rPr>
        <w:t>、支总决算</w:t>
      </w:r>
      <w:r>
        <w:rPr>
          <w:rFonts w:hint="eastAsia" w:ascii="仿宋_GB2312" w:eastAsia="仿宋_GB2312" w:cs="仿宋_GB2312"/>
          <w:bCs/>
          <w:kern w:val="0"/>
          <w:sz w:val="32"/>
          <w:szCs w:val="32"/>
          <w:lang w:val="en-US" w:eastAsia="zh-CN"/>
        </w:rPr>
        <w:t>9141.02</w:t>
      </w:r>
      <w:r>
        <w:rPr>
          <w:rFonts w:hint="eastAsia" w:ascii="仿宋_GB2312" w:eastAsia="仿宋_GB2312" w:cs="仿宋_GB2312"/>
          <w:bCs/>
          <w:kern w:val="0"/>
          <w:sz w:val="32"/>
          <w:szCs w:val="32"/>
        </w:rPr>
        <w:t>万元。与</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年相比，财政拨款收</w:t>
      </w:r>
      <w:r>
        <w:rPr>
          <w:rFonts w:hint="eastAsia" w:ascii="仿宋_GB2312" w:eastAsia="仿宋_GB2312" w:cs="仿宋_GB2312"/>
          <w:bCs/>
          <w:kern w:val="0"/>
          <w:sz w:val="32"/>
          <w:szCs w:val="32"/>
          <w:lang w:eastAsia="zh-CN"/>
        </w:rPr>
        <w:t>、支</w:t>
      </w:r>
      <w:r>
        <w:rPr>
          <w:rFonts w:hint="eastAsia" w:ascii="仿宋_GB2312" w:eastAsia="仿宋_GB2312" w:cs="仿宋_GB2312"/>
          <w:bCs/>
          <w:kern w:val="0"/>
          <w:sz w:val="32"/>
          <w:szCs w:val="32"/>
        </w:rPr>
        <w:t>总计各增加</w:t>
      </w:r>
      <w:r>
        <w:rPr>
          <w:rFonts w:hint="eastAsia" w:ascii="仿宋_GB2312" w:eastAsia="仿宋_GB2312" w:cs="仿宋_GB2312"/>
          <w:bCs/>
          <w:kern w:val="0"/>
          <w:sz w:val="32"/>
          <w:szCs w:val="32"/>
          <w:lang w:val="en-US" w:eastAsia="zh-CN"/>
        </w:rPr>
        <w:t>501.28</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5.80</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eastAsia="仿宋_GB2312"/>
          <w:b/>
          <w:kern w:val="0"/>
          <w:sz w:val="32"/>
          <w:szCs w:val="32"/>
        </w:rPr>
      </w:pPr>
      <w:r>
        <w:rPr>
          <w:rFonts w:hint="eastAsia" w:ascii="仿宋_GB2312" w:eastAsia="仿宋_GB2312" w:cs="仿宋_GB2312"/>
          <w:b/>
          <w:bCs w:val="0"/>
          <w:kern w:val="0"/>
          <w:sz w:val="32"/>
          <w:szCs w:val="32"/>
        </w:rPr>
        <w:t>五</w:t>
      </w:r>
      <w:r>
        <w:rPr>
          <w:rFonts w:hint="eastAsia" w:ascii="仿宋_GB2312" w:eastAsia="仿宋_GB2312" w:cs="仿宋_GB2312"/>
          <w:b/>
          <w:bCs w:val="0"/>
          <w:kern w:val="0"/>
          <w:sz w:val="32"/>
          <w:szCs w:val="32"/>
          <w:lang w:eastAsia="zh-CN"/>
        </w:rPr>
        <w:t>、</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eastAsia="仿宋_GB2312"/>
          <w:b/>
          <w:kern w:val="0"/>
          <w:sz w:val="32"/>
          <w:szCs w:val="32"/>
        </w:rPr>
        <w:t>年度一般公共预算财政拨款支出决算情况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年度财政拨款支出</w:t>
      </w:r>
      <w:r>
        <w:rPr>
          <w:rFonts w:hint="eastAsia" w:ascii="仿宋_GB2312" w:eastAsia="仿宋_GB2312" w:cs="仿宋_GB2312"/>
          <w:bCs/>
          <w:kern w:val="0"/>
          <w:sz w:val="32"/>
          <w:szCs w:val="32"/>
          <w:lang w:val="en-US" w:eastAsia="zh-CN"/>
        </w:rPr>
        <w:t>7967.36</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97.55</w:t>
      </w:r>
      <w:r>
        <w:rPr>
          <w:rFonts w:hint="eastAsia" w:ascii="仿宋_GB2312" w:eastAsia="仿宋_GB2312" w:cs="仿宋_GB2312"/>
          <w:bCs/>
          <w:kern w:val="0"/>
          <w:sz w:val="32"/>
          <w:szCs w:val="32"/>
        </w:rPr>
        <w:t>%。与</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年相比，财政拨款支出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488.66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6.53</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w:t>
      </w:r>
      <w:r>
        <w:rPr>
          <w:rFonts w:hint="eastAsia" w:ascii="仿宋_GB2312" w:eastAsia="仿宋_GB2312" w:cs="仿宋_GB2312"/>
          <w:bCs/>
          <w:kern w:val="0"/>
          <w:sz w:val="32"/>
          <w:szCs w:val="32"/>
          <w:lang w:val="en-US" w:eastAsia="zh-CN"/>
        </w:rPr>
        <w:t>7967.36</w:t>
      </w:r>
      <w:r>
        <w:rPr>
          <w:rFonts w:hint="eastAsia" w:ascii="仿宋_GB2312" w:eastAsia="仿宋_GB2312" w:cs="仿宋_GB2312"/>
          <w:bCs/>
          <w:kern w:val="0"/>
          <w:sz w:val="32"/>
          <w:szCs w:val="32"/>
        </w:rPr>
        <w:t>万元，主要用于以下方面：</w:t>
      </w:r>
      <w:r>
        <w:rPr>
          <w:rFonts w:hint="eastAsia" w:ascii="仿宋_GB2312" w:eastAsia="仿宋_GB2312" w:cs="仿宋_GB2312"/>
          <w:bCs/>
          <w:kern w:val="0"/>
          <w:sz w:val="32"/>
          <w:szCs w:val="32"/>
          <w:lang w:eastAsia="zh-CN"/>
        </w:rPr>
        <w:t>公共安全</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6474.16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81.26</w:t>
      </w:r>
      <w:r>
        <w:rPr>
          <w:rFonts w:hint="eastAsia" w:ascii="仿宋_GB2312" w:eastAsia="仿宋_GB2312" w:cs="仿宋_GB2312"/>
          <w:bCs/>
          <w:kern w:val="0"/>
          <w:sz w:val="32"/>
          <w:szCs w:val="32"/>
        </w:rPr>
        <w:t>%；社会保障和就业（类）支出</w:t>
      </w:r>
      <w:r>
        <w:rPr>
          <w:rFonts w:hint="eastAsia" w:ascii="仿宋_GB2312" w:eastAsia="仿宋_GB2312" w:cs="仿宋_GB2312"/>
          <w:bCs/>
          <w:kern w:val="0"/>
          <w:sz w:val="32"/>
          <w:szCs w:val="32"/>
          <w:lang w:val="en-US" w:eastAsia="zh-CN"/>
        </w:rPr>
        <w:t>627.01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7.87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437.80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5.50</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368.39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4.62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；其他支出</w:t>
      </w:r>
      <w:r>
        <w:rPr>
          <w:rFonts w:hint="eastAsia" w:ascii="仿宋_GB2312" w:eastAsia="仿宋_GB2312" w:cs="仿宋_GB2312"/>
          <w:bCs/>
          <w:kern w:val="0"/>
          <w:sz w:val="32"/>
          <w:szCs w:val="32"/>
          <w:lang w:val="en-US" w:eastAsia="zh-CN"/>
        </w:rPr>
        <w:t>60万元，占0.75%</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年度财政拨款支出年初预算为</w:t>
      </w:r>
      <w:r>
        <w:rPr>
          <w:rFonts w:hint="eastAsia" w:ascii="仿宋_GB2312" w:eastAsia="仿宋_GB2312" w:cs="仿宋_GB2312"/>
          <w:bCs/>
          <w:kern w:val="0"/>
          <w:sz w:val="32"/>
          <w:szCs w:val="32"/>
          <w:lang w:val="en-US" w:eastAsia="zh-CN"/>
        </w:rPr>
        <w:t>5026.14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7967.36</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158.52</w:t>
      </w:r>
      <w:r>
        <w:rPr>
          <w:rFonts w:hint="eastAsia" w:ascii="仿宋_GB2312" w:eastAsia="仿宋_GB2312" w:cs="仿宋_GB2312"/>
          <w:bCs/>
          <w:kern w:val="0"/>
          <w:sz w:val="32"/>
          <w:szCs w:val="32"/>
        </w:rPr>
        <w:t>%。决算数大于预算数的主要原因：一是年中追加安排财政拨款支出预算，涉及项目有公共安全（检察）行政运行</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公共安全（检察）一般行政管理事务</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公共安全（检察）其它检察支出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归口管理的行政单位离退休</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行政单位医疗</w:t>
      </w:r>
      <w:r>
        <w:rPr>
          <w:rFonts w:hint="eastAsia" w:ascii="仿宋_GB2312" w:eastAsia="仿宋_GB2312" w:cs="仿宋_GB2312"/>
          <w:bCs/>
          <w:kern w:val="0"/>
          <w:sz w:val="32"/>
          <w:szCs w:val="32"/>
          <w:lang w:eastAsia="zh-CN"/>
        </w:rPr>
        <w:t>、住房公积金、住房保险、城乡社区支出、其他支出</w:t>
      </w:r>
      <w:r>
        <w:rPr>
          <w:rFonts w:hint="eastAsia" w:ascii="仿宋_GB2312" w:eastAsia="仿宋_GB2312" w:cs="仿宋_GB2312"/>
          <w:bCs/>
          <w:kern w:val="0"/>
          <w:sz w:val="32"/>
          <w:szCs w:val="32"/>
        </w:rPr>
        <w:t>；二是部分支出按规定，通过使用以前年度财政拨款结转资金解决。其中：</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1.</w:t>
      </w:r>
      <w:r>
        <w:rPr>
          <w:rFonts w:hint="eastAsia" w:ascii="仿宋_GB2312" w:eastAsia="仿宋_GB2312" w:cs="仿宋_GB2312"/>
          <w:bCs/>
          <w:kern w:val="0"/>
          <w:sz w:val="32"/>
          <w:szCs w:val="32"/>
          <w:highlight w:val="none"/>
          <w:lang w:eastAsia="zh-CN"/>
        </w:rPr>
        <w:t>公共安全支出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检察</w:t>
      </w:r>
      <w:r>
        <w:rPr>
          <w:rFonts w:hint="eastAsia" w:ascii="仿宋_GB2312" w:eastAsia="仿宋_GB2312" w:cs="仿宋_GB2312"/>
          <w:bCs/>
          <w:kern w:val="0"/>
          <w:sz w:val="32"/>
          <w:szCs w:val="32"/>
          <w:highlight w:val="none"/>
        </w:rPr>
        <w:t>（款）行政运行（项）。 年初预算为</w:t>
      </w:r>
      <w:r>
        <w:rPr>
          <w:rFonts w:hint="eastAsia" w:ascii="仿宋_GB2312" w:eastAsia="仿宋_GB2312" w:cs="仿宋_GB2312"/>
          <w:bCs/>
          <w:kern w:val="0"/>
          <w:sz w:val="32"/>
          <w:szCs w:val="32"/>
          <w:highlight w:val="none"/>
          <w:lang w:val="en-US" w:eastAsia="zh-CN"/>
        </w:rPr>
        <w:t>2490.18</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3646.85</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eastAsia="zh-CN"/>
        </w:rPr>
        <w:t>1</w:t>
      </w:r>
      <w:r>
        <w:rPr>
          <w:rFonts w:hint="eastAsia" w:ascii="仿宋_GB2312" w:eastAsia="仿宋_GB2312" w:cs="仿宋_GB2312"/>
          <w:bCs/>
          <w:kern w:val="0"/>
          <w:sz w:val="32"/>
          <w:szCs w:val="32"/>
          <w:highlight w:val="none"/>
          <w:lang w:val="en-US" w:eastAsia="zh-CN"/>
        </w:rPr>
        <w:t>46.45</w:t>
      </w:r>
      <w:r>
        <w:rPr>
          <w:rFonts w:hint="eastAsia" w:ascii="仿宋_GB2312" w:eastAsia="仿宋_GB2312" w:cs="仿宋_GB2312"/>
          <w:bCs/>
          <w:kern w:val="0"/>
          <w:sz w:val="32"/>
          <w:szCs w:val="32"/>
          <w:highlight w:val="none"/>
        </w:rPr>
        <w:t>%。决算数大于预算数的主要原因是</w:t>
      </w:r>
      <w:r>
        <w:rPr>
          <w:rFonts w:hint="eastAsia" w:ascii="仿宋_GB2312" w:eastAsia="仿宋_GB2312" w:cs="仿宋_GB2312"/>
          <w:bCs/>
          <w:kern w:val="0"/>
          <w:sz w:val="32"/>
          <w:szCs w:val="32"/>
          <w:highlight w:val="none"/>
          <w:lang w:eastAsia="zh-CN"/>
        </w:rPr>
        <w:t>：</w:t>
      </w:r>
      <w:r>
        <w:rPr>
          <w:rFonts w:hint="eastAsia" w:ascii="仿宋_GB2312" w:hAnsi="宋体" w:eastAsia="仿宋_GB2312" w:cs="仿宋_GB2312"/>
          <w:b w:val="0"/>
          <w:kern w:val="0"/>
          <w:sz w:val="32"/>
          <w:szCs w:val="32"/>
          <w:highlight w:val="none"/>
          <w:lang w:val="en-US" w:eastAsia="zh-CN" w:bidi="ar"/>
        </w:rPr>
        <w:t>在职人员调资增资，以及发放2019年绩效奖励、</w:t>
      </w:r>
      <w:r>
        <w:rPr>
          <w:rFonts w:hint="eastAsia" w:ascii="仿宋_GB2312" w:eastAsia="仿宋_GB2312" w:cs="仿宋_GB2312"/>
          <w:kern w:val="0"/>
          <w:sz w:val="32"/>
          <w:szCs w:val="32"/>
          <w:highlight w:val="none"/>
          <w:lang w:eastAsia="zh-CN"/>
        </w:rPr>
        <w:t>办公费、差旅费、工会经费增加</w:t>
      </w:r>
      <w:r>
        <w:rPr>
          <w:rFonts w:hint="eastAsia" w:ascii="仿宋_GB2312" w:hAnsi="宋体" w:eastAsia="仿宋_GB2312" w:cs="仿宋_GB2312"/>
          <w:b w:val="0"/>
          <w:kern w:val="0"/>
          <w:sz w:val="32"/>
          <w:szCs w:val="32"/>
          <w:highlight w:val="none"/>
          <w:lang w:val="en-US" w:eastAsia="zh-CN" w:bidi="ar"/>
        </w:rPr>
        <w:t>等</w:t>
      </w:r>
      <w:r>
        <w:rPr>
          <w:rFonts w:hint="eastAsia" w:ascii="仿宋_GB2312" w:eastAsia="仿宋_GB2312" w:cs="仿宋_GB2312"/>
          <w:bCs/>
          <w:kern w:val="0"/>
          <w:sz w:val="32"/>
          <w:szCs w:val="32"/>
          <w:highlight w:val="none"/>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w:t>
      </w:r>
      <w:r>
        <w:rPr>
          <w:rFonts w:hint="eastAsia" w:ascii="仿宋_GB2312" w:eastAsia="仿宋_GB2312" w:cs="仿宋_GB2312"/>
          <w:bCs/>
          <w:kern w:val="0"/>
          <w:sz w:val="32"/>
          <w:szCs w:val="32"/>
          <w:highlight w:val="none"/>
          <w:lang w:eastAsia="zh-CN"/>
        </w:rPr>
        <w:t>公共安全</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检察</w:t>
      </w:r>
      <w:r>
        <w:rPr>
          <w:rFonts w:hint="eastAsia" w:ascii="仿宋_GB2312" w:eastAsia="仿宋_GB2312" w:cs="仿宋_GB2312"/>
          <w:bCs/>
          <w:kern w:val="0"/>
          <w:sz w:val="32"/>
          <w:szCs w:val="32"/>
          <w:highlight w:val="none"/>
        </w:rPr>
        <w:t>（款）一般行政管理事务（项）。年初预算为</w:t>
      </w:r>
      <w:r>
        <w:rPr>
          <w:rFonts w:hint="eastAsia" w:ascii="仿宋_GB2312" w:eastAsia="仿宋_GB2312" w:cs="仿宋_GB2312"/>
          <w:bCs/>
          <w:kern w:val="0"/>
          <w:sz w:val="32"/>
          <w:szCs w:val="32"/>
          <w:highlight w:val="none"/>
          <w:lang w:val="en-US" w:eastAsia="zh-CN"/>
        </w:rPr>
        <w:t>958.36</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980.59</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eastAsia="zh-CN"/>
        </w:rPr>
        <w:t>1</w:t>
      </w:r>
      <w:r>
        <w:rPr>
          <w:rFonts w:hint="eastAsia" w:ascii="仿宋_GB2312" w:eastAsia="仿宋_GB2312" w:cs="仿宋_GB2312"/>
          <w:bCs/>
          <w:kern w:val="0"/>
          <w:sz w:val="32"/>
          <w:szCs w:val="32"/>
          <w:highlight w:val="none"/>
          <w:lang w:val="en-US" w:eastAsia="zh-CN"/>
        </w:rPr>
        <w:t>02.32</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预算数的主要原因是</w:t>
      </w:r>
      <w:r>
        <w:rPr>
          <w:rFonts w:hint="eastAsia" w:ascii="仿宋_GB2312" w:eastAsia="仿宋_GB2312" w:cs="仿宋_GB2312"/>
          <w:bCs/>
          <w:kern w:val="0"/>
          <w:sz w:val="32"/>
          <w:szCs w:val="32"/>
          <w:highlight w:val="none"/>
          <w:lang w:eastAsia="zh-CN"/>
        </w:rPr>
        <w:t>：柳州市人民检察院增加中央政法转移支付办案费和中央政法转移业务装备费</w:t>
      </w:r>
      <w:r>
        <w:rPr>
          <w:rFonts w:hint="eastAsia" w:ascii="仿宋_GB2312" w:eastAsia="仿宋_GB2312" w:cs="仿宋_GB2312"/>
          <w:bCs/>
          <w:kern w:val="0"/>
          <w:sz w:val="32"/>
          <w:szCs w:val="32"/>
          <w:highlight w:val="none"/>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3.</w:t>
      </w:r>
      <w:r>
        <w:rPr>
          <w:rFonts w:hint="eastAsia" w:ascii="仿宋_GB2312" w:eastAsia="仿宋_GB2312" w:cs="仿宋_GB2312"/>
          <w:bCs/>
          <w:kern w:val="0"/>
          <w:sz w:val="32"/>
          <w:szCs w:val="32"/>
          <w:highlight w:val="none"/>
          <w:lang w:eastAsia="zh-CN"/>
        </w:rPr>
        <w:t>公共安全</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检察</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检察监督</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498.61</w:t>
      </w:r>
      <w:r>
        <w:rPr>
          <w:rFonts w:hint="eastAsia" w:ascii="仿宋_GB2312" w:eastAsia="仿宋_GB2312" w:cs="仿宋_GB2312"/>
          <w:bCs/>
          <w:kern w:val="0"/>
          <w:sz w:val="32"/>
          <w:szCs w:val="32"/>
          <w:highlight w:val="none"/>
        </w:rPr>
        <w:t>万元。决算数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的主要原因是：柳州市人民检察院、鹿寨地区人民检察院、露塘地区人民检察院增加中央政法转移支付办案费和中央政法转移业务装备费</w:t>
      </w:r>
      <w:r>
        <w:rPr>
          <w:rFonts w:hint="eastAsia" w:ascii="仿宋_GB2312" w:eastAsia="仿宋_GB2312" w:cs="仿宋_GB2312"/>
          <w:bCs/>
          <w:kern w:val="0"/>
          <w:sz w:val="32"/>
          <w:szCs w:val="32"/>
          <w:highlight w:val="none"/>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lang w:val="en-US" w:eastAsia="zh-CN"/>
        </w:rPr>
        <w:t>4.</w:t>
      </w:r>
      <w:r>
        <w:rPr>
          <w:rFonts w:hint="eastAsia" w:ascii="仿宋_GB2312" w:eastAsia="仿宋_GB2312" w:cs="仿宋_GB2312"/>
          <w:bCs/>
          <w:kern w:val="0"/>
          <w:sz w:val="32"/>
          <w:szCs w:val="32"/>
          <w:highlight w:val="none"/>
          <w:lang w:eastAsia="zh-CN"/>
        </w:rPr>
        <w:t>公共安全</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检察</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其它检察支出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229.17</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1333.59</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581.92</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的主要原因是：柳州市人民检察院、鹿寨地区人民检察院、露塘地区人民检察院中央政法转移支付办案费上年结余款，以及本年追加涉案返还款</w:t>
      </w:r>
      <w:r>
        <w:rPr>
          <w:rFonts w:hint="eastAsia" w:ascii="仿宋_GB2312" w:eastAsia="仿宋_GB2312" w:cs="仿宋_GB2312"/>
          <w:bCs/>
          <w:kern w:val="0"/>
          <w:sz w:val="32"/>
          <w:szCs w:val="32"/>
          <w:highlight w:val="none"/>
          <w:lang w:val="en-US" w:eastAsia="zh-CN"/>
        </w:rPr>
        <w:t>420万元。</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lang w:val="en-US" w:eastAsia="zh-CN"/>
        </w:rPr>
        <w:t>5.</w:t>
      </w:r>
      <w:r>
        <w:rPr>
          <w:rFonts w:hint="eastAsia" w:ascii="仿宋_GB2312" w:eastAsia="仿宋_GB2312" w:cs="仿宋_GB2312"/>
          <w:bCs/>
          <w:kern w:val="0"/>
          <w:sz w:val="32"/>
          <w:szCs w:val="32"/>
          <w:highlight w:val="none"/>
          <w:lang w:eastAsia="zh-CN"/>
        </w:rPr>
        <w:t>公共安全</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法院</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行政运行</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14.52</w:t>
      </w:r>
      <w:r>
        <w:rPr>
          <w:rFonts w:hint="eastAsia" w:ascii="仿宋_GB2312" w:eastAsia="仿宋_GB2312" w:cs="仿宋_GB2312"/>
          <w:bCs/>
          <w:kern w:val="0"/>
          <w:sz w:val="32"/>
          <w:szCs w:val="32"/>
          <w:highlight w:val="none"/>
        </w:rPr>
        <w:t>万元。决算数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的主要原因为：下达2019年9-12月司法改革绩效考核奖励经费。</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6.</w:t>
      </w:r>
      <w:r>
        <w:rPr>
          <w:rFonts w:hint="eastAsia" w:ascii="仿宋_GB2312" w:eastAsia="仿宋_GB2312" w:cs="仿宋_GB2312"/>
          <w:bCs/>
          <w:kern w:val="0"/>
          <w:sz w:val="32"/>
          <w:szCs w:val="32"/>
          <w:highlight w:val="none"/>
          <w:lang w:eastAsia="zh-CN"/>
        </w:rPr>
        <w:t>社会保障和就业支出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行政事业单位离退休</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归口管理的行政单位离退休</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123.31</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213.29</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172.97</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的主要原因为：增加离退休生活补助、离退休增资、抚恤金</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7.</w:t>
      </w:r>
      <w:r>
        <w:rPr>
          <w:rFonts w:hint="eastAsia" w:ascii="仿宋_GB2312" w:eastAsia="仿宋_GB2312" w:cs="仿宋_GB2312"/>
          <w:bCs/>
          <w:kern w:val="0"/>
          <w:sz w:val="32"/>
          <w:szCs w:val="32"/>
          <w:highlight w:val="none"/>
          <w:lang w:eastAsia="zh-CN"/>
        </w:rPr>
        <w:t>社会保障和就业支出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行政事业单位离退休</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机关事业单位基本养老保险缴费支出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531.65</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413.72</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77.81</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的主要原因为：单位基本养老保险缴费基数下调</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8.</w:t>
      </w:r>
      <w:r>
        <w:rPr>
          <w:rFonts w:hint="eastAsia" w:ascii="仿宋_GB2312" w:eastAsia="仿宋_GB2312" w:cs="仿宋_GB2312"/>
          <w:bCs/>
          <w:kern w:val="0"/>
          <w:sz w:val="32"/>
          <w:szCs w:val="32"/>
          <w:highlight w:val="none"/>
          <w:lang w:eastAsia="zh-CN"/>
        </w:rPr>
        <w:t>卫生健康支出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行政事业单位医疗</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行政单位医疗</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199.37</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177</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88.78</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小于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的主要原因为：在职人员减少</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9.</w:t>
      </w:r>
      <w:r>
        <w:rPr>
          <w:rFonts w:hint="eastAsia" w:ascii="仿宋_GB2312" w:eastAsia="仿宋_GB2312" w:cs="仿宋_GB2312"/>
          <w:bCs/>
          <w:kern w:val="0"/>
          <w:sz w:val="32"/>
          <w:szCs w:val="32"/>
          <w:highlight w:val="none"/>
          <w:lang w:eastAsia="zh-CN"/>
        </w:rPr>
        <w:t>医疗卫生与计划生育支出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行政事业单位医疗</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公务员医疗补助</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174.96</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260.80</w:t>
      </w:r>
      <w:r>
        <w:rPr>
          <w:rFonts w:hint="eastAsia" w:ascii="仿宋_GB2312" w:eastAsia="仿宋_GB2312" w:cs="仿宋_GB2312"/>
          <w:bCs/>
          <w:kern w:val="0"/>
          <w:sz w:val="32"/>
          <w:szCs w:val="32"/>
          <w:highlight w:val="none"/>
        </w:rPr>
        <w:t>万元。决算数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的主要原因为：增加公务员医疗补助</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10.</w:t>
      </w:r>
      <w:r>
        <w:rPr>
          <w:rFonts w:hint="eastAsia" w:ascii="仿宋_GB2312" w:eastAsia="仿宋_GB2312" w:cs="仿宋_GB2312"/>
          <w:bCs/>
          <w:kern w:val="0"/>
          <w:sz w:val="32"/>
          <w:szCs w:val="32"/>
          <w:highlight w:val="none"/>
          <w:lang w:eastAsia="zh-CN"/>
        </w:rPr>
        <w:t>住房保障支出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住房改革支出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住房公积金</w:t>
      </w:r>
      <w:r>
        <w:rPr>
          <w:rFonts w:hint="eastAsia" w:ascii="仿宋_GB2312" w:eastAsia="仿宋_GB2312" w:cs="仿宋_GB2312"/>
          <w:bCs/>
          <w:kern w:val="0"/>
          <w:sz w:val="32"/>
          <w:szCs w:val="32"/>
          <w:highlight w:val="none"/>
        </w:rPr>
        <w:t>。年初预算为</w:t>
      </w:r>
      <w:r>
        <w:rPr>
          <w:rFonts w:hint="eastAsia" w:ascii="仿宋_GB2312" w:eastAsia="仿宋_GB2312" w:cs="仿宋_GB2312"/>
          <w:bCs/>
          <w:kern w:val="0"/>
          <w:sz w:val="32"/>
          <w:szCs w:val="32"/>
          <w:highlight w:val="none"/>
          <w:lang w:val="en-US" w:eastAsia="zh-CN"/>
        </w:rPr>
        <w:t>318.99</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359.51</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完成年初预算的</w:t>
      </w:r>
      <w:r>
        <w:rPr>
          <w:rFonts w:hint="eastAsia" w:ascii="仿宋_GB2312" w:eastAsia="仿宋_GB2312" w:cs="仿宋_GB2312"/>
          <w:bCs/>
          <w:kern w:val="0"/>
          <w:sz w:val="32"/>
          <w:szCs w:val="32"/>
          <w:highlight w:val="none"/>
          <w:lang w:val="en-US" w:eastAsia="zh-CN"/>
        </w:rPr>
        <w:t>112.70</w:t>
      </w:r>
      <w:r>
        <w:rPr>
          <w:rFonts w:hint="eastAsia" w:ascii="仿宋_GB2312" w:eastAsia="仿宋_GB2312" w:cs="仿宋_GB2312"/>
          <w:bCs/>
          <w:kern w:val="0"/>
          <w:sz w:val="32"/>
          <w:szCs w:val="32"/>
          <w:highlight w:val="none"/>
        </w:rPr>
        <w:t>%。决算数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的主要原因为：增加公积金</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11.</w:t>
      </w:r>
      <w:r>
        <w:rPr>
          <w:rFonts w:hint="eastAsia" w:ascii="仿宋_GB2312" w:eastAsia="仿宋_GB2312" w:cs="仿宋_GB2312"/>
          <w:bCs/>
          <w:kern w:val="0"/>
          <w:sz w:val="32"/>
          <w:szCs w:val="32"/>
          <w:highlight w:val="none"/>
          <w:lang w:eastAsia="zh-CN"/>
        </w:rPr>
        <w:t>住房保障支出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住房改革支出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购房补贴</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8.87</w:t>
      </w:r>
      <w:r>
        <w:rPr>
          <w:rFonts w:hint="eastAsia" w:ascii="仿宋_GB2312" w:eastAsia="仿宋_GB2312" w:cs="仿宋_GB2312"/>
          <w:bCs/>
          <w:kern w:val="0"/>
          <w:sz w:val="32"/>
          <w:szCs w:val="32"/>
          <w:highlight w:val="none"/>
        </w:rPr>
        <w:t>万元。决算数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的主要原因为：财政下发购房补贴</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val="en-US" w:eastAsia="zh-CN"/>
        </w:rPr>
        <w:t>12.</w:t>
      </w:r>
      <w:r>
        <w:rPr>
          <w:rFonts w:hint="eastAsia" w:ascii="仿宋_GB2312" w:eastAsia="仿宋_GB2312" w:cs="仿宋_GB2312"/>
          <w:bCs/>
          <w:kern w:val="0"/>
          <w:sz w:val="32"/>
          <w:szCs w:val="32"/>
          <w:highlight w:val="none"/>
          <w:lang w:eastAsia="zh-CN"/>
        </w:rPr>
        <w:t>其他支出</w:t>
      </w:r>
      <w:r>
        <w:rPr>
          <w:rFonts w:hint="eastAsia" w:ascii="仿宋_GB2312" w:eastAsia="仿宋_GB2312" w:cs="仿宋_GB2312"/>
          <w:bCs/>
          <w:kern w:val="0"/>
          <w:sz w:val="32"/>
          <w:szCs w:val="32"/>
          <w:highlight w:val="none"/>
        </w:rPr>
        <w:t>（类）</w:t>
      </w:r>
      <w:r>
        <w:rPr>
          <w:rFonts w:hint="eastAsia" w:ascii="仿宋_GB2312" w:eastAsia="仿宋_GB2312" w:cs="仿宋_GB2312"/>
          <w:bCs/>
          <w:kern w:val="0"/>
          <w:sz w:val="32"/>
          <w:szCs w:val="32"/>
          <w:highlight w:val="none"/>
          <w:lang w:eastAsia="zh-CN"/>
        </w:rPr>
        <w:t>其他支出</w:t>
      </w:r>
      <w:r>
        <w:rPr>
          <w:rFonts w:hint="eastAsia" w:ascii="仿宋_GB2312" w:eastAsia="仿宋_GB2312" w:cs="仿宋_GB2312"/>
          <w:bCs/>
          <w:kern w:val="0"/>
          <w:sz w:val="32"/>
          <w:szCs w:val="32"/>
          <w:highlight w:val="none"/>
        </w:rPr>
        <w:t>（款）</w:t>
      </w:r>
      <w:r>
        <w:rPr>
          <w:rFonts w:hint="eastAsia" w:ascii="仿宋_GB2312" w:eastAsia="仿宋_GB2312" w:cs="仿宋_GB2312"/>
          <w:bCs/>
          <w:kern w:val="0"/>
          <w:sz w:val="32"/>
          <w:szCs w:val="32"/>
          <w:highlight w:val="none"/>
          <w:lang w:eastAsia="zh-CN"/>
        </w:rPr>
        <w:t>其他支出</w:t>
      </w:r>
      <w:r>
        <w:rPr>
          <w:rFonts w:hint="eastAsia" w:ascii="仿宋_GB2312" w:eastAsia="仿宋_GB2312" w:cs="仿宋_GB2312"/>
          <w:bCs/>
          <w:kern w:val="0"/>
          <w:sz w:val="32"/>
          <w:szCs w:val="32"/>
          <w:highlight w:val="none"/>
        </w:rPr>
        <w:t>（项）。年初预算为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60</w:t>
      </w:r>
      <w:r>
        <w:rPr>
          <w:rFonts w:hint="eastAsia" w:ascii="仿宋_GB2312" w:eastAsia="仿宋_GB2312" w:cs="仿宋_GB2312"/>
          <w:bCs/>
          <w:kern w:val="0"/>
          <w:sz w:val="32"/>
          <w:szCs w:val="32"/>
          <w:highlight w:val="none"/>
        </w:rPr>
        <w:t>万元。决算数</w:t>
      </w:r>
      <w:r>
        <w:rPr>
          <w:rFonts w:hint="eastAsia" w:ascii="仿宋_GB2312" w:eastAsia="仿宋_GB2312" w:cs="仿宋_GB2312"/>
          <w:bCs/>
          <w:kern w:val="0"/>
          <w:sz w:val="32"/>
          <w:szCs w:val="32"/>
          <w:highlight w:val="none"/>
          <w:lang w:eastAsia="zh-CN"/>
        </w:rPr>
        <w:t>大于</w:t>
      </w:r>
      <w:r>
        <w:rPr>
          <w:rFonts w:hint="eastAsia" w:ascii="仿宋_GB2312" w:eastAsia="仿宋_GB2312" w:cs="仿宋_GB2312"/>
          <w:bCs/>
          <w:kern w:val="0"/>
          <w:sz w:val="32"/>
          <w:szCs w:val="32"/>
          <w:highlight w:val="none"/>
        </w:rPr>
        <w:t>预算数</w:t>
      </w:r>
      <w:r>
        <w:rPr>
          <w:rFonts w:hint="eastAsia" w:ascii="仿宋_GB2312" w:eastAsia="仿宋_GB2312" w:cs="仿宋_GB2312"/>
          <w:bCs/>
          <w:kern w:val="0"/>
          <w:sz w:val="32"/>
          <w:szCs w:val="32"/>
          <w:highlight w:val="none"/>
          <w:lang w:eastAsia="zh-CN"/>
        </w:rPr>
        <w:t>的主要原因为：柳州市人民检察院综合楼大修前期费用</w:t>
      </w:r>
      <w:r>
        <w:rPr>
          <w:rFonts w:hint="eastAsia" w:ascii="仿宋_GB2312" w:eastAsia="仿宋_GB2312" w:cs="仿宋_GB2312"/>
          <w:bCs/>
          <w:kern w:val="0"/>
          <w:sz w:val="32"/>
          <w:szCs w:val="32"/>
          <w:highlight w:val="none"/>
        </w:rPr>
        <w:t>。</w:t>
      </w:r>
    </w:p>
    <w:p>
      <w:pPr>
        <w:autoSpaceDE w:val="0"/>
        <w:autoSpaceDN w:val="0"/>
        <w:adjustRightInd w:val="0"/>
        <w:spacing w:line="560" w:lineRule="exact"/>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rPr>
        <w:t>六、</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年度一般公共预算财政拨款基本支出决算情况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年度财政拨款基本支出</w:t>
      </w:r>
      <w:r>
        <w:rPr>
          <w:rFonts w:hint="eastAsia" w:ascii="仿宋_GB2312" w:eastAsia="仿宋_GB2312" w:cs="仿宋_GB2312"/>
          <w:b w:val="0"/>
          <w:bCs/>
          <w:kern w:val="0"/>
          <w:sz w:val="32"/>
          <w:szCs w:val="32"/>
          <w:lang w:val="en-US" w:eastAsia="zh-CN"/>
        </w:rPr>
        <w:t>5099.06</w:t>
      </w:r>
      <w:r>
        <w:rPr>
          <w:rFonts w:hint="eastAsia" w:ascii="仿宋_GB2312" w:eastAsia="仿宋_GB2312" w:cs="仿宋_GB2312"/>
          <w:b w:val="0"/>
          <w:bCs/>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人员经费</w:t>
      </w:r>
      <w:r>
        <w:rPr>
          <w:rFonts w:hint="eastAsia" w:ascii="仿宋_GB2312" w:eastAsia="仿宋_GB2312" w:cs="仿宋_GB2312"/>
          <w:b w:val="0"/>
          <w:bCs/>
          <w:kern w:val="0"/>
          <w:sz w:val="32"/>
          <w:szCs w:val="32"/>
          <w:lang w:val="en-US" w:eastAsia="zh-CN"/>
        </w:rPr>
        <w:t>4495.38</w:t>
      </w:r>
      <w:r>
        <w:rPr>
          <w:rFonts w:hint="eastAsia" w:ascii="仿宋_GB2312" w:eastAsia="仿宋_GB2312" w:cs="仿宋_GB2312"/>
          <w:b w:val="0"/>
          <w:bCs/>
          <w:kern w:val="0"/>
          <w:sz w:val="32"/>
          <w:szCs w:val="32"/>
        </w:rPr>
        <w:t>万元，主要包括：基本工资、津贴补贴、 奖金、伙食补助费、绩效工资、机关事业单位基本养老保险缴费、</w:t>
      </w:r>
      <w:r>
        <w:rPr>
          <w:rFonts w:hint="eastAsia" w:ascii="仿宋_GB2312" w:eastAsia="仿宋_GB2312" w:cs="仿宋_GB2312"/>
          <w:b w:val="0"/>
          <w:bCs/>
          <w:kern w:val="0"/>
          <w:sz w:val="32"/>
          <w:szCs w:val="32"/>
          <w:lang w:eastAsia="zh-CN"/>
        </w:rPr>
        <w:t>职工基本医疗保险缴费、</w:t>
      </w:r>
      <w:r>
        <w:rPr>
          <w:rFonts w:hint="eastAsia" w:ascii="仿宋_GB2312" w:eastAsia="仿宋_GB2312" w:cs="仿宋_GB2312"/>
          <w:b w:val="0"/>
          <w:bCs/>
          <w:kern w:val="0"/>
          <w:sz w:val="32"/>
          <w:szCs w:val="32"/>
        </w:rPr>
        <w:t>其他社会保障缴费、其他工资福利支出、 离休费、退休费、抚恤金、生活补助、奖励金、住房公积金；</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 w:val="0"/>
          <w:bCs/>
          <w:kern w:val="0"/>
          <w:sz w:val="32"/>
          <w:szCs w:val="32"/>
        </w:rPr>
        <w:t>公用经费</w:t>
      </w:r>
      <w:r>
        <w:rPr>
          <w:rFonts w:hint="eastAsia" w:ascii="仿宋_GB2312" w:eastAsia="仿宋_GB2312" w:cs="仿宋_GB2312"/>
          <w:b w:val="0"/>
          <w:bCs/>
          <w:kern w:val="0"/>
          <w:sz w:val="32"/>
          <w:szCs w:val="32"/>
          <w:lang w:val="en-US" w:eastAsia="zh-CN"/>
        </w:rPr>
        <w:t>603.68</w:t>
      </w:r>
      <w:r>
        <w:rPr>
          <w:rFonts w:hint="eastAsia" w:ascii="仿宋_GB2312" w:eastAsia="仿宋_GB2312" w:cs="仿宋_GB2312"/>
          <w:b w:val="0"/>
          <w:bCs/>
          <w:kern w:val="0"/>
          <w:sz w:val="32"/>
          <w:szCs w:val="32"/>
        </w:rPr>
        <w:t>万元，主要 包括：办公费、印刷费、手续费、水费、电费、邮电费、物业管理费、差旅费、维修（护）费、租赁费、会议费、培训费、公务接待费、专用材 料费、劳务费、工会经费、福利费、公务用车运行维护费、其他交通费用、税金及附加费用、其他商品和服务支出</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年度“三公”经费财政拨款支出预算为</w:t>
      </w:r>
      <w:r>
        <w:rPr>
          <w:rFonts w:hint="eastAsia" w:ascii="仿宋_GB2312" w:eastAsia="仿宋_GB2312" w:cs="仿宋_GB2312"/>
          <w:bCs/>
          <w:kern w:val="0"/>
          <w:sz w:val="32"/>
          <w:szCs w:val="32"/>
          <w:lang w:val="en-US" w:eastAsia="zh-CN"/>
        </w:rPr>
        <w:t>116.56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113.13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97.06</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0.71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53.20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98.63</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10.61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96.19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年度“三公”经费支出决算数小于预算数的主要原因是认真</w:t>
      </w:r>
      <w:r>
        <w:rPr>
          <w:rFonts w:hint="eastAsia" w:ascii="仿宋_GB2312" w:eastAsia="仿宋_GB2312" w:cs="仿宋_GB2312"/>
          <w:bCs/>
          <w:kern w:val="0"/>
          <w:sz w:val="32"/>
          <w:szCs w:val="32"/>
          <w:lang w:eastAsia="zh-CN"/>
        </w:rPr>
        <w:t>贯彻落实中央八项规定</w:t>
      </w:r>
      <w:r>
        <w:rPr>
          <w:rFonts w:hint="eastAsia" w:ascii="仿宋_GB2312" w:eastAsia="仿宋_GB2312" w:cs="仿宋_GB2312"/>
          <w:bCs/>
          <w:kern w:val="0"/>
          <w:sz w:val="32"/>
          <w:szCs w:val="32"/>
        </w:rPr>
        <w:t>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年度“三公”经费财政拨款支出决算数比</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29.75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35.68</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1.21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63.02</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38.37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增长</w:t>
      </w:r>
      <w:r>
        <w:rPr>
          <w:rFonts w:hint="eastAsia" w:ascii="仿宋_GB2312" w:eastAsia="仿宋_GB2312" w:cs="仿宋_GB2312"/>
          <w:bCs/>
          <w:kern w:val="0"/>
          <w:sz w:val="32"/>
          <w:szCs w:val="32"/>
          <w:lang w:val="en-US" w:eastAsia="zh-CN"/>
        </w:rPr>
        <w:t>60.48</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0.78</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6.84</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因公出国（境）费支出减少的主要原因是</w:t>
      </w:r>
      <w:r>
        <w:rPr>
          <w:rFonts w:hint="eastAsia" w:ascii="仿宋_GB2312" w:eastAsia="仿宋_GB2312" w:cs="仿宋_GB2312"/>
          <w:bCs/>
          <w:kern w:val="0"/>
          <w:sz w:val="32"/>
          <w:szCs w:val="32"/>
          <w:lang w:val="en-US" w:eastAsia="zh-CN"/>
        </w:rPr>
        <w:t>2019年度实际安排的出国出访工作较少</w:t>
      </w:r>
      <w:r>
        <w:rPr>
          <w:rFonts w:hint="eastAsia" w:ascii="仿宋_GB2312" w:eastAsia="仿宋_GB2312" w:cs="仿宋_GB2312"/>
          <w:bCs/>
          <w:kern w:val="0"/>
          <w:sz w:val="32"/>
          <w:szCs w:val="32"/>
          <w:lang w:eastAsia="zh-CN"/>
        </w:rPr>
        <w:t>；公</w:t>
      </w:r>
      <w:r>
        <w:rPr>
          <w:rFonts w:hint="eastAsia" w:ascii="仿宋_GB2312" w:eastAsia="仿宋_GB2312" w:cs="仿宋_GB2312"/>
          <w:bCs/>
          <w:kern w:val="0"/>
          <w:sz w:val="32"/>
          <w:szCs w:val="32"/>
        </w:rPr>
        <w:t>务用车购置及运行费支出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val="en-US" w:eastAsia="zh-CN"/>
        </w:rPr>
        <w:t>2019年度柳州市人民检察院购置公务用车3辆</w:t>
      </w:r>
      <w:r>
        <w:rPr>
          <w:rFonts w:hint="eastAsia" w:ascii="仿宋_GB2312" w:eastAsia="仿宋_GB2312" w:cs="仿宋_GB2312"/>
          <w:bCs/>
          <w:kern w:val="0"/>
          <w:sz w:val="32"/>
          <w:szCs w:val="32"/>
        </w:rPr>
        <w:t>；公务接待费支出减少的主要原因是</w:t>
      </w:r>
      <w:r>
        <w:rPr>
          <w:rFonts w:hint="eastAsia" w:ascii="仿宋_GB2312" w:eastAsia="仿宋_GB2312" w:cs="仿宋_GB2312"/>
          <w:bCs/>
          <w:kern w:val="0"/>
          <w:sz w:val="32"/>
          <w:szCs w:val="32"/>
          <w:lang w:eastAsia="zh-CN"/>
        </w:rPr>
        <w:t>我院严格按照上级要求厉行节约，压缩公务接待开支</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年度“三公”经费财政拨款支出决算中，因公出国（境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费支出决算</w:t>
      </w:r>
      <w:r>
        <w:rPr>
          <w:rFonts w:hint="eastAsia" w:ascii="仿宋_GB2312" w:eastAsia="仿宋_GB2312" w:cs="仿宋_GB2312"/>
          <w:bCs/>
          <w:kern w:val="0"/>
          <w:sz w:val="32"/>
          <w:szCs w:val="32"/>
          <w:lang w:val="en-US" w:eastAsia="zh-CN"/>
        </w:rPr>
        <w:t>0.71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0.63</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101.81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89.99</w:t>
      </w:r>
      <w:r>
        <w:rPr>
          <w:rFonts w:hint="eastAsia" w:ascii="仿宋_GB2312" w:eastAsia="仿宋_GB2312" w:cs="仿宋_GB2312"/>
          <w:bCs/>
          <w:kern w:val="0"/>
          <w:sz w:val="32"/>
          <w:szCs w:val="32"/>
        </w:rPr>
        <w:t xml:space="preserve"> %；公务接待费支出决算</w:t>
      </w:r>
      <w:r>
        <w:rPr>
          <w:rFonts w:hint="eastAsia" w:ascii="仿宋_GB2312" w:eastAsia="仿宋_GB2312" w:cs="仿宋_GB2312"/>
          <w:bCs/>
          <w:kern w:val="0"/>
          <w:sz w:val="32"/>
          <w:szCs w:val="32"/>
          <w:lang w:val="en-US" w:eastAsia="zh-CN"/>
        </w:rPr>
        <w:t>10.61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9.38</w:t>
      </w:r>
      <w:r>
        <w:rPr>
          <w:rFonts w:hint="eastAsia" w:ascii="仿宋_GB2312" w:eastAsia="仿宋_GB2312" w:cs="仿宋_GB2312"/>
          <w:bCs/>
          <w:kern w:val="0"/>
          <w:sz w:val="32"/>
          <w:szCs w:val="32"/>
        </w:rPr>
        <w:t xml:space="preserve">%。具体情况如下：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0.71</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人次。开支内容包括：</w:t>
      </w:r>
      <w:r>
        <w:rPr>
          <w:rFonts w:hint="eastAsia" w:ascii="仿宋_GB2312" w:eastAsia="仿宋_GB2312" w:cs="仿宋_GB2312"/>
          <w:bCs/>
          <w:kern w:val="0"/>
          <w:sz w:val="32"/>
          <w:szCs w:val="32"/>
          <w:lang w:eastAsia="zh-CN"/>
        </w:rPr>
        <w:t>受邀参加外事学习考察</w:t>
      </w:r>
      <w:r>
        <w:rPr>
          <w:rFonts w:hint="eastAsia" w:ascii="仿宋_GB2312" w:hAnsi="宋体" w:eastAsia="仿宋_GB2312" w:cs="仿宋_GB2312"/>
          <w:b w:val="0"/>
          <w:color w:val="000000"/>
          <w:kern w:val="0"/>
          <w:sz w:val="32"/>
          <w:szCs w:val="32"/>
          <w:lang w:val="en-US" w:eastAsia="zh-CN" w:bidi="ar"/>
        </w:rPr>
        <w:t>的交通费和食宿</w:t>
      </w:r>
      <w:r>
        <w:rPr>
          <w:rFonts w:hint="eastAsia" w:ascii="仿宋_GB2312" w:hAnsi="宋体" w:eastAsia="仿宋_GB2312" w:cs="仿宋_GB2312"/>
          <w:b w:val="0"/>
          <w:kern w:val="0"/>
          <w:sz w:val="32"/>
          <w:szCs w:val="32"/>
          <w:lang w:val="en-US" w:eastAsia="zh-CN" w:bidi="ar"/>
        </w:rPr>
        <w:t>费等</w:t>
      </w:r>
      <w:r>
        <w:rPr>
          <w:rFonts w:hint="eastAsia" w:ascii="仿宋_GB2312" w:eastAsia="仿宋_GB2312" w:cs="仿宋_GB2312"/>
          <w:bCs/>
          <w:kern w:val="0"/>
          <w:sz w:val="32"/>
          <w:szCs w:val="32"/>
          <w:lang w:val="en-US" w:eastAsia="zh-CN"/>
        </w:rPr>
        <w:t>0.71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101.81</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53.20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48.61</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购置检察业务用车</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lang w:eastAsia="zh-CN"/>
        </w:rPr>
        <w:t>辆，以及</w:t>
      </w:r>
      <w:r>
        <w:rPr>
          <w:rFonts w:hint="eastAsia" w:ascii="仿宋_GB2312" w:hAnsi="宋体" w:eastAsia="仿宋_GB2312" w:cs="仿宋_GB2312"/>
          <w:b w:val="0"/>
          <w:kern w:val="0"/>
          <w:sz w:val="32"/>
          <w:szCs w:val="32"/>
          <w:lang w:val="en-US" w:eastAsia="zh-CN" w:bidi="ar"/>
        </w:rPr>
        <w:t>机要文件交换、市内因公出行以及开展办案业务所需车辆燃料费、维修费、过路过桥费、保险费等</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年，机关所属单位开支财政拨款的公务用车保有量为</w:t>
      </w:r>
      <w:r>
        <w:rPr>
          <w:rFonts w:hint="eastAsia" w:ascii="仿宋_GB2312" w:eastAsia="仿宋_GB2312" w:cs="仿宋_GB2312"/>
          <w:bCs/>
          <w:kern w:val="0"/>
          <w:sz w:val="32"/>
          <w:szCs w:val="32"/>
          <w:lang w:val="en-US" w:eastAsia="zh-CN"/>
        </w:rPr>
        <w:t>18</w:t>
      </w:r>
      <w:r>
        <w:rPr>
          <w:rFonts w:hint="eastAsia" w:ascii="仿宋_GB2312" w:eastAsia="仿宋_GB2312" w:cs="仿宋_GB2312"/>
          <w:bCs/>
          <w:kern w:val="0"/>
          <w:sz w:val="32"/>
          <w:szCs w:val="32"/>
        </w:rPr>
        <w:t>辆。</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10.61</w:t>
      </w:r>
      <w:r>
        <w:rPr>
          <w:rFonts w:hint="eastAsia" w:ascii="仿宋_GB2312" w:eastAsia="仿宋_GB2312" w:cs="仿宋_GB2312"/>
          <w:bCs/>
          <w:kern w:val="0"/>
          <w:sz w:val="32"/>
          <w:szCs w:val="32"/>
        </w:rPr>
        <w:t>万元。其中：</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0.45</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检察院</w:t>
      </w:r>
      <w:r>
        <w:rPr>
          <w:rFonts w:hint="eastAsia" w:ascii="仿宋_GB2312" w:eastAsia="仿宋_GB2312" w:cs="仿宋_GB2312"/>
          <w:bCs/>
          <w:kern w:val="0"/>
          <w:sz w:val="32"/>
          <w:szCs w:val="32"/>
        </w:rPr>
        <w:t>开展</w:t>
      </w:r>
      <w:r>
        <w:rPr>
          <w:rFonts w:hint="eastAsia" w:ascii="仿宋_GB2312" w:eastAsia="仿宋_GB2312" w:cs="仿宋_GB2312"/>
          <w:bCs/>
          <w:kern w:val="0"/>
          <w:sz w:val="32"/>
          <w:szCs w:val="32"/>
          <w:lang w:eastAsia="zh-CN"/>
        </w:rPr>
        <w:t>检察业务</w:t>
      </w:r>
      <w:r>
        <w:rPr>
          <w:rFonts w:hint="eastAsia" w:ascii="仿宋_GB2312" w:eastAsia="仿宋_GB2312" w:cs="仿宋_GB2312"/>
          <w:bCs/>
          <w:kern w:val="0"/>
          <w:sz w:val="32"/>
          <w:szCs w:val="32"/>
        </w:rPr>
        <w:t>工作发生的外宾接待支出。</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年共接待国（境）外来访团组</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人次。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10.16</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接待上级部门及各级单位对我院开展的执行公务、检察指导、考察调研等公务活动</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年共接待国内来访团组</w:t>
      </w:r>
      <w:r>
        <w:rPr>
          <w:rFonts w:hint="eastAsia" w:ascii="仿宋_GB2312" w:eastAsia="仿宋_GB2312" w:cs="仿宋_GB2312"/>
          <w:bCs/>
          <w:kern w:val="0"/>
          <w:sz w:val="32"/>
          <w:szCs w:val="32"/>
          <w:lang w:val="en-US" w:eastAsia="zh-CN"/>
        </w:rPr>
        <w:t>96</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854</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仿宋_GB2312"/>
          <w:b/>
          <w:bCs w:val="0"/>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
          <w:bCs w:val="0"/>
          <w:kern w:val="0"/>
          <w:sz w:val="32"/>
          <w:szCs w:val="32"/>
        </w:rPr>
        <w:t>八、</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年度政府性基金预算财政拨款收入支出决算情况说明</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年度政府基金预算财政拨款收</w:t>
      </w:r>
      <w:r>
        <w:rPr>
          <w:rFonts w:hint="eastAsia" w:ascii="仿宋_GB2312" w:eastAsia="仿宋_GB2312" w:cs="仿宋_GB2312"/>
          <w:bCs/>
          <w:kern w:val="0"/>
          <w:sz w:val="32"/>
          <w:szCs w:val="32"/>
          <w:lang w:eastAsia="zh-CN"/>
        </w:rPr>
        <w:t>入总决算</w:t>
      </w:r>
      <w:r>
        <w:rPr>
          <w:rFonts w:hint="eastAsia" w:ascii="仿宋_GB2312" w:eastAsia="仿宋_GB2312" w:cs="仿宋_GB2312"/>
          <w:bCs/>
          <w:kern w:val="0"/>
          <w:sz w:val="32"/>
          <w:szCs w:val="32"/>
          <w:lang w:val="en-US" w:eastAsia="zh-CN"/>
        </w:rPr>
        <w:t>200万元</w:t>
      </w:r>
      <w:r>
        <w:rPr>
          <w:rFonts w:hint="eastAsia" w:ascii="仿宋_GB2312" w:eastAsia="仿宋_GB2312" w:cs="仿宋_GB2312"/>
          <w:bCs/>
          <w:kern w:val="0"/>
          <w:sz w:val="32"/>
          <w:szCs w:val="32"/>
        </w:rPr>
        <w:t>、支</w:t>
      </w:r>
      <w:r>
        <w:rPr>
          <w:rFonts w:hint="eastAsia" w:ascii="仿宋_GB2312" w:eastAsia="仿宋_GB2312" w:cs="仿宋_GB2312"/>
          <w:bCs/>
          <w:kern w:val="0"/>
          <w:sz w:val="32"/>
          <w:szCs w:val="32"/>
          <w:lang w:eastAsia="zh-CN"/>
        </w:rPr>
        <w:t>出</w:t>
      </w:r>
      <w:r>
        <w:rPr>
          <w:rFonts w:hint="eastAsia" w:ascii="仿宋_GB2312" w:eastAsia="仿宋_GB2312" w:cs="仿宋_GB2312"/>
          <w:bCs/>
          <w:kern w:val="0"/>
          <w:sz w:val="32"/>
          <w:szCs w:val="32"/>
        </w:rPr>
        <w:t xml:space="preserve">总决算 </w:t>
      </w:r>
      <w:r>
        <w:rPr>
          <w:rFonts w:hint="eastAsia" w:ascii="仿宋_GB2312" w:eastAsia="仿宋_GB2312" w:cs="仿宋_GB2312"/>
          <w:bCs/>
          <w:kern w:val="0"/>
          <w:sz w:val="32"/>
          <w:szCs w:val="32"/>
          <w:lang w:val="en-US" w:eastAsia="zh-CN"/>
        </w:rPr>
        <w:t>200</w:t>
      </w:r>
      <w:r>
        <w:rPr>
          <w:rFonts w:hint="eastAsia" w:ascii="仿宋_GB2312" w:eastAsia="仿宋_GB2312" w:cs="仿宋_GB2312"/>
          <w:bCs/>
          <w:kern w:val="0"/>
          <w:sz w:val="32"/>
          <w:szCs w:val="32"/>
        </w:rPr>
        <w:t xml:space="preserve">万元。与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年相比，收、支总计各增加</w:t>
      </w:r>
      <w:r>
        <w:rPr>
          <w:rFonts w:hint="eastAsia" w:ascii="仿宋_GB2312" w:eastAsia="仿宋_GB2312" w:cs="仿宋_GB2312"/>
          <w:bCs/>
          <w:kern w:val="0"/>
          <w:sz w:val="32"/>
          <w:szCs w:val="32"/>
          <w:lang w:val="en-US" w:eastAsia="zh-CN"/>
        </w:rPr>
        <w:t>200</w:t>
      </w:r>
      <w:r>
        <w:rPr>
          <w:rFonts w:hint="eastAsia" w:ascii="仿宋_GB2312" w:eastAsia="仿宋_GB2312" w:cs="仿宋_GB2312"/>
          <w:bCs/>
          <w:kern w:val="0"/>
          <w:sz w:val="32"/>
          <w:szCs w:val="32"/>
        </w:rPr>
        <w:t>万元。其中，支出情况为：</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200</w:t>
      </w:r>
      <w:r>
        <w:rPr>
          <w:rFonts w:hint="eastAsia" w:ascii="仿宋_GB2312" w:eastAsia="仿宋_GB2312" w:cs="仿宋_GB2312"/>
          <w:bCs/>
          <w:kern w:val="0"/>
          <w:sz w:val="32"/>
          <w:szCs w:val="32"/>
        </w:rPr>
        <w:t>万元，决算大于预算数主要原因：年中追加安排财政拨款支出预算，涉及项目有</w:t>
      </w:r>
      <w:r>
        <w:rPr>
          <w:rFonts w:hint="eastAsia" w:ascii="仿宋_GB2312" w:eastAsia="仿宋_GB2312" w:cs="仿宋_GB2312"/>
          <w:bCs/>
          <w:kern w:val="0"/>
          <w:sz w:val="32"/>
          <w:szCs w:val="32"/>
          <w:lang w:eastAsia="zh-CN"/>
        </w:rPr>
        <w:t>电子检务工程项目</w:t>
      </w:r>
      <w:r>
        <w:rPr>
          <w:rFonts w:hint="eastAsia" w:ascii="仿宋_GB2312" w:eastAsia="仿宋_GB2312" w:cs="仿宋_GB2312"/>
          <w:bCs/>
          <w:kern w:val="0"/>
          <w:sz w:val="32"/>
          <w:szCs w:val="32"/>
        </w:rPr>
        <w:t>；其中：</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1.城乡社区支出（类）国有土地使用权出让收入及对应专项债务收入安排的支出（款）</w:t>
      </w:r>
      <w:r>
        <w:rPr>
          <w:rFonts w:hint="eastAsia" w:ascii="仿宋_GB2312" w:eastAsia="仿宋_GB2312" w:cs="仿宋_GB2312"/>
          <w:bCs/>
          <w:kern w:val="0"/>
          <w:sz w:val="32"/>
          <w:szCs w:val="32"/>
          <w:lang w:eastAsia="zh-CN"/>
        </w:rPr>
        <w:t>城市建设支出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200</w:t>
      </w:r>
      <w:r>
        <w:rPr>
          <w:rFonts w:hint="eastAsia" w:ascii="仿宋_GB2312" w:eastAsia="仿宋_GB2312" w:cs="仿宋_GB2312"/>
          <w:bCs/>
          <w:kern w:val="0"/>
          <w:sz w:val="32"/>
          <w:szCs w:val="32"/>
        </w:rPr>
        <w:t>万元。决算数大于预算数的主要原因是</w:t>
      </w:r>
      <w:r>
        <w:rPr>
          <w:rFonts w:hint="eastAsia" w:ascii="仿宋_GB2312" w:eastAsia="仿宋_GB2312" w:cs="仿宋_GB2312"/>
          <w:bCs/>
          <w:kern w:val="0"/>
          <w:sz w:val="32"/>
          <w:szCs w:val="32"/>
          <w:lang w:eastAsia="zh-CN"/>
        </w:rPr>
        <w:t>年中追加我院电子检务工程项目款。</w:t>
      </w:r>
    </w:p>
    <w:p>
      <w:pPr>
        <w:autoSpaceDE w:val="0"/>
        <w:autoSpaceDN w:val="0"/>
        <w:adjustRightInd w:val="0"/>
        <w:ind w:firstLine="643" w:firstLineChars="200"/>
        <w:jc w:val="left"/>
        <w:rPr>
          <w:rFonts w:hint="eastAsia" w:ascii="仿宋_GB2312" w:eastAsia="仿宋_GB2312" w:cs="仿宋_GB2312"/>
          <w:b/>
          <w:bCs w:val="0"/>
          <w:kern w:val="0"/>
          <w:sz w:val="32"/>
          <w:szCs w:val="32"/>
        </w:rPr>
      </w:pPr>
      <w:r>
        <w:rPr>
          <w:rFonts w:hint="eastAsia" w:ascii="仿宋_GB2312" w:eastAsia="仿宋_GB2312" w:cs="仿宋_GB2312"/>
          <w:b/>
          <w:bCs w:val="0"/>
          <w:kern w:val="0"/>
          <w:sz w:val="32"/>
          <w:szCs w:val="32"/>
          <w:lang w:eastAsia="zh-CN"/>
        </w:rPr>
        <w:t>九、</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bCs w:val="0"/>
          <w:kern w:val="0"/>
          <w:sz w:val="32"/>
          <w:szCs w:val="32"/>
        </w:rPr>
        <w:t xml:space="preserve"> 年度预算绩效情况说明</w:t>
      </w:r>
    </w:p>
    <w:p>
      <w:pPr>
        <w:numPr>
          <w:ilvl w:val="0"/>
          <w:numId w:val="1"/>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numPr>
          <w:ilvl w:val="0"/>
          <w:numId w:val="0"/>
        </w:numPr>
        <w:autoSpaceDE w:val="0"/>
        <w:autoSpaceDN w:val="0"/>
        <w:adjustRightInd w:val="0"/>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根据财政预算管理要求，我</w:t>
      </w:r>
      <w:r>
        <w:rPr>
          <w:rFonts w:hint="eastAsia" w:ascii="仿宋_GB2312" w:eastAsia="仿宋_GB2312" w:cs="仿宋_GB2312"/>
          <w:bCs/>
          <w:kern w:val="0"/>
          <w:sz w:val="32"/>
          <w:szCs w:val="32"/>
          <w:lang w:eastAsia="zh-CN"/>
        </w:rPr>
        <w:t>院</w:t>
      </w:r>
      <w:r>
        <w:rPr>
          <w:rFonts w:hint="eastAsia" w:ascii="仿宋_GB2312" w:eastAsia="仿宋_GB2312" w:cs="仿宋_GB2312"/>
          <w:bCs/>
          <w:kern w:val="0"/>
          <w:sz w:val="32"/>
          <w:szCs w:val="32"/>
        </w:rPr>
        <w:t>组织对</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年度一般公共预算项目支出全面开展绩效自评。其中，一级项目</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8167.37</w:t>
      </w:r>
      <w:r>
        <w:rPr>
          <w:rFonts w:hint="eastAsia" w:ascii="仿宋_GB2312" w:eastAsia="仿宋_GB2312" w:cs="仿宋_GB2312"/>
          <w:bCs/>
          <w:kern w:val="0"/>
          <w:sz w:val="32"/>
          <w:szCs w:val="32"/>
        </w:rPr>
        <w:t xml:space="preserve">万元，自评覆盖率达到 </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numPr>
          <w:ilvl w:val="0"/>
          <w:numId w:val="1"/>
        </w:numPr>
        <w:autoSpaceDE w:val="0"/>
        <w:autoSpaceDN w:val="0"/>
        <w:adjustRightInd w:val="0"/>
        <w:ind w:left="0" w:leftChars="0"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部门决算中项目绩效自评结果</w:t>
      </w:r>
      <w:r>
        <w:rPr>
          <w:rFonts w:hint="eastAsia" w:ascii="仿宋_GB2312" w:eastAsia="仿宋_GB2312" w:cs="仿宋_GB2312"/>
          <w:bCs/>
          <w:kern w:val="0"/>
          <w:sz w:val="32"/>
          <w:szCs w:val="32"/>
          <w:lang w:eastAsia="zh-CN"/>
        </w:rPr>
        <w:t>。</w:t>
      </w:r>
    </w:p>
    <w:p>
      <w:pPr>
        <w:spacing w:line="560" w:lineRule="exact"/>
        <w:ind w:firstLine="627" w:firstLineChars="196"/>
        <w:rPr>
          <w:rFonts w:hint="default" w:eastAsia="仿宋_GB2312"/>
          <w:sz w:val="32"/>
          <w:szCs w:val="32"/>
          <w:lang w:val="en-US" w:eastAsia="zh-CN"/>
        </w:rPr>
      </w:pPr>
      <w:r>
        <w:rPr>
          <w:rFonts w:hint="eastAsia" w:ascii="仿宋_GB2312" w:eastAsia="仿宋_GB2312" w:cs="仿宋_GB2312"/>
          <w:bCs/>
          <w:kern w:val="0"/>
          <w:sz w:val="32"/>
          <w:szCs w:val="32"/>
          <w:lang w:val="en-US" w:eastAsia="zh-CN"/>
        </w:rPr>
        <w:t xml:space="preserve"> </w:t>
      </w:r>
      <w:r>
        <w:rPr>
          <w:rFonts w:hint="eastAsia" w:eastAsia="仿宋_GB2312"/>
          <w:sz w:val="32"/>
          <w:szCs w:val="32"/>
          <w:lang w:val="en-US" w:eastAsia="zh-CN"/>
        </w:rPr>
        <w:t>201</w:t>
      </w:r>
      <w:r>
        <w:rPr>
          <w:rFonts w:hint="eastAsia"/>
          <w:sz w:val="32"/>
          <w:szCs w:val="32"/>
          <w:lang w:val="en-US" w:eastAsia="zh-CN"/>
        </w:rPr>
        <w:t>9</w:t>
      </w:r>
      <w:r>
        <w:rPr>
          <w:rFonts w:hint="eastAsia" w:eastAsia="仿宋_GB2312"/>
          <w:sz w:val="32"/>
          <w:szCs w:val="32"/>
          <w:lang w:val="en-US" w:eastAsia="zh-CN"/>
        </w:rPr>
        <w:t>年度，柳州市人民检察院紧紧围绕党和国家的工作大局，认真履行检察职责，很好的完成了当年工作任务。预算部门</w:t>
      </w:r>
      <w:r>
        <w:rPr>
          <w:rFonts w:ascii="仿宋_GB2312" w:hAnsi="仿宋_GB2312" w:eastAsia="仿宋_GB2312"/>
          <w:bCs/>
          <w:sz w:val="32"/>
        </w:rPr>
        <w:t>资金的支付符合国家财经法规和财务管理制度规定，以及有关专项资金管理办法的规定；资金拨付有完整的审批程序和手续；经费支出符合部门预算批复的用途；资金使用除部分支出预算不足有调剂使用外，无截留、挪用、虚列支出等情况</w:t>
      </w:r>
      <w:r>
        <w:rPr>
          <w:rFonts w:hint="eastAsia" w:ascii="仿宋_GB2312" w:hAnsi="仿宋_GB2312" w:eastAsia="仿宋_GB2312"/>
          <w:bCs/>
          <w:sz w:val="32"/>
        </w:rPr>
        <w:t>。</w:t>
      </w:r>
      <w:r>
        <w:rPr>
          <w:rFonts w:hint="eastAsia" w:ascii="仿宋_GB2312" w:hAnsi="仿宋_GB2312" w:eastAsia="仿宋_GB2312"/>
          <w:bCs/>
          <w:sz w:val="32"/>
          <w:lang w:eastAsia="zh-CN"/>
        </w:rPr>
        <w:t>超额完成各项绩效指标，</w:t>
      </w:r>
      <w:r>
        <w:rPr>
          <w:rFonts w:hint="eastAsia" w:eastAsia="仿宋_GB2312"/>
          <w:sz w:val="32"/>
          <w:szCs w:val="32"/>
          <w:lang w:val="en-US" w:eastAsia="zh-CN"/>
        </w:rPr>
        <w:t>根据我院部门预算绩效项目开展情况及时收集整理的材料，我院绩效自评合计得分</w:t>
      </w:r>
      <w:r>
        <w:rPr>
          <w:rFonts w:hint="eastAsia"/>
          <w:sz w:val="32"/>
          <w:szCs w:val="32"/>
          <w:lang w:val="en-US" w:eastAsia="zh-CN"/>
        </w:rPr>
        <w:t>95.233</w:t>
      </w:r>
      <w:r>
        <w:rPr>
          <w:rFonts w:hint="eastAsia" w:eastAsia="仿宋_GB2312"/>
          <w:sz w:val="32"/>
          <w:szCs w:val="32"/>
          <w:lang w:val="en-US" w:eastAsia="zh-CN"/>
        </w:rPr>
        <w:t>分，其中：绩效目标执行情况得分</w:t>
      </w:r>
      <w:r>
        <w:rPr>
          <w:rFonts w:hint="eastAsia"/>
          <w:sz w:val="32"/>
          <w:szCs w:val="32"/>
          <w:lang w:val="en-US" w:eastAsia="zh-CN"/>
        </w:rPr>
        <w:t>99.19分，绩效目标评分86分。</w:t>
      </w:r>
    </w:p>
    <w:p>
      <w:pPr>
        <w:autoSpaceDE w:val="0"/>
        <w:autoSpaceDN w:val="0"/>
        <w:adjustRightInd w:val="0"/>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lang w:eastAsia="zh-CN"/>
        </w:rPr>
        <w:t>十、</w:t>
      </w:r>
      <w:r>
        <w:rPr>
          <w:rFonts w:hint="eastAsia" w:ascii="仿宋_GB2312" w:eastAsia="仿宋_GB2312" w:cs="仿宋_GB2312"/>
          <w:b/>
          <w:bCs w:val="0"/>
          <w:kern w:val="0"/>
          <w:sz w:val="32"/>
          <w:szCs w:val="32"/>
        </w:rPr>
        <w:t>其他重要事项的情况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年度部门机关运行经费支出</w:t>
      </w:r>
      <w:r>
        <w:rPr>
          <w:rFonts w:hint="eastAsia" w:ascii="仿宋_GB2312" w:eastAsia="仿宋_GB2312" w:cs="仿宋_GB2312"/>
          <w:kern w:val="0"/>
          <w:sz w:val="32"/>
          <w:szCs w:val="32"/>
          <w:lang w:val="en-US" w:eastAsia="zh-CN"/>
        </w:rPr>
        <w:t>603.68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83.29</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16.01</w:t>
      </w:r>
      <w:r>
        <w:rPr>
          <w:rFonts w:hint="eastAsia" w:ascii="仿宋_GB2312" w:eastAsia="仿宋_GB2312" w:cs="仿宋_GB2312"/>
          <w:kern w:val="0"/>
          <w:sz w:val="32"/>
          <w:szCs w:val="32"/>
        </w:rPr>
        <w:t xml:space="preserve"> %，增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为办公费、水费、电费、维修维护费、其他交通费用较上年有所增加</w:t>
      </w:r>
      <w:r>
        <w:rPr>
          <w:rFonts w:hint="eastAsia" w:ascii="仿宋_GB2312" w:eastAsia="仿宋_GB2312" w:cs="仿宋_GB2312"/>
          <w:kern w:val="0"/>
          <w:sz w:val="32"/>
          <w:szCs w:val="32"/>
        </w:rPr>
        <w:t>。</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1014.42</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其中：货物支出</w:t>
      </w:r>
      <w:r>
        <w:rPr>
          <w:rFonts w:hint="eastAsia" w:ascii="仿宋_GB2312" w:eastAsia="仿宋_GB2312" w:cs="仿宋_GB2312"/>
          <w:kern w:val="0"/>
          <w:sz w:val="32"/>
          <w:szCs w:val="32"/>
          <w:lang w:val="en-US" w:eastAsia="zh-CN"/>
        </w:rPr>
        <w:t>627.76</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231.66</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155</w:t>
      </w:r>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18</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公务用车</w:t>
      </w:r>
      <w:r>
        <w:rPr>
          <w:rFonts w:hint="eastAsia" w:ascii="仿宋_GB2312" w:eastAsia="仿宋_GB2312" w:cs="仿宋_GB2312"/>
          <w:kern w:val="0"/>
          <w:sz w:val="32"/>
          <w:szCs w:val="32"/>
          <w:lang w:val="en-US" w:eastAsia="zh-CN"/>
        </w:rPr>
        <w:t>18</w:t>
      </w:r>
      <w:r>
        <w:rPr>
          <w:rFonts w:hint="eastAsia" w:ascii="仿宋_GB2312" w:eastAsia="仿宋_GB2312" w:cs="仿宋_GB2312"/>
          <w:kern w:val="0"/>
          <w:sz w:val="32"/>
          <w:szCs w:val="32"/>
        </w:rPr>
        <w:t xml:space="preserve"> 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w:t>
      </w:r>
      <w:r>
        <w:rPr>
          <w:rFonts w:hint="eastAsia" w:ascii="仿宋_GB2312" w:eastAsia="仿宋_GB2312" w:cs="仿宋_GB2312"/>
          <w:kern w:val="0"/>
          <w:sz w:val="32"/>
          <w:szCs w:val="32"/>
          <w:lang w:val="en-US" w:eastAsia="zh-CN"/>
        </w:rPr>
        <w:t>15</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（本年度内购置车辆</w:t>
      </w:r>
      <w:r>
        <w:rPr>
          <w:rFonts w:hint="eastAsia" w:ascii="仿宋_GB2312" w:eastAsia="仿宋_GB2312" w:cs="仿宋_GB2312"/>
          <w:kern w:val="0"/>
          <w:sz w:val="32"/>
          <w:szCs w:val="32"/>
          <w:lang w:val="en-US" w:eastAsia="zh-CN"/>
        </w:rPr>
        <w:t>2辆）</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其他</w:t>
      </w:r>
      <w:r>
        <w:rPr>
          <w:rFonts w:hint="eastAsia" w:ascii="仿宋_GB2312" w:eastAsia="仿宋_GB2312" w:cs="仿宋_GB2312"/>
          <w:kern w:val="0"/>
          <w:sz w:val="32"/>
          <w:szCs w:val="32"/>
        </w:rPr>
        <w:t>用</w:t>
      </w:r>
      <w:r>
        <w:rPr>
          <w:rFonts w:hint="eastAsia" w:ascii="仿宋_GB2312" w:eastAsia="仿宋_GB2312" w:cs="仿宋_GB2312"/>
          <w:kern w:val="0"/>
          <w:sz w:val="32"/>
          <w:szCs w:val="32"/>
          <w:lang w:eastAsia="zh-CN"/>
        </w:rPr>
        <w:t>车</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lang w:eastAsia="zh-CN"/>
        </w:rPr>
        <w:t>台</w:t>
      </w:r>
      <w:r>
        <w:rPr>
          <w:rFonts w:hint="eastAsia" w:ascii="仿宋_GB2312" w:eastAsia="仿宋_GB2312" w:cs="仿宋_GB2312"/>
          <w:kern w:val="0"/>
          <w:sz w:val="32"/>
          <w:szCs w:val="32"/>
        </w:rPr>
        <w:t xml:space="preserve">（套）。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9DB07E-3F07-4C2B-A87F-BA1F6E6FAA04}"/>
  </w:font>
  <w:font w:name="黑体">
    <w:panose1 w:val="02010609060101010101"/>
    <w:charset w:val="86"/>
    <w:family w:val="auto"/>
    <w:pitch w:val="default"/>
    <w:sig w:usb0="800002BF" w:usb1="38CF7CFA" w:usb2="00000016" w:usb3="00000000" w:csb0="00040001" w:csb1="00000000"/>
    <w:embedRegular r:id="rId2" w:fontKey="{BD461706-A309-4CBB-A566-EC20374856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9D49073D-4FAA-4F4E-96CB-D1CFE0A53C9F}"/>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D213F668-3C04-4B3A-B3BC-DD9BA1E435E0}"/>
  </w:font>
  <w:font w:name="MingLiU">
    <w:altName w:val="PMingLiU-ExtB"/>
    <w:panose1 w:val="02020509000000000000"/>
    <w:charset w:val="88"/>
    <w:family w:val="modern"/>
    <w:pitch w:val="default"/>
    <w:sig w:usb0="00000000" w:usb1="00000000" w:usb2="00000016" w:usb3="00000000" w:csb0="00100001" w:csb1="00000000"/>
    <w:embedRegular r:id="rId5" w:fontKey="{99869F90-A3CA-4FBD-8759-147FC0CFC5A5}"/>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- 16 -</w:t>
    </w:r>
    <w:r>
      <w:rPr>
        <w:sz w:val="30"/>
        <w:szCs w:val="30"/>
      </w:rPr>
      <w:fldChar w:fldCharType="end"/>
    </w:r>
  </w:p>
  <w:p>
    <w:pPr>
      <w:pStyle w:val="3"/>
      <w:bidi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4C256E3D"/>
    <w:rsid w:val="00D75BCE"/>
    <w:rsid w:val="013F2A7F"/>
    <w:rsid w:val="01460D70"/>
    <w:rsid w:val="01FD04A4"/>
    <w:rsid w:val="040567FF"/>
    <w:rsid w:val="05723844"/>
    <w:rsid w:val="071516E2"/>
    <w:rsid w:val="099B0D9C"/>
    <w:rsid w:val="0A635F0C"/>
    <w:rsid w:val="0B255A93"/>
    <w:rsid w:val="0BEA5DAF"/>
    <w:rsid w:val="153747A6"/>
    <w:rsid w:val="17A52B84"/>
    <w:rsid w:val="1CED10D9"/>
    <w:rsid w:val="1E6A7C3D"/>
    <w:rsid w:val="1F244955"/>
    <w:rsid w:val="203C742D"/>
    <w:rsid w:val="20E67948"/>
    <w:rsid w:val="21056F3E"/>
    <w:rsid w:val="230E2690"/>
    <w:rsid w:val="23E30D58"/>
    <w:rsid w:val="25361123"/>
    <w:rsid w:val="25960C5D"/>
    <w:rsid w:val="26460DBA"/>
    <w:rsid w:val="289B4B63"/>
    <w:rsid w:val="2901407D"/>
    <w:rsid w:val="2A49604B"/>
    <w:rsid w:val="2C4219FE"/>
    <w:rsid w:val="2CF4475B"/>
    <w:rsid w:val="307A6DDA"/>
    <w:rsid w:val="317E038F"/>
    <w:rsid w:val="320D62CF"/>
    <w:rsid w:val="343909BA"/>
    <w:rsid w:val="39A63F06"/>
    <w:rsid w:val="3BE174A2"/>
    <w:rsid w:val="3C647CBB"/>
    <w:rsid w:val="3CC20062"/>
    <w:rsid w:val="3ED1439F"/>
    <w:rsid w:val="40155F94"/>
    <w:rsid w:val="43AD5EC0"/>
    <w:rsid w:val="44041A0F"/>
    <w:rsid w:val="44BF768C"/>
    <w:rsid w:val="48B96070"/>
    <w:rsid w:val="4A8845CD"/>
    <w:rsid w:val="4B5C04CE"/>
    <w:rsid w:val="4B9236E1"/>
    <w:rsid w:val="4C256E3D"/>
    <w:rsid w:val="4CB52F0F"/>
    <w:rsid w:val="4D4173F4"/>
    <w:rsid w:val="4E1375E2"/>
    <w:rsid w:val="4FA24260"/>
    <w:rsid w:val="532F1F9A"/>
    <w:rsid w:val="53B2344E"/>
    <w:rsid w:val="53BE1E01"/>
    <w:rsid w:val="549B7BB1"/>
    <w:rsid w:val="56E632B1"/>
    <w:rsid w:val="57D6015F"/>
    <w:rsid w:val="59CE2DBD"/>
    <w:rsid w:val="5A0D51DA"/>
    <w:rsid w:val="5A2C2207"/>
    <w:rsid w:val="5A8B230B"/>
    <w:rsid w:val="5B036759"/>
    <w:rsid w:val="5B8A5613"/>
    <w:rsid w:val="5C230A81"/>
    <w:rsid w:val="601E0430"/>
    <w:rsid w:val="62163194"/>
    <w:rsid w:val="622558AC"/>
    <w:rsid w:val="663926F1"/>
    <w:rsid w:val="675367F1"/>
    <w:rsid w:val="67DD232F"/>
    <w:rsid w:val="69191CB2"/>
    <w:rsid w:val="69225F17"/>
    <w:rsid w:val="6C95335A"/>
    <w:rsid w:val="6D260C7F"/>
    <w:rsid w:val="6E841BDA"/>
    <w:rsid w:val="717D423B"/>
    <w:rsid w:val="72686CE4"/>
    <w:rsid w:val="75DE569C"/>
    <w:rsid w:val="75E01FC1"/>
    <w:rsid w:val="7627574B"/>
    <w:rsid w:val="768F4917"/>
    <w:rsid w:val="76906EA6"/>
    <w:rsid w:val="7A664D7E"/>
    <w:rsid w:val="7F1C0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dcterms:modified xsi:type="dcterms:W3CDTF">2023-11-22T02:01:03Z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89DC45D438D0444BA904259B638BEE08</vt:lpwstr>
  </property>
</Properties>
</file>