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70"/>
        </w:tabs>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lang w:eastAsia="zh-CN"/>
        </w:rPr>
        <w:t>柳州市</w:t>
      </w:r>
      <w:r>
        <w:rPr>
          <w:rFonts w:hint="eastAsia" w:ascii="黑体" w:hAnsi="黑体" w:eastAsia="黑体"/>
          <w:bCs/>
          <w:color w:val="000000"/>
          <w:sz w:val="52"/>
          <w:szCs w:val="52"/>
          <w:lang w:val="en-US" w:eastAsia="zh-CN"/>
        </w:rPr>
        <w:t>民族宗教事务委员会</w:t>
      </w:r>
    </w:p>
    <w:p>
      <w:pPr>
        <w:tabs>
          <w:tab w:val="left" w:pos="3570"/>
        </w:tabs>
        <w:jc w:val="center"/>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pPr>
        <w:tabs>
          <w:tab w:val="left" w:pos="3570"/>
        </w:tabs>
        <w:rPr>
          <w:rFonts w:hint="eastAsia" w:ascii="ArialUnicodeMS" w:eastAsia="ArialUnicodeMS" w:cs="ArialUnicodeMS"/>
          <w:kern w:val="0"/>
          <w:sz w:val="84"/>
          <w:szCs w:val="84"/>
        </w:rPr>
      </w:pPr>
    </w:p>
    <w:p>
      <w:pPr>
        <w:tabs>
          <w:tab w:val="left" w:pos="3570"/>
        </w:tabs>
        <w:rPr>
          <w:rFonts w:hint="eastAsia" w:ascii="ArialUnicodeMS" w:eastAsia="ArialUnicodeMS" w:cs="ArialUnicodeMS"/>
          <w:kern w:val="0"/>
          <w:sz w:val="84"/>
          <w:szCs w:val="84"/>
          <w:lang w:eastAsia="zh-CN"/>
        </w:rPr>
      </w:pPr>
    </w:p>
    <w:p>
      <w:pPr>
        <w:tabs>
          <w:tab w:val="left" w:pos="3570"/>
        </w:tabs>
        <w:rPr>
          <w:rFonts w:hint="eastAsia" w:ascii="ArialUnicodeMS" w:eastAsia="ArialUnicodeMS" w:cs="ArialUnicodeMS"/>
          <w:kern w:val="0"/>
          <w:sz w:val="84"/>
          <w:szCs w:val="84"/>
          <w:lang w:eastAsia="zh-CN"/>
        </w:rPr>
      </w:pPr>
    </w:p>
    <w:p>
      <w:pPr>
        <w:tabs>
          <w:tab w:val="left" w:pos="3570"/>
        </w:tabs>
        <w:rPr>
          <w:rFonts w:hint="eastAsia" w:ascii="ArialUnicodeMS" w:eastAsia="ArialUnicodeMS" w:cs="ArialUnicodeMS"/>
          <w:kern w:val="0"/>
          <w:sz w:val="84"/>
          <w:szCs w:val="84"/>
          <w:lang w:eastAsia="zh-CN"/>
        </w:rPr>
      </w:pPr>
    </w:p>
    <w:p>
      <w:pPr>
        <w:tabs>
          <w:tab w:val="left" w:pos="3570"/>
        </w:tabs>
        <w:rPr>
          <w:rFonts w:hint="eastAsia" w:ascii="ArialUnicodeMS" w:eastAsia="ArialUnicodeMS" w:cs="ArialUnicodeMS"/>
          <w:kern w:val="0"/>
          <w:sz w:val="84"/>
          <w:szCs w:val="84"/>
          <w:lang w:eastAsia="zh-CN"/>
        </w:rPr>
      </w:pPr>
    </w:p>
    <w:p>
      <w:pPr>
        <w:tabs>
          <w:tab w:val="left" w:pos="3570"/>
        </w:tabs>
        <w:rPr>
          <w:rFonts w:hint="eastAsia" w:ascii="ArialUnicodeMS" w:eastAsia="ArialUnicodeMS" w:cs="ArialUnicodeMS"/>
          <w:kern w:val="0"/>
          <w:sz w:val="84"/>
          <w:szCs w:val="84"/>
          <w:lang w:eastAsia="zh-CN"/>
        </w:rPr>
      </w:pPr>
    </w:p>
    <w:p>
      <w:pPr>
        <w:tabs>
          <w:tab w:val="left" w:pos="3570"/>
        </w:tabs>
        <w:rPr>
          <w:rFonts w:hint="eastAsia" w:ascii="ArialUnicodeMS" w:eastAsia="ArialUnicodeMS" w:cs="ArialUnicodeMS"/>
          <w:kern w:val="0"/>
          <w:sz w:val="84"/>
          <w:szCs w:val="84"/>
          <w:lang w:eastAsia="zh-CN"/>
        </w:rPr>
      </w:pPr>
    </w:p>
    <w:p>
      <w:pPr>
        <w:tabs>
          <w:tab w:val="left" w:pos="3570"/>
        </w:tabs>
        <w:rPr>
          <w:rFonts w:hint="eastAsia" w:ascii="ArialUnicodeMS" w:eastAsia="ArialUnicodeMS" w:cs="ArialUnicodeMS"/>
          <w:kern w:val="0"/>
          <w:sz w:val="84"/>
          <w:szCs w:val="84"/>
          <w:lang w:eastAsia="zh-CN"/>
        </w:rPr>
      </w:pPr>
    </w:p>
    <w:p>
      <w:pPr>
        <w:tabs>
          <w:tab w:val="left" w:pos="3570"/>
        </w:tabs>
        <w:rPr>
          <w:rFonts w:hint="eastAsia" w:ascii="ArialUnicodeMS" w:eastAsia="ArialUnicodeMS" w:cs="ArialUnicodeMS"/>
          <w:kern w:val="0"/>
          <w:sz w:val="84"/>
          <w:szCs w:val="84"/>
        </w:rPr>
      </w:pPr>
    </w:p>
    <w:p>
      <w:pPr>
        <w:tabs>
          <w:tab w:val="left" w:pos="3570"/>
        </w:tabs>
        <w:jc w:val="both"/>
        <w:rPr>
          <w:rFonts w:hint="eastAsia" w:ascii="黑体" w:eastAsia="黑体" w:cs="黑体"/>
          <w:kern w:val="0"/>
          <w:sz w:val="44"/>
          <w:szCs w:val="44"/>
        </w:rPr>
      </w:pPr>
    </w:p>
    <w:p>
      <w:pPr>
        <w:tabs>
          <w:tab w:val="left" w:pos="3570"/>
        </w:tabs>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tabs>
          <w:tab w:val="left" w:pos="3570"/>
        </w:tabs>
        <w:ind w:firstLine="645"/>
        <w:rPr>
          <w:rFonts w:hint="eastAsia" w:ascii="仿宋_GB2312" w:eastAsia="仿宋_GB2312"/>
          <w:b/>
          <w:sz w:val="32"/>
          <w:szCs w:val="32"/>
        </w:rPr>
      </w:pPr>
    </w:p>
    <w:p>
      <w:pPr>
        <w:tabs>
          <w:tab w:val="left" w:pos="3570"/>
        </w:tabs>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柳州市民族宗教事务委员会</w:t>
      </w:r>
      <w:r>
        <w:rPr>
          <w:rFonts w:hint="eastAsia" w:ascii="仿宋_GB2312" w:eastAsia="仿宋_GB2312"/>
          <w:b/>
          <w:sz w:val="32"/>
          <w:szCs w:val="32"/>
        </w:rPr>
        <w:t>概况</w:t>
      </w:r>
    </w:p>
    <w:p>
      <w:pPr>
        <w:tabs>
          <w:tab w:val="left" w:pos="3570"/>
        </w:tabs>
        <w:ind w:firstLine="645"/>
        <w:rPr>
          <w:rFonts w:hint="eastAsia" w:ascii="仿宋_GB2312" w:eastAsia="仿宋_GB2312"/>
          <w:sz w:val="32"/>
          <w:szCs w:val="32"/>
        </w:rPr>
      </w:pPr>
      <w:r>
        <w:rPr>
          <w:rFonts w:hint="eastAsia" w:ascii="仿宋_GB2312" w:eastAsia="仿宋_GB2312"/>
          <w:sz w:val="32"/>
          <w:szCs w:val="32"/>
        </w:rPr>
        <w:t>一、主要职能</w:t>
      </w:r>
    </w:p>
    <w:p>
      <w:pPr>
        <w:tabs>
          <w:tab w:val="left" w:pos="3570"/>
        </w:tabs>
        <w:ind w:firstLine="645"/>
        <w:rPr>
          <w:rFonts w:hint="eastAsia" w:ascii="仿宋_GB2312" w:eastAsia="仿宋_GB2312"/>
          <w:sz w:val="32"/>
          <w:szCs w:val="32"/>
        </w:rPr>
      </w:pPr>
      <w:r>
        <w:rPr>
          <w:rFonts w:hint="eastAsia" w:ascii="仿宋_GB2312" w:eastAsia="仿宋_GB2312"/>
          <w:sz w:val="32"/>
          <w:szCs w:val="32"/>
        </w:rPr>
        <w:t>二、部门决算单位构成</w:t>
      </w:r>
    </w:p>
    <w:p>
      <w:pPr>
        <w:tabs>
          <w:tab w:val="left" w:pos="3570"/>
        </w:tabs>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柳州市民族宗教事务委员会</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tabs>
          <w:tab w:val="left" w:pos="3570"/>
        </w:tabs>
        <w:ind w:left="645"/>
        <w:rPr>
          <w:rFonts w:hint="eastAsia" w:ascii="仿宋_GB2312" w:eastAsia="仿宋_GB2312"/>
          <w:sz w:val="32"/>
          <w:szCs w:val="32"/>
        </w:rPr>
      </w:pPr>
      <w:r>
        <w:rPr>
          <w:rFonts w:hint="eastAsia" w:ascii="仿宋_GB2312" w:eastAsia="仿宋_GB2312"/>
          <w:sz w:val="32"/>
          <w:szCs w:val="32"/>
        </w:rPr>
        <w:t>表一：收入支出决算总表</w:t>
      </w:r>
    </w:p>
    <w:p>
      <w:pPr>
        <w:tabs>
          <w:tab w:val="left" w:pos="3570"/>
        </w:tabs>
        <w:ind w:left="645"/>
        <w:rPr>
          <w:rFonts w:hint="eastAsia" w:ascii="仿宋_GB2312" w:eastAsia="仿宋_GB2312"/>
          <w:sz w:val="32"/>
          <w:szCs w:val="32"/>
        </w:rPr>
      </w:pPr>
      <w:r>
        <w:rPr>
          <w:rFonts w:hint="eastAsia" w:ascii="仿宋_GB2312" w:eastAsia="仿宋_GB2312"/>
          <w:sz w:val="32"/>
          <w:szCs w:val="32"/>
        </w:rPr>
        <w:t>表二：收入决算表</w:t>
      </w:r>
    </w:p>
    <w:p>
      <w:pPr>
        <w:tabs>
          <w:tab w:val="left" w:pos="3570"/>
        </w:tabs>
        <w:ind w:left="645"/>
        <w:rPr>
          <w:rFonts w:hint="eastAsia" w:ascii="仿宋_GB2312" w:eastAsia="仿宋_GB2312"/>
          <w:sz w:val="32"/>
          <w:szCs w:val="32"/>
        </w:rPr>
      </w:pPr>
      <w:r>
        <w:rPr>
          <w:rFonts w:hint="eastAsia" w:ascii="仿宋_GB2312" w:eastAsia="仿宋_GB2312"/>
          <w:sz w:val="32"/>
          <w:szCs w:val="32"/>
        </w:rPr>
        <w:t>表三：支出决算表</w:t>
      </w:r>
    </w:p>
    <w:p>
      <w:pPr>
        <w:tabs>
          <w:tab w:val="left" w:pos="3570"/>
        </w:tabs>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tabs>
          <w:tab w:val="left" w:pos="3570"/>
        </w:tabs>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tabs>
          <w:tab w:val="left" w:pos="3570"/>
        </w:tabs>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tabs>
          <w:tab w:val="left" w:pos="3570"/>
        </w:tabs>
        <w:ind w:left="645"/>
        <w:rPr>
          <w:rFonts w:ascii="仿宋_GB2312" w:eastAsia="仿宋_GB2312"/>
          <w:sz w:val="32"/>
          <w:szCs w:val="32"/>
          <w:highlight w:val="none"/>
        </w:rPr>
      </w:pPr>
      <w:r>
        <w:rPr>
          <w:rFonts w:hint="eastAsia" w:ascii="仿宋_GB2312" w:eastAsia="仿宋_GB2312"/>
          <w:sz w:val="32"/>
          <w:szCs w:val="32"/>
          <w:highlight w:val="none"/>
        </w:rPr>
        <w:t>表七：一般公共预算财政拨款安排的“</w:t>
      </w:r>
      <w:r>
        <w:rPr>
          <w:rFonts w:ascii="仿宋_GB2312" w:eastAsia="仿宋_GB2312"/>
          <w:sz w:val="32"/>
          <w:szCs w:val="32"/>
          <w:highlight w:val="none"/>
        </w:rPr>
        <w:t>三公</w:t>
      </w:r>
      <w:r>
        <w:rPr>
          <w:rFonts w:hint="eastAsia" w:ascii="仿宋_GB2312" w:eastAsia="仿宋_GB2312"/>
          <w:sz w:val="32"/>
          <w:szCs w:val="32"/>
          <w:highlight w:val="none"/>
        </w:rPr>
        <w:t>”</w:t>
      </w:r>
      <w:r>
        <w:rPr>
          <w:rFonts w:ascii="仿宋_GB2312" w:eastAsia="仿宋_GB2312"/>
          <w:sz w:val="32"/>
          <w:szCs w:val="32"/>
          <w:highlight w:val="none"/>
        </w:rPr>
        <w:t>经费</w:t>
      </w:r>
      <w:r>
        <w:rPr>
          <w:rFonts w:hint="eastAsia" w:ascii="仿宋_GB2312" w:eastAsia="仿宋_GB2312"/>
          <w:sz w:val="32"/>
          <w:szCs w:val="32"/>
          <w:highlight w:val="none"/>
        </w:rPr>
        <w:t>支出决算表</w:t>
      </w:r>
    </w:p>
    <w:p>
      <w:pPr>
        <w:tabs>
          <w:tab w:val="left" w:pos="3570"/>
        </w:tabs>
        <w:ind w:left="645"/>
        <w:rPr>
          <w:rFonts w:hint="eastAsia" w:ascii="仿宋_GB2312" w:eastAsia="仿宋_GB2312"/>
          <w:sz w:val="32"/>
          <w:szCs w:val="32"/>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w:t>
      </w:r>
      <w:r>
        <w:rPr>
          <w:rFonts w:hint="eastAsia" w:ascii="仿宋_GB2312" w:eastAsia="仿宋_GB2312"/>
          <w:sz w:val="32"/>
          <w:szCs w:val="32"/>
        </w:rPr>
        <w:t>支出决算表</w:t>
      </w:r>
    </w:p>
    <w:p>
      <w:pPr>
        <w:tabs>
          <w:tab w:val="left" w:pos="3570"/>
        </w:tabs>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柳州市民族宗教事务委员会</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tabs>
          <w:tab w:val="left" w:pos="3570"/>
        </w:tabs>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tabs>
          <w:tab w:val="left" w:pos="3570"/>
        </w:tabs>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tabs>
          <w:tab w:val="left" w:pos="3570"/>
        </w:tabs>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tabs>
          <w:tab w:val="left" w:pos="3570"/>
        </w:tabs>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tabs>
          <w:tab w:val="left" w:pos="3570"/>
        </w:tabs>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tabs>
          <w:tab w:val="left" w:pos="3570"/>
        </w:tabs>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tabs>
          <w:tab w:val="left" w:pos="3570"/>
        </w:tabs>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七、</w:t>
      </w:r>
      <w:r>
        <w:rPr>
          <w:rFonts w:hint="eastAsia" w:eastAsia="仿宋_GB2312"/>
          <w:kern w:val="0"/>
          <w:sz w:val="32"/>
          <w:szCs w:val="32"/>
          <w:highlight w:val="none"/>
          <w:lang w:eastAsia="zh-CN"/>
        </w:rPr>
        <w:t>201</w:t>
      </w:r>
      <w:r>
        <w:rPr>
          <w:rFonts w:hint="eastAsia" w:eastAsia="仿宋_GB2312"/>
          <w:kern w:val="0"/>
          <w:sz w:val="32"/>
          <w:szCs w:val="32"/>
          <w:highlight w:val="none"/>
          <w:lang w:val="en-US" w:eastAsia="zh-CN"/>
        </w:rPr>
        <w:t>9</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highlight w:val="none"/>
          <w:lang w:eastAsia="zh-CN"/>
        </w:rPr>
        <w:t>一般公共预算财政拨款“三公”经费支出决算情况</w:t>
      </w:r>
    </w:p>
    <w:p>
      <w:pPr>
        <w:tabs>
          <w:tab w:val="left" w:pos="3570"/>
        </w:tabs>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highlight w:val="none"/>
          <w:lang w:eastAsia="zh-CN"/>
        </w:rPr>
        <w:t>八、</w:t>
      </w:r>
      <w:r>
        <w:rPr>
          <w:rFonts w:hint="eastAsia" w:eastAsia="仿宋_GB2312"/>
          <w:kern w:val="0"/>
          <w:sz w:val="32"/>
          <w:szCs w:val="32"/>
          <w:highlight w:val="none"/>
          <w:lang w:eastAsia="zh-CN"/>
        </w:rPr>
        <w:t>201</w:t>
      </w:r>
      <w:r>
        <w:rPr>
          <w:rFonts w:hint="eastAsia" w:eastAsia="仿宋_GB2312"/>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年度政府性基金预算财</w:t>
      </w:r>
      <w:r>
        <w:rPr>
          <w:rFonts w:hint="eastAsia" w:ascii="仿宋_GB2312" w:eastAsia="仿宋_GB2312" w:cs="仿宋_GB2312"/>
          <w:bCs/>
          <w:kern w:val="0"/>
          <w:sz w:val="32"/>
          <w:szCs w:val="32"/>
        </w:rPr>
        <w:t>政拨款收入支出决算情况</w:t>
      </w:r>
    </w:p>
    <w:p>
      <w:pPr>
        <w:tabs>
          <w:tab w:val="left" w:pos="3570"/>
        </w:tabs>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tabs>
          <w:tab w:val="left" w:pos="3570"/>
        </w:tabs>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tabs>
          <w:tab w:val="left" w:pos="3570"/>
        </w:tabs>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仿宋_GB2312" w:eastAsia="仿宋_GB2312"/>
          <w:b/>
          <w:sz w:val="32"/>
          <w:szCs w:val="32"/>
          <w:lang w:eastAsia="zh-CN"/>
        </w:rPr>
      </w:pPr>
    </w:p>
    <w:p>
      <w:pPr>
        <w:tabs>
          <w:tab w:val="left" w:pos="3570"/>
        </w:tabs>
        <w:ind w:firstLine="645"/>
        <w:rPr>
          <w:rFonts w:hint="eastAsia" w:ascii="宋体" w:hAnsi="宋体" w:eastAsia="宋体" w:cs="宋体"/>
          <w:i w:val="0"/>
          <w:caps w:val="0"/>
          <w:color w:val="333333"/>
          <w:spacing w:val="0"/>
          <w:sz w:val="21"/>
          <w:szCs w:val="21"/>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柳州市民族宗教事务委员会</w:t>
      </w:r>
      <w:r>
        <w:rPr>
          <w:rFonts w:hint="eastAsia" w:ascii="仿宋_GB2312" w:eastAsia="仿宋_GB2312"/>
          <w:b/>
          <w:sz w:val="32"/>
          <w:szCs w:val="32"/>
        </w:rPr>
        <w:t>概况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570"/>
        </w:tabs>
        <w:spacing w:before="0" w:beforeAutospacing="0" w:after="0" w:afterAutospacing="0"/>
        <w:ind w:right="80" w:rightChars="38"/>
        <w:jc w:val="both"/>
        <w:rPr>
          <w:rFonts w:hint="eastAsia" w:ascii="宋体" w:hAnsi="宋体" w:eastAsia="宋体" w:cs="宋体"/>
          <w:i w:val="0"/>
          <w:caps w:val="0"/>
          <w:color w:val="333333"/>
          <w:spacing w:val="0"/>
          <w:sz w:val="21"/>
          <w:szCs w:val="21"/>
        </w:rPr>
      </w:pPr>
      <w:r>
        <w:rPr>
          <w:rFonts w:hint="eastAsia" w:ascii="仿宋_GB2312" w:eastAsia="仿宋_GB2312"/>
          <w:sz w:val="32"/>
          <w:szCs w:val="32"/>
          <w:lang w:eastAsia="zh-CN"/>
        </w:rPr>
        <w:t>一、</w:t>
      </w:r>
      <w:r>
        <w:rPr>
          <w:rFonts w:hint="eastAsia" w:ascii="仿宋_GB2312" w:eastAsia="仿宋_GB2312"/>
          <w:sz w:val="32"/>
          <w:szCs w:val="32"/>
        </w:rPr>
        <w:t>主要职能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3570"/>
        </w:tabs>
        <w:spacing w:before="0" w:beforeAutospacing="0" w:after="0" w:afterAutospacing="0"/>
        <w:ind w:left="0" w:right="80" w:rightChars="38" w:firstLine="336" w:firstLineChars="100"/>
        <w:jc w:val="left"/>
        <w:rPr>
          <w:rFonts w:hint="eastAsia" w:ascii="仿宋_GB2312" w:hAnsi="Times New Roman" w:eastAsia="仿宋_GB2312" w:cs="Times New Roman"/>
          <w:i w:val="0"/>
          <w:caps w:val="0"/>
          <w:color w:val="333333"/>
          <w:spacing w:val="0"/>
          <w:sz w:val="32"/>
          <w:szCs w:val="32"/>
        </w:rPr>
      </w:pPr>
      <w:r>
        <w:rPr>
          <w:rFonts w:hint="eastAsia" w:ascii="宋体" w:hAnsi="宋体" w:eastAsia="宋体" w:cs="宋体"/>
          <w:i w:val="0"/>
          <w:caps w:val="0"/>
          <w:color w:val="333333"/>
          <w:spacing w:val="8"/>
          <w:sz w:val="32"/>
          <w:szCs w:val="32"/>
        </w:rPr>
        <w:t>（</w:t>
      </w:r>
      <w:r>
        <w:rPr>
          <w:rFonts w:hint="eastAsia" w:ascii="仿宋_GB2312" w:hAnsi="Times New Roman" w:eastAsia="仿宋_GB2312" w:cs="Times New Roman"/>
          <w:i w:val="0"/>
          <w:caps w:val="0"/>
          <w:color w:val="333333"/>
          <w:spacing w:val="0"/>
          <w:sz w:val="32"/>
          <w:szCs w:val="32"/>
        </w:rPr>
        <w:t>一）组织开展民族宗教理论、政策和民族宗教工作重大问题的调查研究，提出有关民族宗教工作的政策建议，对民族宗教政策和法律法规执行情况进行督促检查，组织开展民族宗教理论、政策、法律法规和基本知识的宣传教育工作。</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3570"/>
        </w:tabs>
        <w:spacing w:before="0" w:beforeAutospacing="0" w:after="0" w:afterAutospacing="0" w:line="240" w:lineRule="auto"/>
        <w:ind w:left="0" w:right="80" w:rightChars="38" w:firstLine="320" w:firstLineChars="1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二）起草全市有关民族宗教事务规范性文件草案。保障少数民族合法权益，依法保护公民的宗教信仰自由和正常的宗教活动，维护宗教界合法权益。联系自治县、民族乡，指导民族区域自治法的贯彻落实，负责上级民族团结进步表彰对象的推荐等有关工作，指导自治县、民族乡成立逢10周年的庆祝活动。</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3570"/>
        </w:tabs>
        <w:spacing w:before="0" w:beforeAutospacing="0" w:after="0" w:afterAutospacing="0" w:line="240" w:lineRule="auto"/>
        <w:ind w:left="0" w:right="80" w:rightChars="38" w:firstLine="320" w:firstLineChars="1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三）研究提出协调民族宗教关系的工作建议，协调处理民族宗教关系中的重大事项，参与协调少数民族聚居区社会稳定工作，推动民族团结进步创建活动，促进各民族共同团结奋斗、共同繁荣发展。负责公民民族成份变更相关工作，指导全市民族宗教事务工作，协助全市各级政府妥善处理涉及民族宗教方面的群体性事件和影响社会稳定问题。</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3570"/>
        </w:tabs>
        <w:spacing w:before="0" w:beforeAutospacing="0" w:after="0" w:afterAutospacing="0" w:line="240" w:lineRule="auto"/>
        <w:ind w:left="0" w:right="80" w:rightChars="38" w:firstLine="320" w:firstLineChars="1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四）拟订少数民族事业专项规划，监督检查规划实施情况，参与拟订少数民族和少数民族聚居区经济社会相关领域的发展规划，促进建立和完善少数民族事业发展综合评价监测体系，推进实施民族事务服务体系建设和民族事务管理信息化建设。</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3570"/>
        </w:tabs>
        <w:spacing w:before="0" w:beforeAutospacing="0" w:after="0" w:afterAutospacing="0" w:line="240" w:lineRule="auto"/>
        <w:ind w:left="0" w:right="80" w:rightChars="38" w:firstLine="640" w:firstLineChars="2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五）研究分析少数民族和少数民族聚居区的经济发展和社会事业方面的问题并提出特殊政策建议，配合做好少数民族聚居区扶贫有关事宜。组织协调少数民族聚居区科技发展、经济技术合作和民族贸易、民族特需用品生产政策的落实。会同财政部门做好民族宗教相关资金经费的分配、管理和监督工作。</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80" w:rightChars="38" w:firstLine="640" w:firstLineChars="2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六）研究少数民族教育、文化、科技、卫生、体育等方面的问题并提出政策建议，会同文化广电和旅游、体育部门承办全市少数民族文艺会演和全市少数民族传统体育运动会相关事宜，组织参加全区少数民族传统体育运动会，指导开展民族节庆活动等，配合教育主管部门做好民族教育相关工作。</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80" w:rightChars="38" w:firstLine="640" w:firstLineChars="2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七）负责少数民族语言文字的学习、使用、翻译、研究、发展、抢救、保护、传承工作。配合做好少数民族语言文字规范化、标准化工作。配合做好少数民族语言文字考试测试工作。负责指导少数民族语言文字的学习使用和翻译工作。</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80" w:rightChars="38" w:firstLine="640" w:firstLineChars="2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八）负责对宗教团体和宗教界人士进行爱国守法、拥护社会主义、维护祖国统一和民族团结、维护社会稳定教育。做好巩固和发展同宗教界人士的爱国统一战线工作。帮助宗教团体在宪法和法律范围内按照自身特点独立自主开展工作，帮助做好宗教教职人员的选拔、培养工作。负责管理市一级宗教团体。会同有关部门做好对涉及宗教内容的宣传品的审查工作。配合政法部门揭露和打击利用宗教进行的违法犯罪活动。做好涉及民族宗教事务的对外宣传工作。指导宗教团体和宗教界人士按照独立自主自办原则和外事纪律开展对外交往，抵御境外敌对势力利用宗教对我进行的渗透活动。协同有关方面处理宗教涉外事宜。</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80" w:rightChars="38" w:firstLine="640" w:firstLineChars="200"/>
        <w:jc w:val="left"/>
        <w:rPr>
          <w:rFonts w:hint="eastAsia" w:ascii="仿宋_GB2312" w:hAnsi="Times New Roman" w:eastAsia="仿宋_GB2312" w:cs="Times New Roman"/>
          <w:i w:val="0"/>
          <w:caps w:val="0"/>
          <w:color w:val="333333"/>
          <w:spacing w:val="0"/>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（九）参与拟订少数民族人才队伍建设规划，联系少数民族干部，协助有关部门做好少数民族干部的培养、教育和使用工作，负责宗教界人士的培训、培养工作，组织开展和指导干部教育培训工作。</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80" w:rightChars="38" w:firstLine="640" w:firstLineChars="200"/>
        <w:jc w:val="left"/>
        <w:rPr>
          <w:rFonts w:hint="eastAsia" w:ascii="仿宋_GB2312" w:eastAsia="仿宋_GB2312"/>
          <w:sz w:val="32"/>
          <w:szCs w:val="32"/>
        </w:rPr>
      </w:pPr>
      <w:r>
        <w:rPr>
          <w:rFonts w:hint="eastAsia" w:ascii="仿宋_GB2312" w:hAnsi="Times New Roman" w:eastAsia="仿宋_GB2312" w:cs="Times New Roman"/>
          <w:i w:val="0"/>
          <w:caps w:val="0"/>
          <w:color w:val="333333"/>
          <w:spacing w:val="0"/>
          <w:kern w:val="2"/>
          <w:sz w:val="32"/>
          <w:szCs w:val="32"/>
          <w:lang w:val="en-US" w:eastAsia="zh-CN" w:bidi="ar"/>
        </w:rPr>
        <w:t>（十）完成市委、市政府交办的其他任务</w:t>
      </w:r>
    </w:p>
    <w:p>
      <w:pPr>
        <w:ind w:firstLine="0"/>
        <w:rPr>
          <w:rFonts w:hint="eastAsia" w:ascii="仿宋_GB2312" w:eastAsia="仿宋_GB2312"/>
          <w:sz w:val="32"/>
          <w:szCs w:val="32"/>
        </w:rPr>
      </w:pPr>
    </w:p>
    <w:p>
      <w:pPr>
        <w:ind w:firstLine="0"/>
        <w:rPr>
          <w:rFonts w:hint="eastAsia" w:ascii="仿宋_GB2312" w:eastAsia="仿宋_GB2312"/>
          <w:sz w:val="32"/>
          <w:szCs w:val="32"/>
        </w:rPr>
      </w:pPr>
      <w:r>
        <w:rPr>
          <w:rFonts w:hint="eastAsia" w:ascii="仿宋_GB2312" w:eastAsia="仿宋_GB2312"/>
          <w:sz w:val="32"/>
          <w:szCs w:val="32"/>
        </w:rPr>
        <w:t>二、部门决算单位构成</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80" w:rightChars="38" w:firstLine="640" w:firstLineChars="200"/>
        <w:jc w:val="left"/>
        <w:rPr>
          <w:rFonts w:hint="eastAsia" w:ascii="仿宋_GB2312" w:hAnsi="Times New Roman" w:eastAsia="仿宋_GB2312" w:cs="Times New Roman"/>
          <w:i w:val="0"/>
          <w:caps w:val="0"/>
          <w:color w:val="333333"/>
          <w:spacing w:val="0"/>
          <w:kern w:val="2"/>
          <w:sz w:val="32"/>
          <w:szCs w:val="32"/>
          <w:lang w:val="en-US" w:eastAsia="zh-CN" w:bidi="ar"/>
        </w:rPr>
      </w:pPr>
      <w:r>
        <w:rPr>
          <w:rFonts w:hint="eastAsia" w:ascii="仿宋_GB2312" w:eastAsia="仿宋_GB2312" w:cs="Times New Roman"/>
          <w:i w:val="0"/>
          <w:caps w:val="0"/>
          <w:color w:val="333333"/>
          <w:spacing w:val="0"/>
          <w:kern w:val="2"/>
          <w:sz w:val="32"/>
          <w:szCs w:val="32"/>
          <w:lang w:val="en-US" w:eastAsia="zh-CN" w:bidi="ar"/>
        </w:rPr>
        <w:t>柳州</w:t>
      </w:r>
      <w:r>
        <w:rPr>
          <w:rFonts w:hint="eastAsia" w:ascii="仿宋_GB2312" w:hAnsi="Times New Roman" w:eastAsia="仿宋_GB2312" w:cs="Times New Roman"/>
          <w:i w:val="0"/>
          <w:caps w:val="0"/>
          <w:color w:val="333333"/>
          <w:spacing w:val="0"/>
          <w:kern w:val="2"/>
          <w:sz w:val="32"/>
          <w:szCs w:val="32"/>
          <w:lang w:val="en-US" w:eastAsia="zh-CN" w:bidi="ar"/>
        </w:rPr>
        <w:t>市民族宗教事务委员会设下列内设机构：</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机构和人员情况表</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单位：人</w:t>
      </w:r>
    </w:p>
    <w:tbl>
      <w:tblPr>
        <w:tblStyle w:val="6"/>
        <w:tblW w:w="9567" w:type="dxa"/>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3567"/>
        <w:gridCol w:w="915"/>
        <w:gridCol w:w="735"/>
        <w:gridCol w:w="945"/>
        <w:gridCol w:w="885"/>
        <w:gridCol w:w="825"/>
        <w:gridCol w:w="870"/>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3567" w:type="dxa"/>
            <w:tcBorders>
              <w:top w:val="single" w:color="auto" w:sz="4" w:space="0"/>
              <w:left w:val="single" w:color="auto" w:sz="4" w:space="0"/>
              <w:bottom w:val="single" w:color="auto" w:sz="4" w:space="0"/>
              <w:right w:val="single" w:color="auto" w:sz="4" w:space="0"/>
            </w:tcBorders>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单位名称</w:t>
            </w:r>
          </w:p>
        </w:tc>
        <w:tc>
          <w:tcPr>
            <w:tcW w:w="91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单位性质</w:t>
            </w:r>
          </w:p>
        </w:tc>
        <w:tc>
          <w:tcPr>
            <w:tcW w:w="73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编制人数</w:t>
            </w:r>
          </w:p>
        </w:tc>
        <w:tc>
          <w:tcPr>
            <w:tcW w:w="94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实有在职人数</w:t>
            </w:r>
          </w:p>
        </w:tc>
        <w:tc>
          <w:tcPr>
            <w:tcW w:w="8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离休</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c>
          <w:tcPr>
            <w:tcW w:w="825" w:type="dxa"/>
            <w:tcBorders>
              <w:top w:val="single" w:color="auto" w:sz="4" w:space="0"/>
              <w:left w:val="single" w:color="auto" w:sz="4" w:space="0"/>
              <w:bottom w:val="single" w:color="auto" w:sz="4" w:space="0"/>
              <w:right w:val="single" w:color="auto" w:sz="4" w:space="0"/>
            </w:tcBorders>
            <w:tcMar>
              <w:top w:w="0" w:type="dxa"/>
              <w:left w:w="0" w:type="dxa"/>
              <w:right w:w="1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退休</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c>
          <w:tcPr>
            <w:tcW w:w="870"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聘用人数</w:t>
            </w:r>
          </w:p>
        </w:tc>
        <w:tc>
          <w:tcPr>
            <w:tcW w:w="825" w:type="dxa"/>
            <w:tcBorders>
              <w:top w:val="single" w:color="auto" w:sz="4" w:space="0"/>
              <w:left w:val="single" w:color="auto" w:sz="4" w:space="0"/>
              <w:bottom w:val="single" w:color="auto" w:sz="4" w:space="0"/>
              <w:right w:val="single" w:color="auto" w:sz="4" w:space="0"/>
            </w:tcBorders>
            <w:tcMar>
              <w:left w:w="20" w:type="dxa"/>
              <w:right w:w="3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遗属</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765" w:hRule="atLeast"/>
        </w:trPr>
        <w:tc>
          <w:tcPr>
            <w:tcW w:w="3567" w:type="dxa"/>
            <w:tcBorders>
              <w:top w:val="single" w:color="auto" w:sz="4" w:space="0"/>
              <w:left w:val="single" w:color="auto" w:sz="4" w:space="0"/>
              <w:bottom w:val="single" w:color="auto" w:sz="4" w:space="0"/>
              <w:right w:val="single" w:color="auto" w:sz="4" w:space="0"/>
            </w:tcBorders>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eastAsia="仿宋_GB2312" w:cs="Times New Roman"/>
                <w:i w:val="0"/>
                <w:caps w:val="0"/>
                <w:color w:val="333333"/>
                <w:spacing w:val="0"/>
                <w:kern w:val="2"/>
                <w:sz w:val="32"/>
                <w:szCs w:val="32"/>
                <w:lang w:val="en-US" w:eastAsia="zh-CN" w:bidi="ar"/>
              </w:rPr>
              <w:t>柳州</w:t>
            </w:r>
            <w:r>
              <w:rPr>
                <w:rFonts w:hint="eastAsia" w:ascii="仿宋_GB2312" w:hAnsi="Times New Roman" w:eastAsia="仿宋_GB2312" w:cs="Times New Roman"/>
                <w:i w:val="0"/>
                <w:caps w:val="0"/>
                <w:color w:val="333333"/>
                <w:spacing w:val="0"/>
                <w:kern w:val="2"/>
                <w:sz w:val="32"/>
                <w:szCs w:val="32"/>
                <w:lang w:val="en-US" w:eastAsia="zh-CN" w:bidi="ar"/>
              </w:rPr>
              <w:t>市民族宗教事务委员会</w:t>
            </w:r>
          </w:p>
        </w:tc>
        <w:tc>
          <w:tcPr>
            <w:tcW w:w="91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行政</w:t>
            </w:r>
          </w:p>
        </w:tc>
        <w:tc>
          <w:tcPr>
            <w:tcW w:w="73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1</w:t>
            </w:r>
            <w:r>
              <w:rPr>
                <w:rFonts w:hint="eastAsia" w:ascii="仿宋_GB2312" w:hAnsi="黑体" w:eastAsia="仿宋_GB2312"/>
                <w:color w:val="000000"/>
                <w:kern w:val="2"/>
                <w:sz w:val="30"/>
                <w:szCs w:val="30"/>
                <w:lang w:val="en-US" w:eastAsia="zh-CN"/>
              </w:rPr>
              <w:t>7</w:t>
            </w:r>
          </w:p>
        </w:tc>
        <w:tc>
          <w:tcPr>
            <w:tcW w:w="94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jc w:val="center"/>
              <w:rPr>
                <w:rFonts w:hint="eastAsia"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17</w:t>
            </w:r>
          </w:p>
        </w:tc>
        <w:tc>
          <w:tcPr>
            <w:tcW w:w="8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rPr>
            </w:pPr>
          </w:p>
        </w:tc>
        <w:tc>
          <w:tcPr>
            <w:tcW w:w="825" w:type="dxa"/>
            <w:tcBorders>
              <w:top w:val="single" w:color="auto" w:sz="4" w:space="0"/>
              <w:left w:val="single" w:color="auto" w:sz="4" w:space="0"/>
              <w:bottom w:val="single" w:color="auto" w:sz="4" w:space="0"/>
              <w:right w:val="single" w:color="auto" w:sz="4" w:space="0"/>
            </w:tcBorders>
            <w:tcMar>
              <w:top w:w="0" w:type="dxa"/>
              <w:left w:w="0" w:type="dxa"/>
              <w:right w:w="1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default"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8</w:t>
            </w:r>
          </w:p>
        </w:tc>
        <w:tc>
          <w:tcPr>
            <w:tcW w:w="870" w:type="dxa"/>
            <w:tcBorders>
              <w:left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0</w:t>
            </w:r>
          </w:p>
        </w:tc>
        <w:tc>
          <w:tcPr>
            <w:tcW w:w="825" w:type="dxa"/>
            <w:tcBorders>
              <w:left w:val="single" w:color="auto" w:sz="4" w:space="0"/>
              <w:right w:val="single" w:color="auto" w:sz="4" w:space="0"/>
            </w:tcBorders>
            <w:tcMar>
              <w:left w:w="20" w:type="dxa"/>
              <w:right w:w="30" w:type="dxa"/>
            </w:tcMar>
            <w:vAlign w:val="top"/>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rPr>
                <w:rFonts w:hint="eastAsia" w:ascii="仿宋_GB2312" w:hAnsi="黑体" w:eastAsia="仿宋_GB2312"/>
                <w:color w:val="000000"/>
                <w:kern w:val="2"/>
                <w:sz w:val="30"/>
                <w:szCs w:val="30"/>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3567" w:type="dxa"/>
            <w:tcBorders>
              <w:top w:val="single" w:color="auto" w:sz="4" w:space="0"/>
              <w:left w:val="single" w:color="auto" w:sz="4" w:space="0"/>
              <w:bottom w:val="single" w:color="auto" w:sz="4" w:space="0"/>
              <w:right w:val="single" w:color="auto" w:sz="4" w:space="0"/>
            </w:tcBorders>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eastAsia="仿宋_GB2312" w:cs="Times New Roman"/>
                <w:i w:val="0"/>
                <w:caps w:val="0"/>
                <w:color w:val="333333"/>
                <w:spacing w:val="0"/>
                <w:kern w:val="2"/>
                <w:sz w:val="32"/>
                <w:szCs w:val="32"/>
                <w:lang w:val="en-US" w:eastAsia="zh-CN" w:bidi="ar"/>
              </w:rPr>
            </w:pPr>
            <w:r>
              <w:rPr>
                <w:rFonts w:hint="eastAsia" w:ascii="仿宋_GB2312" w:eastAsia="仿宋_GB2312" w:cs="Times New Roman"/>
                <w:i w:val="0"/>
                <w:caps w:val="0"/>
                <w:color w:val="333333"/>
                <w:spacing w:val="0"/>
                <w:kern w:val="2"/>
                <w:sz w:val="32"/>
                <w:szCs w:val="32"/>
                <w:lang w:val="en-US" w:eastAsia="zh-CN" w:bidi="ar"/>
              </w:rPr>
              <w:t>柳州市少数民族语言文字工作办公室</w:t>
            </w:r>
          </w:p>
        </w:tc>
        <w:tc>
          <w:tcPr>
            <w:tcW w:w="91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参公</w:t>
            </w:r>
          </w:p>
        </w:tc>
        <w:tc>
          <w:tcPr>
            <w:tcW w:w="73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jc w:val="center"/>
              <w:rPr>
                <w:rFonts w:hint="eastAsia"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5</w:t>
            </w:r>
          </w:p>
        </w:tc>
        <w:tc>
          <w:tcPr>
            <w:tcW w:w="94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jc w:val="center"/>
              <w:rPr>
                <w:rFonts w:hint="eastAsia"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3</w:t>
            </w:r>
          </w:p>
        </w:tc>
        <w:tc>
          <w:tcPr>
            <w:tcW w:w="8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rPr>
            </w:pPr>
          </w:p>
        </w:tc>
        <w:tc>
          <w:tcPr>
            <w:tcW w:w="825" w:type="dxa"/>
            <w:tcBorders>
              <w:top w:val="single" w:color="auto" w:sz="4" w:space="0"/>
              <w:left w:val="single" w:color="auto" w:sz="4" w:space="0"/>
              <w:bottom w:val="single" w:color="auto" w:sz="4" w:space="0"/>
              <w:right w:val="single" w:color="auto" w:sz="4" w:space="0"/>
            </w:tcBorders>
            <w:tcMar>
              <w:top w:w="0" w:type="dxa"/>
              <w:left w:w="0" w:type="dxa"/>
              <w:right w:w="1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2</w:t>
            </w:r>
          </w:p>
        </w:tc>
        <w:tc>
          <w:tcPr>
            <w:tcW w:w="870" w:type="dxa"/>
            <w:tcBorders>
              <w:left w:val="single" w:color="auto" w:sz="4" w:space="0"/>
              <w:bottom w:val="single" w:color="auto" w:sz="4" w:space="0"/>
              <w:right w:val="single" w:color="auto" w:sz="4" w:space="0"/>
            </w:tcBorders>
            <w:tcMar>
              <w:left w:w="20" w:type="dxa"/>
            </w:tcMar>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2</w:t>
            </w:r>
          </w:p>
        </w:tc>
        <w:tc>
          <w:tcPr>
            <w:tcW w:w="825" w:type="dxa"/>
            <w:tcBorders>
              <w:left w:val="single" w:color="auto" w:sz="4" w:space="0"/>
              <w:bottom w:val="single" w:color="auto" w:sz="4" w:space="0"/>
              <w:right w:val="single" w:color="auto" w:sz="4" w:space="0"/>
            </w:tcBorders>
            <w:tcMar>
              <w:left w:w="20" w:type="dxa"/>
              <w:right w:w="30" w:type="dxa"/>
            </w:tcMar>
            <w:vAlign w:val="top"/>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rPr>
                <w:rFonts w:hint="eastAsia" w:ascii="仿宋_GB2312" w:hAnsi="黑体" w:eastAsia="仿宋_GB2312"/>
                <w:color w:val="000000"/>
                <w:kern w:val="2"/>
                <w:sz w:val="30"/>
                <w:szCs w:val="30"/>
                <w:lang w:val="en-US"/>
              </w:rPr>
            </w:pPr>
          </w:p>
        </w:tc>
      </w:tr>
    </w:tbl>
    <w:p>
      <w:pPr>
        <w:jc w:val="both"/>
      </w:pPr>
    </w:p>
    <w:p>
      <w:pPr>
        <w:ind w:firstLine="0"/>
        <w:jc w:val="both"/>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柳州市民族宗教事务委员会</w:t>
      </w:r>
      <w:r>
        <w:rPr>
          <w:rFonts w:hint="eastAsia" w:ascii="仿宋_GB2312" w:eastAsia="仿宋_GB2312"/>
          <w:b/>
          <w:sz w:val="32"/>
          <w:szCs w:val="32"/>
        </w:rPr>
        <w:t xml:space="preserve"> </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firstLine="640" w:firstLineChars="200"/>
        <w:rPr>
          <w:rFonts w:hint="eastAsia"/>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tbl>
      <w:tblPr>
        <w:tblStyle w:val="6"/>
        <w:tblW w:w="10998" w:type="dxa"/>
        <w:jc w:val="center"/>
        <w:tblLayout w:type="fixed"/>
        <w:tblCellMar>
          <w:top w:w="0" w:type="dxa"/>
          <w:left w:w="108" w:type="dxa"/>
          <w:bottom w:w="0" w:type="dxa"/>
          <w:right w:w="108" w:type="dxa"/>
        </w:tblCellMar>
      </w:tblPr>
      <w:tblGrid>
        <w:gridCol w:w="3879"/>
        <w:gridCol w:w="1647"/>
        <w:gridCol w:w="3522"/>
        <w:gridCol w:w="1950"/>
      </w:tblGrid>
      <w:tr>
        <w:tblPrEx>
          <w:tblCellMar>
            <w:top w:w="0" w:type="dxa"/>
            <w:left w:w="108" w:type="dxa"/>
            <w:bottom w:w="0" w:type="dxa"/>
            <w:right w:w="108" w:type="dxa"/>
          </w:tblCellMar>
        </w:tblPrEx>
        <w:trPr>
          <w:trHeight w:val="570" w:hRule="atLeast"/>
          <w:jc w:val="center"/>
        </w:trPr>
        <w:tc>
          <w:tcPr>
            <w:tcW w:w="10998" w:type="dxa"/>
            <w:gridSpan w:val="4"/>
            <w:tcBorders>
              <w:top w:val="nil"/>
              <w:left w:val="nil"/>
              <w:bottom w:val="nil"/>
              <w:right w:val="nil"/>
            </w:tcBorders>
            <w:vAlign w:val="bottom"/>
          </w:tcPr>
          <w:p>
            <w:pPr>
              <w:widowControl/>
              <w:jc w:val="both"/>
              <w:rPr>
                <w:rFonts w:hint="eastAsia" w:ascii="方正小标宋简体" w:hAnsi="宋体" w:eastAsia="方正小标宋简体" w:cs="宋体"/>
                <w:kern w:val="0"/>
                <w:sz w:val="36"/>
                <w:szCs w:val="36"/>
              </w:rPr>
            </w:pPr>
          </w:p>
          <w:p>
            <w:pPr>
              <w:widowControl/>
              <w:jc w:val="both"/>
              <w:rPr>
                <w:rFonts w:hint="eastAsia" w:ascii="方正小标宋简体" w:hAnsi="宋体" w:eastAsia="方正小标宋简体" w:cs="宋体"/>
                <w:kern w:val="0"/>
                <w:sz w:val="36"/>
                <w:szCs w:val="36"/>
              </w:rPr>
            </w:pPr>
          </w:p>
          <w:p>
            <w:pPr>
              <w:widowControl/>
              <w:ind w:firstLine="2880" w:firstLineChars="800"/>
              <w:jc w:val="both"/>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5526"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547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52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64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872.30</w:t>
            </w: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95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739.49</w:t>
            </w:r>
          </w:p>
        </w:tc>
      </w:tr>
      <w:tr>
        <w:tblPrEx>
          <w:tblCellMar>
            <w:top w:w="0" w:type="dxa"/>
            <w:left w:w="108" w:type="dxa"/>
            <w:bottom w:w="0" w:type="dxa"/>
            <w:right w:w="108" w:type="dxa"/>
          </w:tblCellMar>
        </w:tblPrEx>
        <w:trPr>
          <w:trHeight w:val="9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二、事业收入</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三、事业单位经营收入</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四、其他收入</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、社会保障和就业支出</w:t>
            </w: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77.92</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、医疗卫生与计划生育支出</w:t>
            </w: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50.90</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七、农林水支</w:t>
            </w:r>
          </w:p>
        </w:tc>
        <w:tc>
          <w:tcPr>
            <w:tcW w:w="19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0.99</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八、住房保障支出</w:t>
            </w:r>
          </w:p>
        </w:tc>
        <w:tc>
          <w:tcPr>
            <w:tcW w:w="19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33.53</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64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color w:val="000000"/>
                <w:kern w:val="0"/>
                <w:sz w:val="22"/>
                <w:szCs w:val="22"/>
                <w:lang w:val="en-US" w:eastAsia="zh-CN"/>
              </w:rPr>
              <w:t>872.30</w:t>
            </w:r>
          </w:p>
        </w:tc>
        <w:tc>
          <w:tcPr>
            <w:tcW w:w="3522"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9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902.84</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上年结转</w:t>
            </w:r>
          </w:p>
        </w:tc>
        <w:tc>
          <w:tcPr>
            <w:tcW w:w="164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82.52</w:t>
            </w: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9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51.98</w:t>
            </w: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52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8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64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954.83</w:t>
            </w:r>
          </w:p>
        </w:tc>
        <w:tc>
          <w:tcPr>
            <w:tcW w:w="3522"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9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954.83</w:t>
            </w:r>
          </w:p>
        </w:tc>
      </w:tr>
    </w:tbl>
    <w:p>
      <w:pPr>
        <w:ind w:firstLine="3570" w:firstLineChars="1700"/>
        <w:rPr>
          <w:rFonts w:hint="eastAsia"/>
        </w:rPr>
      </w:pPr>
      <w:r>
        <w:rPr>
          <w:rFonts w:hint="eastAsia"/>
        </w:rPr>
        <w:t>注：本表反映部门本年度的总收支和年末结转结余情况。</w:t>
      </w:r>
    </w:p>
    <w:p>
      <w:pPr>
        <w:ind w:firstLine="3570" w:firstLineChars="1700"/>
        <w:rPr>
          <w:rFonts w:hint="eastAsia"/>
        </w:rPr>
      </w:pPr>
    </w:p>
    <w:p>
      <w:pPr>
        <w:ind w:firstLine="3570" w:firstLineChars="1700"/>
        <w:rPr>
          <w:rFonts w:hint="eastAsia"/>
        </w:rPr>
      </w:pPr>
    </w:p>
    <w:p>
      <w:pPr>
        <w:ind w:firstLine="3570" w:firstLineChars="1700"/>
        <w:rPr>
          <w:rFonts w:hint="eastAsia"/>
        </w:rPr>
      </w:pPr>
    </w:p>
    <w:p>
      <w:pPr>
        <w:ind w:firstLine="3570" w:firstLineChars="1700"/>
        <w:rPr>
          <w:rFonts w:hint="eastAsia"/>
        </w:rPr>
      </w:pPr>
    </w:p>
    <w:p>
      <w:pPr>
        <w:ind w:firstLine="3570" w:firstLineChars="1700"/>
        <w:rPr>
          <w:rFonts w:hint="eastAsia"/>
        </w:rPr>
      </w:pPr>
    </w:p>
    <w:p>
      <w:pPr>
        <w:jc w:val="both"/>
        <w:rPr>
          <w:rFonts w:hint="eastAsia" w:ascii="方正小标宋简体" w:hAnsi="宋体" w:eastAsia="方正小标宋简体" w:cs="宋体"/>
          <w:kern w:val="0"/>
          <w:sz w:val="36"/>
          <w:szCs w:val="36"/>
          <w:highlight w:val="none"/>
        </w:rPr>
        <w:sectPr>
          <w:headerReference r:id="rId3" w:type="default"/>
          <w:footerReference r:id="rId4" w:type="default"/>
          <w:pgSz w:w="11906" w:h="16838"/>
          <w:pgMar w:top="567" w:right="680" w:bottom="454" w:left="850" w:header="851" w:footer="992" w:gutter="0"/>
          <w:pgNumType w:fmt="numberInDash"/>
          <w:cols w:space="0" w:num="1"/>
          <w:rtlGutter w:val="0"/>
          <w:docGrid w:type="lines" w:linePitch="316" w:charSpace="0"/>
        </w:sectPr>
      </w:pPr>
    </w:p>
    <w:p>
      <w:pPr>
        <w:ind w:firstLine="5760" w:firstLineChars="1600"/>
        <w:jc w:val="both"/>
        <w:rPr>
          <w:rFonts w:hint="eastAsia" w:ascii="方正小标宋简体" w:hAnsi="宋体" w:eastAsia="方正小标宋简体" w:cs="宋体"/>
          <w:kern w:val="0"/>
          <w:sz w:val="24"/>
          <w:szCs w:val="24"/>
          <w:highlight w:val="none"/>
          <w:lang w:eastAsia="zh-CN"/>
        </w:rPr>
      </w:pPr>
      <w:r>
        <w:rPr>
          <w:rFonts w:hint="eastAsia" w:ascii="方正小标宋简体" w:hAnsi="宋体" w:eastAsia="方正小标宋简体" w:cs="宋体"/>
          <w:kern w:val="0"/>
          <w:sz w:val="36"/>
          <w:szCs w:val="36"/>
          <w:highlight w:val="none"/>
        </w:rPr>
        <w:t>表二：收入决算表</w:t>
      </w:r>
      <w:r>
        <w:rPr>
          <w:rFonts w:hint="eastAsia" w:ascii="方正小标宋简体" w:hAnsi="宋体" w:eastAsia="方正小标宋简体" w:cs="宋体"/>
          <w:kern w:val="0"/>
          <w:sz w:val="24"/>
          <w:szCs w:val="24"/>
          <w:highlight w:val="none"/>
          <w:lang w:val="en-US" w:eastAsia="zh-CN"/>
        </w:rPr>
        <w:t xml:space="preserve">                                    </w:t>
      </w:r>
    </w:p>
    <w:p>
      <w:pPr>
        <w:ind w:firstLine="660" w:firstLineChars="300"/>
        <w:jc w:val="both"/>
        <w:rPr>
          <w:rFonts w:hint="eastAsia"/>
          <w:sz w:val="22"/>
          <w:szCs w:val="22"/>
          <w:highlight w:val="none"/>
        </w:rPr>
      </w:pPr>
      <w:r>
        <w:rPr>
          <w:rFonts w:hint="eastAsia"/>
          <w:sz w:val="22"/>
          <w:szCs w:val="22"/>
          <w:highlight w:val="none"/>
          <w:lang w:val="en-US" w:eastAsia="zh-CN"/>
        </w:rPr>
        <w:t xml:space="preserve">                                                                                                                   </w:t>
      </w:r>
      <w:r>
        <w:rPr>
          <w:rFonts w:hint="eastAsia"/>
          <w:sz w:val="22"/>
          <w:szCs w:val="22"/>
          <w:highlight w:val="none"/>
        </w:rPr>
        <w:t xml:space="preserve">单位：万元                     </w:t>
      </w:r>
    </w:p>
    <w:tbl>
      <w:tblPr>
        <w:tblStyle w:val="6"/>
        <w:tblW w:w="14014" w:type="dxa"/>
        <w:jc w:val="center"/>
        <w:tblLayout w:type="fixed"/>
        <w:tblCellMar>
          <w:top w:w="0" w:type="dxa"/>
          <w:left w:w="108" w:type="dxa"/>
          <w:bottom w:w="0" w:type="dxa"/>
          <w:right w:w="108" w:type="dxa"/>
        </w:tblCellMar>
      </w:tblPr>
      <w:tblGrid>
        <w:gridCol w:w="891"/>
        <w:gridCol w:w="510"/>
        <w:gridCol w:w="495"/>
        <w:gridCol w:w="408"/>
        <w:gridCol w:w="3928"/>
        <w:gridCol w:w="1"/>
        <w:gridCol w:w="1495"/>
        <w:gridCol w:w="1"/>
        <w:gridCol w:w="1053"/>
        <w:gridCol w:w="1"/>
        <w:gridCol w:w="1040"/>
        <w:gridCol w:w="1"/>
        <w:gridCol w:w="884"/>
        <w:gridCol w:w="1"/>
        <w:gridCol w:w="884"/>
        <w:gridCol w:w="1"/>
        <w:gridCol w:w="1183"/>
        <w:gridCol w:w="1"/>
        <w:gridCol w:w="1235"/>
        <w:gridCol w:w="1"/>
      </w:tblGrid>
      <w:tr>
        <w:tblPrEx>
          <w:tblCellMar>
            <w:top w:w="0" w:type="dxa"/>
            <w:left w:w="108" w:type="dxa"/>
            <w:bottom w:w="0" w:type="dxa"/>
            <w:right w:w="108" w:type="dxa"/>
          </w:tblCellMar>
        </w:tblPrEx>
        <w:trPr>
          <w:trHeight w:val="272" w:hRule="exact"/>
          <w:jc w:val="center"/>
        </w:trPr>
        <w:tc>
          <w:tcPr>
            <w:tcW w:w="6233" w:type="dxa"/>
            <w:gridSpan w:val="6"/>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lang w:eastAsia="zh-CN"/>
              </w:rPr>
              <w:t>支出功能</w:t>
            </w:r>
            <w:r>
              <w:rPr>
                <w:rFonts w:hint="eastAsia" w:ascii="宋体" w:hAnsi="宋体" w:cs="Arial"/>
                <w:kern w:val="0"/>
                <w:sz w:val="22"/>
                <w:szCs w:val="22"/>
                <w:highlight w:val="none"/>
              </w:rPr>
              <w:t>项 目</w:t>
            </w:r>
          </w:p>
        </w:tc>
        <w:tc>
          <w:tcPr>
            <w:tcW w:w="149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highlight w:val="none"/>
              </w:rPr>
            </w:pPr>
            <w:r>
              <w:rPr>
                <w:rFonts w:hint="eastAsia" w:ascii="宋体" w:hAnsi="宋体" w:cs="Arial"/>
                <w:kern w:val="0"/>
                <w:sz w:val="22"/>
                <w:szCs w:val="22"/>
                <w:highlight w:val="none"/>
              </w:rPr>
              <w:t>本年收入合计</w:t>
            </w:r>
          </w:p>
        </w:tc>
        <w:tc>
          <w:tcPr>
            <w:tcW w:w="105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highlight w:val="none"/>
              </w:rPr>
            </w:pPr>
            <w:r>
              <w:rPr>
                <w:rFonts w:hint="eastAsia" w:ascii="宋体" w:hAnsi="宋体" w:cs="Arial"/>
                <w:kern w:val="0"/>
                <w:sz w:val="22"/>
                <w:szCs w:val="22"/>
                <w:highlight w:val="none"/>
              </w:rPr>
              <w:t>财政拨款收入</w:t>
            </w:r>
          </w:p>
        </w:tc>
        <w:tc>
          <w:tcPr>
            <w:tcW w:w="10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highlight w:val="none"/>
              </w:rPr>
            </w:pPr>
            <w:r>
              <w:rPr>
                <w:rFonts w:hint="eastAsia" w:ascii="宋体" w:hAnsi="宋体" w:cs="Arial"/>
                <w:kern w:val="0"/>
                <w:sz w:val="22"/>
                <w:szCs w:val="22"/>
                <w:highlight w:val="none"/>
              </w:rPr>
              <w:t>上级补助收入</w:t>
            </w:r>
          </w:p>
        </w:tc>
        <w:tc>
          <w:tcPr>
            <w:tcW w:w="8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事业收入</w:t>
            </w:r>
          </w:p>
        </w:tc>
        <w:tc>
          <w:tcPr>
            <w:tcW w:w="8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经营收入</w:t>
            </w:r>
          </w:p>
        </w:tc>
        <w:tc>
          <w:tcPr>
            <w:tcW w:w="118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highlight w:val="none"/>
              </w:rPr>
            </w:pPr>
            <w:r>
              <w:rPr>
                <w:rFonts w:hint="eastAsia" w:ascii="宋体" w:hAnsi="宋体" w:cs="Arial"/>
                <w:kern w:val="0"/>
                <w:sz w:val="22"/>
                <w:szCs w:val="22"/>
                <w:highlight w:val="none"/>
              </w:rPr>
              <w:t>附属单位上缴收入</w:t>
            </w:r>
          </w:p>
        </w:tc>
        <w:tc>
          <w:tcPr>
            <w:tcW w:w="12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其他收入</w:t>
            </w:r>
          </w:p>
        </w:tc>
      </w:tr>
      <w:tr>
        <w:tblPrEx>
          <w:tblCellMar>
            <w:top w:w="0" w:type="dxa"/>
            <w:left w:w="108" w:type="dxa"/>
            <w:bottom w:w="0" w:type="dxa"/>
            <w:right w:w="108" w:type="dxa"/>
          </w:tblCellMar>
        </w:tblPrEx>
        <w:trPr>
          <w:trHeight w:val="272" w:hRule="exact"/>
          <w:jc w:val="center"/>
        </w:trPr>
        <w:tc>
          <w:tcPr>
            <w:tcW w:w="2304" w:type="dxa"/>
            <w:gridSpan w:val="4"/>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highlight w:val="none"/>
              </w:rPr>
            </w:pPr>
            <w:r>
              <w:rPr>
                <w:rFonts w:hint="eastAsia" w:ascii="宋体" w:hAnsi="宋体" w:cs="Arial"/>
                <w:kern w:val="0"/>
                <w:sz w:val="22"/>
                <w:szCs w:val="22"/>
                <w:highlight w:val="none"/>
                <w:lang w:eastAsia="zh-CN"/>
              </w:rPr>
              <w:t>支出功能分类</w:t>
            </w:r>
            <w:r>
              <w:rPr>
                <w:rFonts w:hint="eastAsia" w:ascii="宋体" w:hAnsi="宋体" w:cs="Arial"/>
                <w:kern w:val="0"/>
                <w:sz w:val="22"/>
                <w:szCs w:val="22"/>
                <w:highlight w:val="none"/>
              </w:rPr>
              <w:t>科目编码</w:t>
            </w:r>
          </w:p>
        </w:tc>
        <w:tc>
          <w:tcPr>
            <w:tcW w:w="3929" w:type="dxa"/>
            <w:gridSpan w:val="2"/>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科目名称</w:t>
            </w:r>
          </w:p>
        </w:tc>
        <w:tc>
          <w:tcPr>
            <w:tcW w:w="14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highlight w:val="none"/>
              </w:rPr>
            </w:pPr>
          </w:p>
        </w:tc>
        <w:tc>
          <w:tcPr>
            <w:tcW w:w="10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highlight w:val="none"/>
              </w:rPr>
            </w:pPr>
          </w:p>
        </w:tc>
        <w:tc>
          <w:tcPr>
            <w:tcW w:w="10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highlight w:val="none"/>
              </w:rPr>
            </w:pPr>
          </w:p>
        </w:tc>
        <w:tc>
          <w:tcPr>
            <w:tcW w:w="8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highlight w:val="none"/>
              </w:rPr>
            </w:pPr>
          </w:p>
        </w:tc>
        <w:tc>
          <w:tcPr>
            <w:tcW w:w="8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highlight w:val="none"/>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highlight w:val="none"/>
              </w:rPr>
            </w:pPr>
          </w:p>
        </w:tc>
        <w:tc>
          <w:tcPr>
            <w:tcW w:w="12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highlight w:val="none"/>
              </w:rPr>
            </w:pPr>
          </w:p>
        </w:tc>
      </w:tr>
      <w:tr>
        <w:tblPrEx>
          <w:tblCellMar>
            <w:top w:w="0" w:type="dxa"/>
            <w:left w:w="108" w:type="dxa"/>
            <w:bottom w:w="0" w:type="dxa"/>
            <w:right w:w="108" w:type="dxa"/>
          </w:tblCellMar>
        </w:tblPrEx>
        <w:trPr>
          <w:gridAfter w:val="1"/>
          <w:wAfter w:w="1" w:type="dxa"/>
          <w:trHeight w:val="272" w:hRule="exact"/>
          <w:jc w:val="center"/>
        </w:trPr>
        <w:tc>
          <w:tcPr>
            <w:tcW w:w="891" w:type="dxa"/>
            <w:vMerge w:val="restart"/>
            <w:tcBorders>
              <w:top w:val="single" w:color="auto" w:sz="4" w:space="0"/>
              <w:left w:val="single" w:color="auto" w:sz="4" w:space="0"/>
              <w:right w:val="single" w:color="auto" w:sz="4" w:space="0"/>
            </w:tcBorders>
            <w:vAlign w:val="top"/>
          </w:tcPr>
          <w:p>
            <w:pPr>
              <w:widowControl/>
              <w:jc w:val="right"/>
              <w:rPr>
                <w:rFonts w:hint="eastAsia" w:ascii="宋体" w:hAnsi="宋体" w:eastAsia="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类</w:t>
            </w:r>
          </w:p>
        </w:tc>
        <w:tc>
          <w:tcPr>
            <w:tcW w:w="510" w:type="dxa"/>
            <w:vMerge w:val="restart"/>
            <w:tcBorders>
              <w:top w:val="single" w:color="auto" w:sz="4" w:space="0"/>
              <w:left w:val="single" w:color="auto" w:sz="4" w:space="0"/>
              <w:right w:val="single" w:color="auto" w:sz="4" w:space="0"/>
            </w:tcBorders>
            <w:vAlign w:val="top"/>
          </w:tcPr>
          <w:p>
            <w:pPr>
              <w:widowControl/>
              <w:jc w:val="right"/>
              <w:rPr>
                <w:rFonts w:hint="eastAsia" w:ascii="宋体" w:hAnsi="宋体" w:eastAsia="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款</w:t>
            </w:r>
          </w:p>
        </w:tc>
        <w:tc>
          <w:tcPr>
            <w:tcW w:w="495" w:type="dxa"/>
            <w:vMerge w:val="restart"/>
            <w:tcBorders>
              <w:top w:val="single" w:color="auto" w:sz="4" w:space="0"/>
              <w:left w:val="single" w:color="auto" w:sz="4" w:space="0"/>
              <w:right w:val="single" w:color="auto" w:sz="4" w:space="0"/>
            </w:tcBorders>
            <w:vAlign w:val="top"/>
          </w:tcPr>
          <w:p>
            <w:pPr>
              <w:widowControl/>
              <w:jc w:val="right"/>
              <w:rPr>
                <w:rFonts w:hint="eastAsia" w:ascii="宋体" w:hAnsi="宋体" w:eastAsia="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项</w:t>
            </w:r>
          </w:p>
        </w:tc>
        <w:tc>
          <w:tcPr>
            <w:tcW w:w="4336"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栏次</w:t>
            </w:r>
          </w:p>
        </w:tc>
        <w:tc>
          <w:tcPr>
            <w:tcW w:w="1496" w:type="dxa"/>
            <w:gridSpan w:val="2"/>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1</w:t>
            </w:r>
          </w:p>
        </w:tc>
        <w:tc>
          <w:tcPr>
            <w:tcW w:w="1054" w:type="dxa"/>
            <w:gridSpan w:val="2"/>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2</w:t>
            </w:r>
          </w:p>
        </w:tc>
        <w:tc>
          <w:tcPr>
            <w:tcW w:w="1041" w:type="dxa"/>
            <w:gridSpan w:val="2"/>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3</w:t>
            </w:r>
          </w:p>
        </w:tc>
        <w:tc>
          <w:tcPr>
            <w:tcW w:w="885" w:type="dxa"/>
            <w:gridSpan w:val="2"/>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4</w:t>
            </w:r>
          </w:p>
        </w:tc>
        <w:tc>
          <w:tcPr>
            <w:tcW w:w="885" w:type="dxa"/>
            <w:gridSpan w:val="2"/>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highlight w:val="none"/>
              </w:rPr>
            </w:pPr>
            <w:r>
              <w:rPr>
                <w:rFonts w:hint="eastAsia" w:ascii="宋体" w:hAnsi="宋体" w:cs="Arial"/>
                <w:kern w:val="0"/>
                <w:sz w:val="22"/>
                <w:szCs w:val="22"/>
                <w:highlight w:val="none"/>
              </w:rPr>
              <w:t>5</w:t>
            </w:r>
          </w:p>
        </w:tc>
        <w:tc>
          <w:tcPr>
            <w:tcW w:w="1184" w:type="dxa"/>
            <w:gridSpan w:val="2"/>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highlight w:val="none"/>
              </w:rPr>
            </w:pPr>
            <w:r>
              <w:rPr>
                <w:rFonts w:hint="eastAsia" w:ascii="宋体" w:hAnsi="宋体" w:cs="Arial"/>
                <w:kern w:val="0"/>
                <w:sz w:val="22"/>
                <w:szCs w:val="22"/>
                <w:highlight w:val="none"/>
              </w:rPr>
              <w:t>6</w:t>
            </w:r>
          </w:p>
        </w:tc>
        <w:tc>
          <w:tcPr>
            <w:tcW w:w="1236" w:type="dxa"/>
            <w:gridSpan w:val="2"/>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highlight w:val="none"/>
              </w:rPr>
            </w:pPr>
            <w:r>
              <w:rPr>
                <w:rFonts w:hint="eastAsia" w:ascii="宋体" w:hAnsi="宋体" w:cs="Arial"/>
                <w:kern w:val="0"/>
                <w:sz w:val="22"/>
                <w:szCs w:val="22"/>
                <w:highlight w:val="none"/>
              </w:rPr>
              <w:t>7</w:t>
            </w:r>
          </w:p>
        </w:tc>
      </w:tr>
      <w:tr>
        <w:tblPrEx>
          <w:tblCellMar>
            <w:top w:w="0" w:type="dxa"/>
            <w:left w:w="108" w:type="dxa"/>
            <w:bottom w:w="0" w:type="dxa"/>
            <w:right w:w="108" w:type="dxa"/>
          </w:tblCellMar>
        </w:tblPrEx>
        <w:trPr>
          <w:gridAfter w:val="1"/>
          <w:wAfter w:w="1" w:type="dxa"/>
          <w:trHeight w:val="272" w:hRule="exact"/>
          <w:jc w:val="center"/>
        </w:trPr>
        <w:tc>
          <w:tcPr>
            <w:tcW w:w="891" w:type="dxa"/>
            <w:vMerge w:val="continue"/>
            <w:tcBorders>
              <w:left w:val="single" w:color="auto" w:sz="4" w:space="0"/>
              <w:bottom w:val="single" w:color="auto" w:sz="4" w:space="0"/>
              <w:right w:val="single" w:color="auto" w:sz="4" w:space="0"/>
            </w:tcBorders>
            <w:vAlign w:val="top"/>
          </w:tcPr>
          <w:p>
            <w:pPr>
              <w:widowControl/>
              <w:jc w:val="both"/>
              <w:rPr>
                <w:rFonts w:ascii="宋体" w:hAnsi="宋体" w:cs="Arial"/>
                <w:color w:val="000000"/>
                <w:kern w:val="0"/>
                <w:sz w:val="22"/>
                <w:szCs w:val="22"/>
                <w:highlight w:val="none"/>
              </w:rPr>
            </w:pPr>
          </w:p>
        </w:tc>
        <w:tc>
          <w:tcPr>
            <w:tcW w:w="510" w:type="dxa"/>
            <w:vMerge w:val="continue"/>
            <w:tcBorders>
              <w:left w:val="single" w:color="auto" w:sz="4" w:space="0"/>
              <w:bottom w:val="single" w:color="auto" w:sz="4" w:space="0"/>
              <w:right w:val="single" w:color="auto" w:sz="4" w:space="0"/>
            </w:tcBorders>
            <w:vAlign w:val="top"/>
          </w:tcPr>
          <w:p>
            <w:pPr>
              <w:widowControl/>
              <w:jc w:val="both"/>
              <w:rPr>
                <w:rFonts w:ascii="宋体" w:hAnsi="宋体" w:cs="Arial"/>
                <w:color w:val="000000"/>
                <w:kern w:val="0"/>
                <w:sz w:val="22"/>
                <w:szCs w:val="22"/>
                <w:highlight w:val="none"/>
              </w:rPr>
            </w:pPr>
          </w:p>
        </w:tc>
        <w:tc>
          <w:tcPr>
            <w:tcW w:w="495" w:type="dxa"/>
            <w:vMerge w:val="continue"/>
            <w:tcBorders>
              <w:left w:val="single" w:color="auto" w:sz="4" w:space="0"/>
              <w:bottom w:val="single" w:color="auto" w:sz="4" w:space="0"/>
              <w:right w:val="single" w:color="auto" w:sz="4" w:space="0"/>
            </w:tcBorders>
            <w:vAlign w:val="top"/>
          </w:tcPr>
          <w:p>
            <w:pPr>
              <w:widowControl/>
              <w:jc w:val="both"/>
              <w:rPr>
                <w:rFonts w:ascii="宋体" w:hAnsi="宋体" w:cs="Arial"/>
                <w:color w:val="000000"/>
                <w:kern w:val="0"/>
                <w:sz w:val="22"/>
                <w:szCs w:val="22"/>
                <w:highlight w:val="none"/>
              </w:rPr>
            </w:pPr>
          </w:p>
        </w:tc>
        <w:tc>
          <w:tcPr>
            <w:tcW w:w="4336"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合计</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872.30</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872.30</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708.81</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708.81</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20123</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民族事务</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656.49</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656.49</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2012301</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行政运行</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348.41</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348.41</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2012302</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一般行政管理事务</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3.00</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3.00</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2012304</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民族工作专项</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185.11</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185.11</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2012399</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其他民族事务支出</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119.96</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119.96</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20134</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统战事务</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52.32</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52.32</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2013404</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宗教事务</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52.32</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52.32</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208</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77.92</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77.92</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20805</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行政事业单位离退休</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77.92</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77.92</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2080501</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归口管理的行政单位离退休</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27.75</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27.75</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2080502</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事业单位离退休</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1.54</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1.54</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2080505</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机关事业单位基本养老保险缴费支出</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48.63</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48.63</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210</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51.05</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51.05</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21011</w:t>
            </w:r>
          </w:p>
        </w:tc>
        <w:tc>
          <w:tcPr>
            <w:tcW w:w="4337"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149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51.05</w:t>
            </w:r>
          </w:p>
        </w:tc>
        <w:tc>
          <w:tcPr>
            <w:tcW w:w="10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51.05</w:t>
            </w:r>
          </w:p>
        </w:tc>
        <w:tc>
          <w:tcPr>
            <w:tcW w:w="1041"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2101101</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行政单位医疗</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20.90</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20.90</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2101103</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公务员医疗补助</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30.01</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30.01</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2101199</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其他行政事业单位医疗支出</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0.14</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0.14</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highlight w:val="none"/>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农林水支出</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0.99</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0.99</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21399</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其他农林水支出</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0.99</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0.99</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2139999</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0.99</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0.99</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33.53</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33.53</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33.53</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33.53</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33.44</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33.44</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43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购房补贴</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0.10</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0.10</w:t>
            </w:r>
          </w:p>
        </w:tc>
        <w:tc>
          <w:tcPr>
            <w:tcW w:w="10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0.00</w:t>
            </w:r>
          </w:p>
        </w:tc>
      </w:tr>
    </w:tbl>
    <w:p>
      <w:pPr>
        <w:rPr>
          <w:rFonts w:hint="eastAsia"/>
          <w:highlight w:val="none"/>
        </w:rPr>
      </w:pPr>
    </w:p>
    <w:p>
      <w:pPr>
        <w:rPr>
          <w:rFonts w:hint="eastAsia" w:eastAsia="宋体"/>
          <w:lang w:eastAsia="zh-CN"/>
        </w:rPr>
      </w:pPr>
      <w:r>
        <w:rPr>
          <w:rFonts w:hint="eastAsia"/>
          <w:lang w:eastAsia="zh-CN"/>
        </w:rPr>
        <w:t>注：本表反映部门本年度各项支出情况。</w:t>
      </w:r>
    </w:p>
    <w:p>
      <w:pPr>
        <w:jc w:val="both"/>
        <w:rPr>
          <w:rFonts w:hint="eastAsia" w:ascii="方正小标宋简体" w:hAnsi="宋体" w:eastAsia="方正小标宋简体" w:cs="宋体"/>
          <w:kern w:val="0"/>
          <w:sz w:val="36"/>
          <w:szCs w:val="36"/>
        </w:rPr>
        <w:sectPr>
          <w:pgSz w:w="16838" w:h="11906" w:orient="landscape"/>
          <w:pgMar w:top="170" w:right="283" w:bottom="57" w:left="567" w:header="851" w:footer="992" w:gutter="0"/>
          <w:pgNumType w:fmt="numberInDash"/>
          <w:cols w:space="0" w:num="1"/>
          <w:rtlGutter w:val="0"/>
          <w:docGrid w:type="lines" w:linePitch="316" w:charSpace="0"/>
        </w:sectPr>
      </w:pPr>
    </w:p>
    <w:p>
      <w:pPr>
        <w:jc w:val="center"/>
        <w:rPr>
          <w:rFonts w:hint="eastAsia"/>
        </w:rPr>
      </w:pPr>
      <w:r>
        <w:rPr>
          <w:rFonts w:hint="eastAsia" w:ascii="方正小标宋简体" w:hAnsi="宋体" w:eastAsia="方正小标宋简体" w:cs="宋体"/>
          <w:kern w:val="0"/>
          <w:sz w:val="36"/>
          <w:szCs w:val="36"/>
        </w:rPr>
        <w:t>表三：支出决算表</w:t>
      </w:r>
    </w:p>
    <w:p>
      <w:pPr>
        <w:jc w:val="center"/>
        <w:rPr>
          <w:rFonts w:hint="eastAsia"/>
        </w:rPr>
      </w:pPr>
      <w:r>
        <w:rPr>
          <w:rFonts w:hint="eastAsia"/>
          <w:sz w:val="22"/>
          <w:szCs w:val="22"/>
          <w:lang w:val="en-US" w:eastAsia="zh-CN"/>
        </w:rPr>
        <w:t xml:space="preserve">                                                                                                                </w:t>
      </w:r>
      <w:r>
        <w:rPr>
          <w:rFonts w:hint="eastAsia"/>
          <w:sz w:val="22"/>
          <w:szCs w:val="22"/>
        </w:rPr>
        <w:t>单位：万元</w:t>
      </w:r>
    </w:p>
    <w:tbl>
      <w:tblPr>
        <w:tblStyle w:val="6"/>
        <w:tblW w:w="15010" w:type="dxa"/>
        <w:jc w:val="center"/>
        <w:tblLayout w:type="fixed"/>
        <w:tblCellMar>
          <w:top w:w="0" w:type="dxa"/>
          <w:left w:w="108" w:type="dxa"/>
          <w:bottom w:w="0" w:type="dxa"/>
          <w:right w:w="108" w:type="dxa"/>
        </w:tblCellMar>
      </w:tblPr>
      <w:tblGrid>
        <w:gridCol w:w="561"/>
        <w:gridCol w:w="585"/>
        <w:gridCol w:w="553"/>
        <w:gridCol w:w="4241"/>
        <w:gridCol w:w="1380"/>
        <w:gridCol w:w="1470"/>
        <w:gridCol w:w="1560"/>
        <w:gridCol w:w="1440"/>
        <w:gridCol w:w="1395"/>
        <w:gridCol w:w="1825"/>
      </w:tblGrid>
      <w:tr>
        <w:tblPrEx>
          <w:tblCellMar>
            <w:top w:w="0" w:type="dxa"/>
            <w:left w:w="108" w:type="dxa"/>
            <w:bottom w:w="0" w:type="dxa"/>
            <w:right w:w="108" w:type="dxa"/>
          </w:tblCellMar>
        </w:tblPrEx>
        <w:trPr>
          <w:trHeight w:val="272" w:hRule="exact"/>
          <w:jc w:val="center"/>
        </w:trPr>
        <w:tc>
          <w:tcPr>
            <w:tcW w:w="594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3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424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72" w:hRule="exact"/>
          <w:jc w:val="center"/>
        </w:trPr>
        <w:tc>
          <w:tcPr>
            <w:tcW w:w="561" w:type="dxa"/>
            <w:vMerge w:val="restart"/>
            <w:tcBorders>
              <w:top w:val="single" w:color="auto" w:sz="4" w:space="0"/>
              <w:left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highlight w:val="none"/>
                <w:lang w:eastAsia="zh-CN"/>
              </w:rPr>
              <w:t>类</w:t>
            </w:r>
          </w:p>
        </w:tc>
        <w:tc>
          <w:tcPr>
            <w:tcW w:w="585" w:type="dxa"/>
            <w:vMerge w:val="restart"/>
            <w:tcBorders>
              <w:top w:val="single" w:color="auto" w:sz="4" w:space="0"/>
              <w:left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highlight w:val="none"/>
                <w:lang w:eastAsia="zh-CN"/>
              </w:rPr>
              <w:t>款</w:t>
            </w:r>
          </w:p>
        </w:tc>
        <w:tc>
          <w:tcPr>
            <w:tcW w:w="553" w:type="dxa"/>
            <w:vMerge w:val="restart"/>
            <w:tcBorders>
              <w:top w:val="single" w:color="auto" w:sz="4" w:space="0"/>
              <w:left w:val="single" w:color="auto" w:sz="4" w:space="0"/>
              <w:right w:val="single" w:color="auto" w:sz="4" w:space="0"/>
            </w:tcBorders>
            <w:vAlign w:val="top"/>
          </w:tcPr>
          <w:p>
            <w:pPr>
              <w:widowControl/>
              <w:jc w:val="right"/>
              <w:rPr>
                <w:rFonts w:ascii="宋体" w:hAnsi="宋体" w:cs="Arial"/>
                <w:color w:val="000000"/>
                <w:kern w:val="0"/>
                <w:sz w:val="22"/>
                <w:szCs w:val="22"/>
              </w:rPr>
            </w:pPr>
            <w:r>
              <w:rPr>
                <w:rFonts w:hint="eastAsia" w:ascii="宋体" w:hAnsi="宋体" w:cs="Arial"/>
                <w:color w:val="000000"/>
                <w:kern w:val="0"/>
                <w:sz w:val="22"/>
                <w:szCs w:val="22"/>
                <w:highlight w:val="none"/>
                <w:lang w:eastAsia="zh-CN"/>
              </w:rPr>
              <w:t>项</w:t>
            </w:r>
          </w:p>
        </w:tc>
        <w:tc>
          <w:tcPr>
            <w:tcW w:w="4241"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highlight w:val="none"/>
                <w:lang w:eastAsia="zh-CN"/>
              </w:rPr>
              <w:t>栏次</w:t>
            </w:r>
          </w:p>
        </w:tc>
        <w:tc>
          <w:tcPr>
            <w:tcW w:w="138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47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56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4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39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82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72" w:hRule="exact"/>
          <w:jc w:val="center"/>
        </w:trPr>
        <w:tc>
          <w:tcPr>
            <w:tcW w:w="561" w:type="dxa"/>
            <w:vMerge w:val="continue"/>
            <w:tcBorders>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p>
        </w:tc>
        <w:tc>
          <w:tcPr>
            <w:tcW w:w="585" w:type="dxa"/>
            <w:vMerge w:val="continue"/>
            <w:tcBorders>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p>
        </w:tc>
        <w:tc>
          <w:tcPr>
            <w:tcW w:w="553" w:type="dxa"/>
            <w:vMerge w:val="continue"/>
            <w:tcBorders>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p>
        </w:tc>
        <w:tc>
          <w:tcPr>
            <w:tcW w:w="4241"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highlight w:val="none"/>
                <w:lang w:eastAsia="zh-CN"/>
              </w:rPr>
              <w:t>合计</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902.84</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507.62</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395.22</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24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739.49</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345.26</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394.23</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20123</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民族事务</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691.31</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345.26</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346.05</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2012301</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345.26</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345.26</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2012302</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1.01</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1.01</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2012304</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民族工作专项</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207.98</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207.98</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2012399</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其他民族事务支出</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137.06</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137.06</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20134</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统战事务</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48.18</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48.18</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2013404</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宗教事务</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48.18</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48.18</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24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77.92</w:t>
            </w:r>
          </w:p>
        </w:tc>
        <w:tc>
          <w:tcPr>
            <w:tcW w:w="1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77.92</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77.92</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77.92</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27.75</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27.75</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1.54</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1.54</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48.63</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48.63</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50.90</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50.90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50.90</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50.90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20.90</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20.90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30.01</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30.01</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农林水支出</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0.99</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0.99</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21399</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其他农林水支出</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0.99</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0.99</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2139999</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0.99</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0.99</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33.53</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33.53</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33.53</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33.53</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33.44</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33.44</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4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bl>
    <w:p>
      <w:pPr>
        <w:rPr>
          <w:rFonts w:hint="eastAsia"/>
        </w:rPr>
      </w:pPr>
    </w:p>
    <w:p>
      <w:pPr>
        <w:rPr>
          <w:rFonts w:hint="eastAsia"/>
          <w:lang w:eastAsia="zh-CN"/>
        </w:rPr>
      </w:pPr>
      <w:r>
        <w:rPr>
          <w:rFonts w:hint="eastAsia"/>
          <w:lang w:eastAsia="zh-CN"/>
        </w:rPr>
        <w:t>注：本表反映部门本年度各项支出情况。</w:t>
      </w:r>
    </w:p>
    <w:p>
      <w:pPr>
        <w:rPr>
          <w:rFonts w:hint="eastAsia"/>
          <w:lang w:eastAsia="zh-CN"/>
        </w:rPr>
      </w:pPr>
    </w:p>
    <w:p>
      <w:pPr>
        <w:ind w:firstLine="5040" w:firstLineChars="1400"/>
        <w:jc w:val="both"/>
        <w:rPr>
          <w:rFonts w:hint="eastAsia"/>
          <w:sz w:val="18"/>
          <w:szCs w:val="18"/>
        </w:rPr>
      </w:pPr>
      <w:r>
        <w:rPr>
          <w:rFonts w:hint="eastAsia" w:ascii="方正小标宋简体" w:hAnsi="宋体" w:eastAsia="方正小标宋简体" w:cs="宋体"/>
          <w:kern w:val="0"/>
          <w:sz w:val="36"/>
          <w:szCs w:val="36"/>
        </w:rPr>
        <w:t>表四：财政拨款收入支出决算总表</w:t>
      </w:r>
      <w:r>
        <w:rPr>
          <w:rFonts w:hint="eastAsia" w:ascii="方正小标宋简体" w:hAnsi="宋体" w:eastAsia="方正小标宋简体" w:cs="宋体"/>
          <w:kern w:val="0"/>
          <w:sz w:val="36"/>
          <w:szCs w:val="36"/>
          <w:lang w:val="en-US" w:eastAsia="zh-CN"/>
        </w:rPr>
        <w:t xml:space="preserve">                 </w:t>
      </w:r>
      <w:r>
        <w:rPr>
          <w:rFonts w:hint="eastAsia" w:ascii="方正小标宋简体" w:hAnsi="宋体" w:eastAsia="方正小标宋简体" w:cs="宋体"/>
          <w:kern w:val="0"/>
          <w:sz w:val="18"/>
          <w:szCs w:val="18"/>
          <w:lang w:val="en-US" w:eastAsia="zh-CN"/>
        </w:rPr>
        <w:t>单位：万元</w:t>
      </w:r>
    </w:p>
    <w:tbl>
      <w:tblPr>
        <w:tblStyle w:val="6"/>
        <w:tblpPr w:leftFromText="180" w:rightFromText="180" w:vertAnchor="text" w:horzAnchor="page" w:tblpX="1111" w:tblpY="24"/>
        <w:tblOverlap w:val="never"/>
        <w:tblW w:w="19819" w:type="dxa"/>
        <w:tblInd w:w="0" w:type="dxa"/>
        <w:tblLayout w:type="fixed"/>
        <w:tblCellMar>
          <w:top w:w="0" w:type="dxa"/>
          <w:left w:w="108" w:type="dxa"/>
          <w:bottom w:w="0" w:type="dxa"/>
          <w:right w:w="108" w:type="dxa"/>
        </w:tblCellMar>
      </w:tblPr>
      <w:tblGrid>
        <w:gridCol w:w="4696"/>
        <w:gridCol w:w="1005"/>
        <w:gridCol w:w="1454"/>
        <w:gridCol w:w="3555"/>
        <w:gridCol w:w="690"/>
        <w:gridCol w:w="1110"/>
        <w:gridCol w:w="1200"/>
        <w:gridCol w:w="1155"/>
        <w:gridCol w:w="2477"/>
        <w:gridCol w:w="2477"/>
      </w:tblGrid>
      <w:tr>
        <w:tblPrEx>
          <w:tblCellMar>
            <w:top w:w="0" w:type="dxa"/>
            <w:left w:w="108" w:type="dxa"/>
            <w:bottom w:w="0" w:type="dxa"/>
            <w:right w:w="108" w:type="dxa"/>
          </w:tblCellMar>
        </w:tblPrEx>
        <w:trPr>
          <w:gridAfter w:val="2"/>
          <w:wAfter w:w="4954" w:type="dxa"/>
          <w:trHeight w:val="300" w:hRule="atLeast"/>
        </w:trPr>
        <w:tc>
          <w:tcPr>
            <w:tcW w:w="7155"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10" w:type="dxa"/>
            <w:gridSpan w:val="5"/>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gridAfter w:val="2"/>
          <w:wAfter w:w="4954" w:type="dxa"/>
          <w:trHeight w:val="951" w:hRule="atLeast"/>
        </w:trPr>
        <w:tc>
          <w:tcPr>
            <w:tcW w:w="469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100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5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55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9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1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15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100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5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55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1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一、一般公共预算财政拨款</w:t>
            </w:r>
            <w:r>
              <w:rPr>
                <w:rFonts w:hint="eastAsia" w:ascii="宋体" w:hAnsi="宋体" w:cs="Arial"/>
                <w:kern w:val="0"/>
                <w:sz w:val="22"/>
                <w:szCs w:val="22"/>
                <w:lang w:eastAsia="zh-CN"/>
              </w:rPr>
              <w:t>收入</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5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872.30</w:t>
            </w:r>
          </w:p>
        </w:tc>
        <w:tc>
          <w:tcPr>
            <w:tcW w:w="355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11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739.49</w:t>
            </w:r>
          </w:p>
        </w:tc>
        <w:tc>
          <w:tcPr>
            <w:tcW w:w="12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739.49</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二、政府性基金预算财政拨款</w:t>
            </w:r>
            <w:r>
              <w:rPr>
                <w:rFonts w:hint="eastAsia" w:ascii="宋体" w:hAnsi="宋体" w:cs="Arial"/>
                <w:kern w:val="0"/>
                <w:sz w:val="22"/>
                <w:szCs w:val="22"/>
                <w:lang w:eastAsia="zh-CN"/>
              </w:rPr>
              <w:t>收入</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54" w:type="dxa"/>
            <w:tcBorders>
              <w:top w:val="nil"/>
              <w:left w:val="nil"/>
              <w:bottom w:val="single" w:color="auto" w:sz="4" w:space="0"/>
              <w:right w:val="single" w:color="auto" w:sz="4" w:space="0"/>
            </w:tcBorders>
            <w:vAlign w:val="top"/>
          </w:tcPr>
          <w:p>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355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110" w:type="dxa"/>
            <w:tcBorders>
              <w:top w:val="nil"/>
              <w:left w:val="nil"/>
              <w:bottom w:val="single" w:color="auto" w:sz="4" w:space="0"/>
              <w:right w:val="single" w:color="auto" w:sz="4" w:space="0"/>
            </w:tcBorders>
            <w:vAlign w:val="top"/>
          </w:tcPr>
          <w:p>
            <w:pPr>
              <w:widowControl/>
              <w:ind w:firstLine="880" w:firstLineChars="400"/>
              <w:jc w:val="center"/>
              <w:rPr>
                <w:rFonts w:ascii="宋体" w:hAnsi="宋体" w:cs="Arial"/>
                <w:color w:val="000000"/>
                <w:kern w:val="0"/>
                <w:sz w:val="22"/>
                <w:szCs w:val="22"/>
              </w:rPr>
            </w:pPr>
          </w:p>
        </w:tc>
        <w:tc>
          <w:tcPr>
            <w:tcW w:w="1200" w:type="dxa"/>
            <w:tcBorders>
              <w:top w:val="nil"/>
              <w:left w:val="nil"/>
              <w:bottom w:val="single" w:color="auto" w:sz="4" w:space="0"/>
              <w:right w:val="single" w:color="auto" w:sz="4" w:space="0"/>
            </w:tcBorders>
            <w:vAlign w:val="top"/>
          </w:tcPr>
          <w:p>
            <w:pPr>
              <w:widowControl/>
              <w:ind w:firstLine="880" w:firstLineChars="400"/>
              <w:jc w:val="center"/>
              <w:rPr>
                <w:rFonts w:ascii="宋体" w:hAnsi="宋体" w:cs="Arial"/>
                <w:color w:val="000000"/>
                <w:kern w:val="0"/>
                <w:sz w:val="22"/>
                <w:szCs w:val="22"/>
              </w:rPr>
            </w:pPr>
          </w:p>
        </w:tc>
        <w:tc>
          <w:tcPr>
            <w:tcW w:w="1155"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54"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110"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200"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155"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54"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110"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200"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155"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54"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、社会保障和就业支出</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11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77.92</w:t>
            </w:r>
          </w:p>
        </w:tc>
        <w:tc>
          <w:tcPr>
            <w:tcW w:w="12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77.92</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54"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、医疗卫生与计划生育支出</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11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50.90</w:t>
            </w:r>
          </w:p>
        </w:tc>
        <w:tc>
          <w:tcPr>
            <w:tcW w:w="12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50.90</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54"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lang w:eastAsia="zh-CN"/>
              </w:rPr>
              <w:t>七、农林水支</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11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0.99</w:t>
            </w:r>
          </w:p>
        </w:tc>
        <w:tc>
          <w:tcPr>
            <w:tcW w:w="12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0.99</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54"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八、住房保障支出</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11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33.53</w:t>
            </w:r>
          </w:p>
        </w:tc>
        <w:tc>
          <w:tcPr>
            <w:tcW w:w="12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33.53</w:t>
            </w:r>
          </w:p>
        </w:tc>
        <w:tc>
          <w:tcPr>
            <w:tcW w:w="11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54"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110"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200"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155"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100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10</w:t>
            </w:r>
          </w:p>
        </w:tc>
        <w:tc>
          <w:tcPr>
            <w:tcW w:w="145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872.30</w:t>
            </w:r>
          </w:p>
        </w:tc>
        <w:tc>
          <w:tcPr>
            <w:tcW w:w="35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110" w:type="dxa"/>
            <w:tcBorders>
              <w:top w:val="single" w:color="auto" w:sz="4" w:space="0"/>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902.84</w:t>
            </w:r>
          </w:p>
        </w:tc>
        <w:tc>
          <w:tcPr>
            <w:tcW w:w="1200" w:type="dxa"/>
            <w:tcBorders>
              <w:top w:val="single" w:color="auto" w:sz="4" w:space="0"/>
              <w:left w:val="nil"/>
              <w:bottom w:val="single" w:color="auto" w:sz="4" w:space="0"/>
              <w:right w:val="single" w:color="auto" w:sz="4" w:space="0"/>
            </w:tcBorders>
            <w:vAlign w:val="top"/>
          </w:tcPr>
          <w:p>
            <w:pPr>
              <w:widowControl/>
              <w:jc w:val="center"/>
            </w:pPr>
            <w:r>
              <w:rPr>
                <w:rFonts w:hint="eastAsia" w:ascii="宋体" w:hAnsi="宋体" w:cs="Arial"/>
                <w:color w:val="000000"/>
                <w:kern w:val="0"/>
                <w:sz w:val="22"/>
                <w:szCs w:val="22"/>
                <w:lang w:val="en-US" w:eastAsia="zh-CN"/>
              </w:rPr>
              <w:t>902.84</w:t>
            </w:r>
          </w:p>
        </w:tc>
        <w:tc>
          <w:tcPr>
            <w:tcW w:w="1155" w:type="dxa"/>
            <w:tcBorders>
              <w:top w:val="single" w:color="auto" w:sz="4" w:space="0"/>
              <w:left w:val="nil"/>
              <w:bottom w:val="single" w:color="auto" w:sz="4" w:space="0"/>
              <w:right w:val="single" w:color="auto" w:sz="4" w:space="0"/>
            </w:tcBorders>
            <w:vAlign w:val="top"/>
          </w:tcPr>
          <w:p>
            <w:pPr>
              <w:widowControl/>
              <w:jc w:val="center"/>
              <w:rPr>
                <w:rFonts w:hint="eastAsia" w:eastAsia="宋体"/>
                <w:lang w:val="en-US" w:eastAsia="zh-CN"/>
              </w:rPr>
            </w:pPr>
            <w:r>
              <w:rPr>
                <w:rFonts w:hint="eastAsia"/>
                <w:lang w:val="en-US" w:eastAsia="zh-CN"/>
              </w:rPr>
              <w:t>0</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100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11</w:t>
            </w:r>
          </w:p>
        </w:tc>
        <w:tc>
          <w:tcPr>
            <w:tcW w:w="145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82.52</w:t>
            </w:r>
          </w:p>
        </w:tc>
        <w:tc>
          <w:tcPr>
            <w:tcW w:w="35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w:t>
            </w:r>
            <w:r>
              <w:rPr>
                <w:rFonts w:hint="eastAsia" w:ascii="宋体" w:hAnsi="宋体" w:cs="Arial"/>
                <w:kern w:val="0"/>
                <w:sz w:val="22"/>
                <w:szCs w:val="22"/>
                <w:lang w:eastAsia="zh-CN"/>
              </w:rPr>
              <w:t>财政拨款</w:t>
            </w:r>
            <w:r>
              <w:rPr>
                <w:rFonts w:hint="eastAsia" w:ascii="宋体" w:hAnsi="宋体" w:cs="Arial"/>
                <w:kern w:val="0"/>
                <w:sz w:val="22"/>
                <w:szCs w:val="22"/>
              </w:rPr>
              <w:t>结转和结余</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110" w:type="dxa"/>
            <w:tcBorders>
              <w:top w:val="single" w:color="auto" w:sz="4" w:space="0"/>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51.98</w:t>
            </w:r>
          </w:p>
        </w:tc>
        <w:tc>
          <w:tcPr>
            <w:tcW w:w="1200" w:type="dxa"/>
            <w:tcBorders>
              <w:top w:val="single" w:color="auto" w:sz="4" w:space="0"/>
              <w:left w:val="nil"/>
              <w:bottom w:val="single" w:color="auto" w:sz="4" w:space="0"/>
              <w:right w:val="single" w:color="auto" w:sz="4" w:space="0"/>
            </w:tcBorders>
            <w:vAlign w:val="top"/>
          </w:tcPr>
          <w:p>
            <w:pPr>
              <w:widowControl/>
              <w:jc w:val="center"/>
            </w:pPr>
            <w:r>
              <w:rPr>
                <w:rFonts w:hint="eastAsia" w:ascii="宋体" w:hAnsi="宋体" w:cs="Arial"/>
                <w:color w:val="000000"/>
                <w:kern w:val="0"/>
                <w:sz w:val="22"/>
                <w:szCs w:val="22"/>
                <w:lang w:val="en-US" w:eastAsia="zh-CN"/>
              </w:rPr>
              <w:t>51.98</w:t>
            </w:r>
          </w:p>
        </w:tc>
        <w:tc>
          <w:tcPr>
            <w:tcW w:w="1155" w:type="dxa"/>
            <w:tcBorders>
              <w:top w:val="single" w:color="auto" w:sz="4" w:space="0"/>
              <w:left w:val="nil"/>
              <w:bottom w:val="single" w:color="auto" w:sz="4" w:space="0"/>
              <w:right w:val="single" w:color="auto" w:sz="4" w:space="0"/>
            </w:tcBorders>
            <w:vAlign w:val="top"/>
          </w:tcPr>
          <w:p>
            <w:pPr>
              <w:widowControl/>
              <w:jc w:val="center"/>
              <w:rPr>
                <w:rFonts w:hint="eastAsia" w:eastAsia="宋体"/>
                <w:lang w:val="en-US" w:eastAsia="zh-CN"/>
              </w:rPr>
            </w:pPr>
            <w:r>
              <w:rPr>
                <w:rFonts w:hint="eastAsia"/>
                <w:lang w:val="en-US" w:eastAsia="zh-CN"/>
              </w:rPr>
              <w:t>0</w:t>
            </w: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2</w:t>
            </w:r>
          </w:p>
        </w:tc>
        <w:tc>
          <w:tcPr>
            <w:tcW w:w="145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82.52</w:t>
            </w:r>
          </w:p>
        </w:tc>
        <w:tc>
          <w:tcPr>
            <w:tcW w:w="355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110" w:type="dxa"/>
            <w:tcBorders>
              <w:top w:val="single" w:color="auto" w:sz="4" w:space="0"/>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200" w:type="dxa"/>
            <w:tcBorders>
              <w:top w:val="single" w:color="auto" w:sz="4" w:space="0"/>
              <w:left w:val="nil"/>
              <w:bottom w:val="single" w:color="auto" w:sz="4" w:space="0"/>
              <w:right w:val="single" w:color="auto" w:sz="4" w:space="0"/>
            </w:tcBorders>
            <w:vAlign w:val="top"/>
          </w:tcPr>
          <w:p>
            <w:pPr>
              <w:widowControl/>
              <w:ind w:firstLine="630" w:firstLineChars="300"/>
              <w:jc w:val="center"/>
            </w:pPr>
          </w:p>
        </w:tc>
        <w:tc>
          <w:tcPr>
            <w:tcW w:w="1155" w:type="dxa"/>
            <w:tcBorders>
              <w:top w:val="single" w:color="auto" w:sz="4" w:space="0"/>
              <w:left w:val="nil"/>
              <w:bottom w:val="single" w:color="auto" w:sz="4" w:space="0"/>
              <w:right w:val="single" w:color="auto" w:sz="4" w:space="0"/>
            </w:tcBorders>
            <w:vAlign w:val="top"/>
          </w:tcPr>
          <w:p>
            <w:pPr>
              <w:widowControl/>
              <w:ind w:firstLine="630" w:firstLineChars="300"/>
              <w:jc w:val="center"/>
            </w:pPr>
          </w:p>
        </w:tc>
      </w:tr>
      <w:tr>
        <w:tblPrEx>
          <w:tblCellMar>
            <w:top w:w="0" w:type="dxa"/>
            <w:left w:w="108" w:type="dxa"/>
            <w:bottom w:w="0" w:type="dxa"/>
            <w:right w:w="108" w:type="dxa"/>
          </w:tblCellMar>
        </w:tblPrEx>
        <w:trPr>
          <w:gridAfter w:val="2"/>
          <w:wAfter w:w="4954" w:type="dxa"/>
          <w:trHeight w:val="288" w:hRule="atLeast"/>
        </w:trPr>
        <w:tc>
          <w:tcPr>
            <w:tcW w:w="4696"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3</w:t>
            </w:r>
          </w:p>
        </w:tc>
        <w:tc>
          <w:tcPr>
            <w:tcW w:w="1454" w:type="dxa"/>
            <w:tcBorders>
              <w:top w:val="nil"/>
              <w:left w:val="nil"/>
              <w:bottom w:val="single" w:color="auto" w:sz="4" w:space="0"/>
              <w:right w:val="single" w:color="auto" w:sz="4" w:space="0"/>
            </w:tcBorders>
            <w:vAlign w:val="top"/>
          </w:tcPr>
          <w:p>
            <w:pPr>
              <w:widowControl/>
              <w:ind w:firstLine="440" w:firstLineChars="200"/>
              <w:jc w:val="center"/>
              <w:rPr>
                <w:rFonts w:ascii="宋体" w:hAnsi="宋体" w:cs="Arial"/>
                <w:color w:val="000000"/>
                <w:kern w:val="0"/>
                <w:sz w:val="22"/>
                <w:szCs w:val="22"/>
              </w:rPr>
            </w:pPr>
          </w:p>
        </w:tc>
        <w:tc>
          <w:tcPr>
            <w:tcW w:w="355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110" w:type="dxa"/>
            <w:tcBorders>
              <w:top w:val="single" w:color="auto" w:sz="4" w:space="0"/>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200" w:type="dxa"/>
            <w:tcBorders>
              <w:top w:val="single" w:color="auto" w:sz="4" w:space="0"/>
              <w:left w:val="nil"/>
              <w:bottom w:val="single" w:color="auto" w:sz="4" w:space="0"/>
              <w:right w:val="single" w:color="auto" w:sz="4" w:space="0"/>
            </w:tcBorders>
            <w:vAlign w:val="top"/>
          </w:tcPr>
          <w:p>
            <w:pPr>
              <w:widowControl/>
              <w:ind w:firstLine="630" w:firstLineChars="300"/>
              <w:jc w:val="center"/>
            </w:pPr>
          </w:p>
        </w:tc>
        <w:tc>
          <w:tcPr>
            <w:tcW w:w="1155" w:type="dxa"/>
            <w:tcBorders>
              <w:top w:val="single" w:color="auto" w:sz="4" w:space="0"/>
              <w:left w:val="nil"/>
              <w:bottom w:val="single" w:color="auto" w:sz="4" w:space="0"/>
              <w:right w:val="single" w:color="auto" w:sz="4" w:space="0"/>
            </w:tcBorders>
            <w:vAlign w:val="top"/>
          </w:tcPr>
          <w:p>
            <w:pPr>
              <w:widowControl/>
              <w:ind w:firstLine="630" w:firstLineChars="300"/>
              <w:jc w:val="center"/>
            </w:pPr>
          </w:p>
        </w:tc>
      </w:tr>
      <w:tr>
        <w:tblPrEx>
          <w:tblCellMar>
            <w:top w:w="0" w:type="dxa"/>
            <w:left w:w="108" w:type="dxa"/>
            <w:bottom w:w="0" w:type="dxa"/>
            <w:right w:w="108" w:type="dxa"/>
          </w:tblCellMar>
        </w:tblPrEx>
        <w:trPr>
          <w:trHeight w:val="288" w:hRule="atLeast"/>
        </w:trPr>
        <w:tc>
          <w:tcPr>
            <w:tcW w:w="4696"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0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4</w:t>
            </w:r>
          </w:p>
        </w:tc>
        <w:tc>
          <w:tcPr>
            <w:tcW w:w="145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954.83</w:t>
            </w:r>
          </w:p>
        </w:tc>
        <w:tc>
          <w:tcPr>
            <w:tcW w:w="35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110" w:type="dxa"/>
            <w:tcBorders>
              <w:top w:val="single" w:color="auto" w:sz="4" w:space="0"/>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954.83</w:t>
            </w:r>
          </w:p>
        </w:tc>
        <w:tc>
          <w:tcPr>
            <w:tcW w:w="1200" w:type="dxa"/>
            <w:tcBorders>
              <w:top w:val="single" w:color="auto" w:sz="4" w:space="0"/>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954.83</w:t>
            </w:r>
          </w:p>
        </w:tc>
        <w:tc>
          <w:tcPr>
            <w:tcW w:w="1155" w:type="dxa"/>
            <w:tcBorders>
              <w:top w:val="single" w:color="auto" w:sz="4" w:space="0"/>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2477" w:type="dxa"/>
            <w:vAlign w:val="top"/>
          </w:tcPr>
          <w:p>
            <w:pPr>
              <w:widowControl/>
              <w:ind w:firstLine="660" w:firstLineChars="300"/>
              <w:jc w:val="left"/>
            </w:pPr>
            <w:r>
              <w:rPr>
                <w:rFonts w:hint="eastAsia" w:ascii="宋体" w:hAnsi="宋体" w:cs="Arial"/>
                <w:color w:val="000000"/>
                <w:kern w:val="0"/>
                <w:sz w:val="22"/>
                <w:szCs w:val="22"/>
              </w:rPr>
              <w:t>　</w:t>
            </w:r>
          </w:p>
        </w:tc>
        <w:tc>
          <w:tcPr>
            <w:tcW w:w="2477" w:type="dxa"/>
            <w:vAlign w:val="top"/>
          </w:tcPr>
          <w:p>
            <w:pPr>
              <w:widowControl/>
              <w:ind w:firstLine="630" w:firstLineChars="300"/>
              <w:jc w:val="left"/>
            </w:pPr>
          </w:p>
        </w:tc>
      </w:tr>
    </w:tbl>
    <w:p>
      <w:pPr>
        <w:rPr>
          <w:rFonts w:hint="eastAsia"/>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sectPr>
          <w:pgSz w:w="16838" w:h="11906" w:orient="landscape"/>
          <w:pgMar w:top="170" w:right="283" w:bottom="57" w:left="567" w:header="851" w:footer="992" w:gutter="0"/>
          <w:pgNumType w:fmt="numberInDash"/>
          <w:cols w:space="0" w:num="1"/>
          <w:rtlGutter w:val="0"/>
          <w:docGrid w:type="lines" w:linePitch="316"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6"/>
        <w:tblW w:w="14880" w:type="dxa"/>
        <w:jc w:val="center"/>
        <w:tblLayout w:type="fixed"/>
        <w:tblCellMar>
          <w:top w:w="0" w:type="dxa"/>
          <w:left w:w="108" w:type="dxa"/>
          <w:bottom w:w="0" w:type="dxa"/>
          <w:right w:w="108" w:type="dxa"/>
        </w:tblCellMar>
      </w:tblPr>
      <w:tblGrid>
        <w:gridCol w:w="616"/>
        <w:gridCol w:w="690"/>
        <w:gridCol w:w="1020"/>
        <w:gridCol w:w="4530"/>
        <w:gridCol w:w="2820"/>
        <w:gridCol w:w="3105"/>
        <w:gridCol w:w="2099"/>
      </w:tblGrid>
      <w:tr>
        <w:tblPrEx>
          <w:tblCellMar>
            <w:top w:w="0" w:type="dxa"/>
            <w:left w:w="108" w:type="dxa"/>
            <w:bottom w:w="0" w:type="dxa"/>
            <w:right w:w="108" w:type="dxa"/>
          </w:tblCellMar>
        </w:tblPrEx>
        <w:trPr>
          <w:trHeight w:val="255" w:hRule="exact"/>
          <w:jc w:val="center"/>
        </w:trPr>
        <w:tc>
          <w:tcPr>
            <w:tcW w:w="685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16"/>
                <w:szCs w:val="16"/>
              </w:rPr>
            </w:pPr>
            <w:r>
              <w:rPr>
                <w:rFonts w:hint="eastAsia" w:ascii="MingLiU" w:hAnsi="MingLiU" w:eastAsia="宋体" w:cs="Arial"/>
                <w:kern w:val="0"/>
                <w:sz w:val="16"/>
                <w:szCs w:val="16"/>
                <w:lang w:eastAsia="zh-CN"/>
              </w:rPr>
              <w:t>支出功能</w:t>
            </w:r>
            <w:r>
              <w:rPr>
                <w:rFonts w:hint="eastAsia" w:ascii="MingLiU" w:hAnsi="MingLiU" w:eastAsia="MingLiU" w:cs="Arial"/>
                <w:kern w:val="0"/>
                <w:sz w:val="16"/>
                <w:szCs w:val="16"/>
              </w:rPr>
              <w:t>项 目</w:t>
            </w:r>
          </w:p>
        </w:tc>
        <w:tc>
          <w:tcPr>
            <w:tcW w:w="28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16"/>
                <w:szCs w:val="16"/>
              </w:rPr>
            </w:pPr>
            <w:r>
              <w:rPr>
                <w:rFonts w:hint="eastAsia" w:ascii="MingLiU" w:hAnsi="MingLiU" w:eastAsia="MingLiU" w:cs="Arial"/>
                <w:kern w:val="0"/>
                <w:sz w:val="16"/>
                <w:szCs w:val="16"/>
              </w:rPr>
              <w:t>合计</w:t>
            </w:r>
          </w:p>
        </w:tc>
        <w:tc>
          <w:tcPr>
            <w:tcW w:w="31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16"/>
                <w:szCs w:val="16"/>
              </w:rPr>
            </w:pPr>
            <w:r>
              <w:rPr>
                <w:rFonts w:hint="eastAsia" w:ascii="MingLiU" w:hAnsi="MingLiU" w:eastAsia="MingLiU" w:cs="Arial"/>
                <w:kern w:val="0"/>
                <w:sz w:val="16"/>
                <w:szCs w:val="16"/>
              </w:rPr>
              <w:t>基本支出</w:t>
            </w:r>
          </w:p>
        </w:tc>
        <w:tc>
          <w:tcPr>
            <w:tcW w:w="209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16"/>
                <w:szCs w:val="16"/>
              </w:rPr>
            </w:pPr>
            <w:r>
              <w:rPr>
                <w:rFonts w:hint="eastAsia" w:ascii="MingLiU" w:hAnsi="MingLiU" w:eastAsia="MingLiU" w:cs="Arial"/>
                <w:kern w:val="0"/>
                <w:sz w:val="16"/>
                <w:szCs w:val="16"/>
              </w:rPr>
              <w:t>项目支出</w:t>
            </w:r>
          </w:p>
        </w:tc>
      </w:tr>
      <w:tr>
        <w:tblPrEx>
          <w:tblCellMar>
            <w:top w:w="0" w:type="dxa"/>
            <w:left w:w="108" w:type="dxa"/>
            <w:bottom w:w="0" w:type="dxa"/>
            <w:right w:w="108" w:type="dxa"/>
          </w:tblCellMar>
        </w:tblPrEx>
        <w:trPr>
          <w:trHeight w:val="255" w:hRule="exact"/>
          <w:jc w:val="center"/>
        </w:trPr>
        <w:tc>
          <w:tcPr>
            <w:tcW w:w="2326" w:type="dxa"/>
            <w:gridSpan w:val="3"/>
            <w:tcBorders>
              <w:top w:val="nil"/>
              <w:left w:val="single" w:color="auto" w:sz="4" w:space="0"/>
              <w:bottom w:val="single" w:color="auto" w:sz="4" w:space="0"/>
              <w:right w:val="single" w:color="auto" w:sz="4" w:space="0"/>
            </w:tcBorders>
            <w:vAlign w:val="center"/>
          </w:tcPr>
          <w:p>
            <w:pPr>
              <w:widowControl/>
              <w:jc w:val="both"/>
              <w:rPr>
                <w:rFonts w:ascii="MingLiU" w:hAnsi="MingLiU" w:eastAsia="MingLiU" w:cs="Arial"/>
                <w:kern w:val="0"/>
                <w:sz w:val="16"/>
                <w:szCs w:val="16"/>
              </w:rPr>
            </w:pPr>
            <w:r>
              <w:rPr>
                <w:rFonts w:hint="eastAsia" w:ascii="MingLiU" w:hAnsi="MingLiU" w:cs="Arial"/>
                <w:kern w:val="0"/>
                <w:sz w:val="16"/>
                <w:szCs w:val="16"/>
                <w:lang w:eastAsia="zh-CN"/>
              </w:rPr>
              <w:t>支出功能分类</w:t>
            </w:r>
            <w:r>
              <w:rPr>
                <w:rFonts w:hint="eastAsia" w:ascii="MingLiU" w:hAnsi="MingLiU" w:eastAsia="MingLiU" w:cs="Arial"/>
                <w:kern w:val="0"/>
                <w:sz w:val="16"/>
                <w:szCs w:val="16"/>
              </w:rPr>
              <w:t>科目编码</w:t>
            </w:r>
          </w:p>
        </w:tc>
        <w:tc>
          <w:tcPr>
            <w:tcW w:w="453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16"/>
                <w:szCs w:val="16"/>
              </w:rPr>
            </w:pPr>
            <w:r>
              <w:rPr>
                <w:rFonts w:hint="eastAsia" w:ascii="MingLiU" w:hAnsi="MingLiU" w:eastAsia="MingLiU" w:cs="Arial"/>
                <w:kern w:val="0"/>
                <w:sz w:val="16"/>
                <w:szCs w:val="16"/>
              </w:rPr>
              <w:t>科目名称</w:t>
            </w:r>
          </w:p>
        </w:tc>
        <w:tc>
          <w:tcPr>
            <w:tcW w:w="2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6"/>
                <w:szCs w:val="16"/>
              </w:rPr>
            </w:pPr>
          </w:p>
        </w:tc>
        <w:tc>
          <w:tcPr>
            <w:tcW w:w="31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6"/>
                <w:szCs w:val="16"/>
              </w:rPr>
            </w:pPr>
          </w:p>
        </w:tc>
        <w:tc>
          <w:tcPr>
            <w:tcW w:w="20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6"/>
                <w:szCs w:val="16"/>
              </w:rPr>
            </w:pPr>
          </w:p>
        </w:tc>
      </w:tr>
      <w:tr>
        <w:tblPrEx>
          <w:tblCellMar>
            <w:top w:w="0" w:type="dxa"/>
            <w:left w:w="108" w:type="dxa"/>
            <w:bottom w:w="0" w:type="dxa"/>
            <w:right w:w="108" w:type="dxa"/>
          </w:tblCellMar>
        </w:tblPrEx>
        <w:trPr>
          <w:trHeight w:val="255" w:hRule="exact"/>
          <w:jc w:val="center"/>
        </w:trPr>
        <w:tc>
          <w:tcPr>
            <w:tcW w:w="616" w:type="dxa"/>
            <w:vMerge w:val="restart"/>
            <w:tcBorders>
              <w:top w:val="single" w:color="auto" w:sz="4" w:space="0"/>
              <w:left w:val="single" w:color="auto" w:sz="4" w:space="0"/>
              <w:right w:val="single" w:color="auto" w:sz="4" w:space="0"/>
            </w:tcBorders>
            <w:vAlign w:val="top"/>
          </w:tcPr>
          <w:p>
            <w:pPr>
              <w:widowControl/>
              <w:jc w:val="right"/>
              <w:rPr>
                <w:rFonts w:ascii="Arial" w:hAnsi="Arial" w:cs="Arial"/>
                <w:color w:val="000000"/>
                <w:kern w:val="0"/>
                <w:sz w:val="16"/>
                <w:szCs w:val="16"/>
              </w:rPr>
            </w:pPr>
            <w:r>
              <w:rPr>
                <w:rFonts w:hint="eastAsia" w:ascii="宋体" w:hAnsi="宋体" w:cs="Arial"/>
                <w:color w:val="000000"/>
                <w:kern w:val="0"/>
                <w:sz w:val="16"/>
                <w:szCs w:val="16"/>
                <w:highlight w:val="none"/>
                <w:lang w:eastAsia="zh-CN"/>
              </w:rPr>
              <w:t>类</w:t>
            </w:r>
          </w:p>
        </w:tc>
        <w:tc>
          <w:tcPr>
            <w:tcW w:w="690" w:type="dxa"/>
            <w:vMerge w:val="restart"/>
            <w:tcBorders>
              <w:top w:val="single" w:color="auto" w:sz="4" w:space="0"/>
              <w:left w:val="single" w:color="auto" w:sz="4" w:space="0"/>
              <w:right w:val="single" w:color="auto" w:sz="4" w:space="0"/>
            </w:tcBorders>
            <w:vAlign w:val="top"/>
          </w:tcPr>
          <w:p>
            <w:pPr>
              <w:widowControl/>
              <w:jc w:val="right"/>
              <w:rPr>
                <w:rFonts w:ascii="Arial" w:hAnsi="Arial" w:cs="Arial"/>
                <w:color w:val="000000"/>
                <w:kern w:val="0"/>
                <w:sz w:val="16"/>
                <w:szCs w:val="16"/>
              </w:rPr>
            </w:pPr>
            <w:r>
              <w:rPr>
                <w:rFonts w:hint="eastAsia" w:ascii="宋体" w:hAnsi="宋体" w:cs="Arial"/>
                <w:color w:val="000000"/>
                <w:kern w:val="0"/>
                <w:sz w:val="16"/>
                <w:szCs w:val="16"/>
                <w:highlight w:val="none"/>
                <w:lang w:eastAsia="zh-CN"/>
              </w:rPr>
              <w:t>款</w:t>
            </w:r>
          </w:p>
        </w:tc>
        <w:tc>
          <w:tcPr>
            <w:tcW w:w="1020" w:type="dxa"/>
            <w:vMerge w:val="restart"/>
            <w:tcBorders>
              <w:top w:val="single" w:color="auto" w:sz="4" w:space="0"/>
              <w:left w:val="single" w:color="auto" w:sz="4" w:space="0"/>
              <w:right w:val="single" w:color="auto" w:sz="4" w:space="0"/>
            </w:tcBorders>
            <w:vAlign w:val="top"/>
          </w:tcPr>
          <w:p>
            <w:pPr>
              <w:widowControl/>
              <w:jc w:val="right"/>
              <w:rPr>
                <w:rFonts w:ascii="Arial" w:hAnsi="Arial" w:cs="Arial"/>
                <w:color w:val="000000"/>
                <w:kern w:val="0"/>
                <w:sz w:val="16"/>
                <w:szCs w:val="16"/>
              </w:rPr>
            </w:pPr>
            <w:r>
              <w:rPr>
                <w:rFonts w:hint="eastAsia" w:ascii="宋体" w:hAnsi="宋体" w:cs="Arial"/>
                <w:color w:val="000000"/>
                <w:kern w:val="0"/>
                <w:sz w:val="16"/>
                <w:szCs w:val="16"/>
                <w:highlight w:val="none"/>
                <w:lang w:eastAsia="zh-CN"/>
              </w:rPr>
              <w:t>项</w:t>
            </w:r>
          </w:p>
        </w:tc>
        <w:tc>
          <w:tcPr>
            <w:tcW w:w="4530" w:type="dxa"/>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16"/>
                <w:szCs w:val="16"/>
              </w:rPr>
            </w:pPr>
            <w:r>
              <w:rPr>
                <w:rFonts w:hint="eastAsia" w:ascii="宋体" w:hAnsi="宋体" w:cs="Arial"/>
                <w:color w:val="000000"/>
                <w:kern w:val="0"/>
                <w:sz w:val="16"/>
                <w:szCs w:val="16"/>
                <w:highlight w:val="none"/>
                <w:lang w:eastAsia="zh-CN"/>
              </w:rPr>
              <w:t>栏次</w:t>
            </w:r>
          </w:p>
        </w:tc>
        <w:tc>
          <w:tcPr>
            <w:tcW w:w="282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16"/>
                <w:szCs w:val="16"/>
              </w:rPr>
            </w:pPr>
            <w:r>
              <w:rPr>
                <w:rFonts w:ascii="Arial" w:hAnsi="Arial" w:cs="Arial"/>
                <w:color w:val="000000"/>
                <w:kern w:val="0"/>
                <w:sz w:val="16"/>
                <w:szCs w:val="16"/>
              </w:rPr>
              <w:t>1</w:t>
            </w:r>
          </w:p>
        </w:tc>
        <w:tc>
          <w:tcPr>
            <w:tcW w:w="3105"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16"/>
                <w:szCs w:val="16"/>
              </w:rPr>
            </w:pPr>
            <w:r>
              <w:rPr>
                <w:rFonts w:ascii="Arial" w:hAnsi="Arial" w:cs="Arial"/>
                <w:color w:val="000000"/>
                <w:kern w:val="0"/>
                <w:sz w:val="16"/>
                <w:szCs w:val="16"/>
              </w:rPr>
              <w:t>2</w:t>
            </w:r>
          </w:p>
        </w:tc>
        <w:tc>
          <w:tcPr>
            <w:tcW w:w="2099"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16"/>
                <w:szCs w:val="16"/>
              </w:rPr>
            </w:pPr>
            <w:r>
              <w:rPr>
                <w:rFonts w:ascii="Arial" w:hAnsi="Arial" w:cs="Arial"/>
                <w:color w:val="000000"/>
                <w:kern w:val="0"/>
                <w:sz w:val="16"/>
                <w:szCs w:val="16"/>
              </w:rPr>
              <w:t>3</w:t>
            </w:r>
          </w:p>
        </w:tc>
      </w:tr>
      <w:tr>
        <w:tblPrEx>
          <w:tblCellMar>
            <w:top w:w="0" w:type="dxa"/>
            <w:left w:w="108" w:type="dxa"/>
            <w:bottom w:w="0" w:type="dxa"/>
            <w:right w:w="108" w:type="dxa"/>
          </w:tblCellMar>
        </w:tblPrEx>
        <w:trPr>
          <w:trHeight w:val="255" w:hRule="exact"/>
          <w:jc w:val="center"/>
        </w:trPr>
        <w:tc>
          <w:tcPr>
            <w:tcW w:w="616" w:type="dxa"/>
            <w:vMerge w:val="continue"/>
            <w:tcBorders>
              <w:left w:val="single" w:color="auto" w:sz="4" w:space="0"/>
              <w:bottom w:val="single" w:color="auto" w:sz="4" w:space="0"/>
              <w:right w:val="single" w:color="auto" w:sz="4" w:space="0"/>
            </w:tcBorders>
            <w:vAlign w:val="top"/>
          </w:tcPr>
          <w:p>
            <w:pPr>
              <w:widowControl/>
              <w:jc w:val="both"/>
              <w:rPr>
                <w:rFonts w:ascii="Arial" w:hAnsi="Arial" w:cs="Arial"/>
                <w:color w:val="000000"/>
                <w:kern w:val="0"/>
                <w:sz w:val="16"/>
                <w:szCs w:val="16"/>
              </w:rPr>
            </w:pPr>
          </w:p>
        </w:tc>
        <w:tc>
          <w:tcPr>
            <w:tcW w:w="690" w:type="dxa"/>
            <w:vMerge w:val="continue"/>
            <w:tcBorders>
              <w:left w:val="single" w:color="auto" w:sz="4" w:space="0"/>
              <w:bottom w:val="single" w:color="auto" w:sz="4" w:space="0"/>
              <w:right w:val="single" w:color="auto" w:sz="4" w:space="0"/>
            </w:tcBorders>
            <w:vAlign w:val="top"/>
          </w:tcPr>
          <w:p>
            <w:pPr>
              <w:widowControl/>
              <w:jc w:val="both"/>
              <w:rPr>
                <w:rFonts w:ascii="Arial" w:hAnsi="Arial" w:cs="Arial"/>
                <w:color w:val="000000"/>
                <w:kern w:val="0"/>
                <w:sz w:val="16"/>
                <w:szCs w:val="16"/>
              </w:rPr>
            </w:pPr>
          </w:p>
        </w:tc>
        <w:tc>
          <w:tcPr>
            <w:tcW w:w="1020" w:type="dxa"/>
            <w:vMerge w:val="continue"/>
            <w:tcBorders>
              <w:left w:val="single" w:color="auto" w:sz="4" w:space="0"/>
              <w:bottom w:val="single" w:color="auto" w:sz="4" w:space="0"/>
              <w:right w:val="single" w:color="auto" w:sz="4" w:space="0"/>
            </w:tcBorders>
            <w:vAlign w:val="top"/>
          </w:tcPr>
          <w:p>
            <w:pPr>
              <w:widowControl/>
              <w:jc w:val="both"/>
              <w:rPr>
                <w:rFonts w:ascii="Arial" w:hAnsi="Arial" w:cs="Arial"/>
                <w:color w:val="000000"/>
                <w:kern w:val="0"/>
                <w:sz w:val="16"/>
                <w:szCs w:val="16"/>
              </w:rPr>
            </w:pPr>
          </w:p>
        </w:tc>
        <w:tc>
          <w:tcPr>
            <w:tcW w:w="4530" w:type="dxa"/>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16"/>
                <w:szCs w:val="16"/>
              </w:rPr>
            </w:pPr>
            <w:r>
              <w:rPr>
                <w:rFonts w:hint="eastAsia" w:ascii="宋体" w:hAnsi="宋体" w:cs="Arial"/>
                <w:color w:val="000000"/>
                <w:kern w:val="0"/>
                <w:sz w:val="16"/>
                <w:szCs w:val="16"/>
                <w:highlight w:val="none"/>
                <w:lang w:eastAsia="zh-CN"/>
              </w:rPr>
              <w:t>合计</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902.84</w:t>
            </w:r>
          </w:p>
        </w:tc>
        <w:tc>
          <w:tcPr>
            <w:tcW w:w="31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507.62</w:t>
            </w:r>
          </w:p>
        </w:tc>
        <w:tc>
          <w:tcPr>
            <w:tcW w:w="20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395.22</w:t>
            </w:r>
          </w:p>
        </w:tc>
      </w:tr>
      <w:tr>
        <w:tblPrEx>
          <w:tblCellMar>
            <w:top w:w="0" w:type="dxa"/>
            <w:left w:w="108" w:type="dxa"/>
            <w:bottom w:w="0" w:type="dxa"/>
            <w:right w:w="108" w:type="dxa"/>
          </w:tblCellMar>
        </w:tblPrEx>
        <w:trPr>
          <w:trHeight w:val="255" w:hRule="exact"/>
          <w:jc w:val="center"/>
        </w:trPr>
        <w:tc>
          <w:tcPr>
            <w:tcW w:w="232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w:t>
            </w:r>
          </w:p>
        </w:tc>
        <w:tc>
          <w:tcPr>
            <w:tcW w:w="45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一般公共服务支出</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739.49</w:t>
            </w:r>
          </w:p>
        </w:tc>
        <w:tc>
          <w:tcPr>
            <w:tcW w:w="31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345.26</w:t>
            </w:r>
          </w:p>
        </w:tc>
        <w:tc>
          <w:tcPr>
            <w:tcW w:w="20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394.23</w:t>
            </w:r>
          </w:p>
        </w:tc>
      </w:tr>
      <w:tr>
        <w:tblPrEx>
          <w:tblCellMar>
            <w:top w:w="0" w:type="dxa"/>
            <w:left w:w="108" w:type="dxa"/>
            <w:bottom w:w="0" w:type="dxa"/>
            <w:right w:w="108" w:type="dxa"/>
          </w:tblCellMar>
        </w:tblPrEx>
        <w:trPr>
          <w:trHeight w:val="255" w:hRule="exact"/>
          <w:jc w:val="center"/>
        </w:trPr>
        <w:tc>
          <w:tcPr>
            <w:tcW w:w="232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20123</w:t>
            </w:r>
          </w:p>
        </w:tc>
        <w:tc>
          <w:tcPr>
            <w:tcW w:w="45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民族事务</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691.31</w:t>
            </w:r>
          </w:p>
        </w:tc>
        <w:tc>
          <w:tcPr>
            <w:tcW w:w="31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345.26</w:t>
            </w:r>
          </w:p>
        </w:tc>
        <w:tc>
          <w:tcPr>
            <w:tcW w:w="20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346.05</w:t>
            </w:r>
          </w:p>
        </w:tc>
      </w:tr>
      <w:tr>
        <w:tblPrEx>
          <w:tblCellMar>
            <w:top w:w="0" w:type="dxa"/>
            <w:left w:w="108" w:type="dxa"/>
            <w:bottom w:w="0" w:type="dxa"/>
            <w:right w:w="108" w:type="dxa"/>
          </w:tblCellMar>
        </w:tblPrEx>
        <w:trPr>
          <w:trHeight w:val="255" w:hRule="exact"/>
          <w:jc w:val="center"/>
        </w:trPr>
        <w:tc>
          <w:tcPr>
            <w:tcW w:w="2326"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2012301</w:t>
            </w:r>
          </w:p>
        </w:tc>
        <w:tc>
          <w:tcPr>
            <w:tcW w:w="453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345.26</w:t>
            </w:r>
          </w:p>
        </w:tc>
        <w:tc>
          <w:tcPr>
            <w:tcW w:w="31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345.26</w:t>
            </w:r>
          </w:p>
        </w:tc>
        <w:tc>
          <w:tcPr>
            <w:tcW w:w="20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60"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2012302</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1.01</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1.01</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2012304</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民族工作专项</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207.98</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207.98</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2012399</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其他民族事务支出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137.06</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137.06</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20134</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统战事务</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48.18</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48.18</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2013404</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宗教事务</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48.18</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48.18</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208</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77.92</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77.92</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77.92</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77.92</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2080501</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归口管理的行政单位离退休</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27.75</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27.75</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2080502</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事业单位离退休</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1.54</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1.54</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2080505</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机关事业单位基本养老保险缴费支出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48.63</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48.63</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210</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卫生健康支出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50.90</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50.90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50.90</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50.90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2101101</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行政单位医疗</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20.90</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20.90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2101103</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公务员医疗补助</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30.01</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30.01</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2101199</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其他行政事业单位医疗支出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213</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农林水支出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0.99</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0.99</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21399</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其他农林水支出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0.99</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0.99</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2139999</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其他农林水支出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0.99</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0.99</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221</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33.53</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33.53</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33.53</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33.53</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2210201</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33.44</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33.44</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55" w:hRule="exact"/>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2210203</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购房补贴</w:t>
            </w:r>
          </w:p>
        </w:tc>
        <w:tc>
          <w:tcPr>
            <w:tcW w:w="2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0.10</w:t>
            </w:r>
          </w:p>
        </w:tc>
        <w:tc>
          <w:tcPr>
            <w:tcW w:w="3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0.10</w:t>
            </w:r>
          </w:p>
        </w:tc>
        <w:tc>
          <w:tcPr>
            <w:tcW w:w="2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bl>
    <w:p>
      <w:pPr>
        <w:rPr>
          <w:rFonts w:hint="eastAsia"/>
          <w:sz w:val="15"/>
          <w:szCs w:val="15"/>
        </w:rPr>
      </w:pPr>
    </w:p>
    <w:p>
      <w:pPr>
        <w:rPr>
          <w:rFonts w:hint="eastAsia"/>
        </w:rPr>
      </w:pPr>
      <w:r>
        <w:rPr>
          <w:rFonts w:hint="eastAsia"/>
          <w:sz w:val="18"/>
          <w:szCs w:val="18"/>
          <w:lang w:eastAsia="zh-CN"/>
        </w:rPr>
        <w:t>注：本表反映部门本年度一般公共预算财政拨款实际支出情况。</w:t>
      </w:r>
    </w:p>
    <w:p>
      <w:pPr>
        <w:ind w:firstLine="3960" w:firstLineChars="1100"/>
        <w:jc w:val="both"/>
        <w:rPr>
          <w:rFonts w:hint="eastAsia" w:ascii="方正小标宋简体" w:hAnsi="宋体" w:eastAsia="方正小标宋简体" w:cs="宋体"/>
          <w:kern w:val="0"/>
          <w:sz w:val="36"/>
          <w:szCs w:val="36"/>
          <w:highlight w:val="none"/>
        </w:rPr>
      </w:pPr>
    </w:p>
    <w:p>
      <w:pPr>
        <w:ind w:firstLine="3960" w:firstLineChars="1100"/>
        <w:jc w:val="both"/>
        <w:rPr>
          <w:rFonts w:hint="eastAsia" w:ascii="方正小标宋简体" w:hAnsi="宋体" w:eastAsia="方正小标宋简体" w:cs="宋体"/>
          <w:kern w:val="0"/>
          <w:sz w:val="36"/>
          <w:szCs w:val="36"/>
          <w:highlight w:val="none"/>
        </w:rPr>
      </w:pPr>
    </w:p>
    <w:p>
      <w:pPr>
        <w:ind w:firstLine="3960" w:firstLineChars="1100"/>
        <w:jc w:val="both"/>
        <w:rPr>
          <w:rFonts w:ascii="宋体" w:hAnsi="宋体" w:cs="宋体"/>
          <w:kern w:val="0"/>
          <w:sz w:val="22"/>
          <w:szCs w:val="22"/>
          <w:highlight w:val="none"/>
        </w:rPr>
      </w:pPr>
      <w:r>
        <w:rPr>
          <w:rFonts w:hint="eastAsia" w:ascii="方正小标宋简体" w:hAnsi="宋体" w:eastAsia="方正小标宋简体" w:cs="宋体"/>
          <w:kern w:val="0"/>
          <w:sz w:val="36"/>
          <w:szCs w:val="36"/>
          <w:highlight w:val="none"/>
        </w:rPr>
        <w:t>表六</w:t>
      </w:r>
      <w:r>
        <w:rPr>
          <w:rFonts w:hint="eastAsia" w:ascii="方正小标宋简体" w:hAnsi="宋体" w:eastAsia="方正小标宋简体" w:cs="宋体"/>
          <w:color w:val="000000"/>
          <w:kern w:val="0"/>
          <w:sz w:val="36"/>
          <w:szCs w:val="36"/>
          <w:highlight w:val="none"/>
        </w:rPr>
        <w:t>：</w:t>
      </w:r>
      <w:r>
        <w:rPr>
          <w:rFonts w:hint="eastAsia" w:ascii="方正小标宋简体" w:eastAsia="方正小标宋简体"/>
          <w:color w:val="000000"/>
          <w:sz w:val="36"/>
          <w:szCs w:val="36"/>
          <w:highlight w:val="none"/>
        </w:rPr>
        <w:t>一般</w:t>
      </w:r>
      <w:r>
        <w:rPr>
          <w:rFonts w:hint="eastAsia" w:ascii="方正小标宋简体" w:hAnsi="宋体" w:eastAsia="方正小标宋简体" w:cs="宋体"/>
          <w:color w:val="000000"/>
          <w:kern w:val="0"/>
          <w:sz w:val="36"/>
          <w:szCs w:val="36"/>
          <w:highlight w:val="none"/>
        </w:rPr>
        <w:t>公共预算财政拨</w:t>
      </w:r>
      <w:r>
        <w:rPr>
          <w:rFonts w:hint="eastAsia" w:ascii="方正小标宋简体" w:hAnsi="宋体" w:eastAsia="方正小标宋简体" w:cs="宋体"/>
          <w:kern w:val="0"/>
          <w:sz w:val="36"/>
          <w:szCs w:val="36"/>
          <w:highlight w:val="none"/>
        </w:rPr>
        <w:t>款基本支出决算表</w:t>
      </w:r>
      <w:r>
        <w:rPr>
          <w:rFonts w:hint="eastAsia" w:ascii="宋体" w:hAnsi="宋体" w:cs="宋体"/>
          <w:kern w:val="0"/>
          <w:sz w:val="22"/>
          <w:szCs w:val="22"/>
          <w:highlight w:val="none"/>
          <w:lang w:val="en-US" w:eastAsia="zh-CN"/>
        </w:rPr>
        <w:t xml:space="preserve">                          </w:t>
      </w:r>
      <w:r>
        <w:rPr>
          <w:rFonts w:hint="eastAsia" w:ascii="宋体" w:hAnsi="宋体" w:cs="宋体"/>
          <w:kern w:val="0"/>
          <w:sz w:val="22"/>
          <w:szCs w:val="22"/>
          <w:highlight w:val="none"/>
        </w:rPr>
        <w:t>单位：万元</w:t>
      </w:r>
    </w:p>
    <w:tbl>
      <w:tblPr>
        <w:tblStyle w:val="6"/>
        <w:tblpPr w:leftFromText="180" w:rightFromText="180" w:vertAnchor="text" w:horzAnchor="page" w:tblpX="1171" w:tblpY="377"/>
        <w:tblOverlap w:val="never"/>
        <w:tblW w:w="15161" w:type="dxa"/>
        <w:tblInd w:w="0" w:type="dxa"/>
        <w:tblLayout w:type="fixed"/>
        <w:tblCellMar>
          <w:top w:w="0" w:type="dxa"/>
          <w:left w:w="108" w:type="dxa"/>
          <w:bottom w:w="0" w:type="dxa"/>
          <w:right w:w="108" w:type="dxa"/>
        </w:tblCellMar>
      </w:tblPr>
      <w:tblGrid>
        <w:gridCol w:w="1125"/>
        <w:gridCol w:w="4185"/>
        <w:gridCol w:w="1935"/>
        <w:gridCol w:w="1125"/>
        <w:gridCol w:w="4676"/>
        <w:gridCol w:w="2115"/>
      </w:tblGrid>
      <w:tr>
        <w:tblPrEx>
          <w:tblCellMar>
            <w:top w:w="0" w:type="dxa"/>
            <w:left w:w="108" w:type="dxa"/>
            <w:bottom w:w="0" w:type="dxa"/>
            <w:right w:w="108" w:type="dxa"/>
          </w:tblCellMar>
        </w:tblPrEx>
        <w:trPr>
          <w:trHeight w:val="272" w:hRule="exact"/>
        </w:trPr>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科目编码</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科目名称</w:t>
            </w:r>
          </w:p>
        </w:tc>
        <w:tc>
          <w:tcPr>
            <w:tcW w:w="1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eastAsia="zh-CN"/>
              </w:rPr>
            </w:pPr>
            <w:r>
              <w:rPr>
                <w:rFonts w:hint="eastAsia" w:ascii="宋体" w:hAnsi="宋体" w:eastAsia="宋体" w:cs="宋体"/>
                <w:i w:val="0"/>
                <w:color w:val="000000"/>
                <w:kern w:val="0"/>
                <w:sz w:val="20"/>
                <w:szCs w:val="20"/>
                <w:u w:val="none"/>
                <w:lang w:val="en-US" w:eastAsia="zh-CN" w:bidi="ar"/>
              </w:rPr>
              <w:t>决算数</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科目编码</w:t>
            </w:r>
          </w:p>
        </w:tc>
        <w:tc>
          <w:tcPr>
            <w:tcW w:w="46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科目名称</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272" w:hRule="exact"/>
        </w:trPr>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301</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工资福利支出</w:t>
            </w:r>
          </w:p>
        </w:tc>
        <w:tc>
          <w:tcPr>
            <w:tcW w:w="19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Arial"/>
                <w:color w:val="000000"/>
                <w:kern w:val="0"/>
                <w:sz w:val="22"/>
                <w:szCs w:val="22"/>
                <w:highlight w:val="none"/>
                <w:lang w:eastAsia="zh-CN"/>
              </w:rPr>
            </w:pPr>
            <w:r>
              <w:rPr>
                <w:rFonts w:hint="eastAsia" w:ascii="宋体" w:hAnsi="宋体" w:eastAsia="宋体" w:cs="宋体"/>
                <w:i w:val="0"/>
                <w:color w:val="000000"/>
                <w:kern w:val="0"/>
                <w:sz w:val="20"/>
                <w:szCs w:val="20"/>
                <w:u w:val="none"/>
                <w:lang w:val="en-US" w:eastAsia="zh-CN" w:bidi="ar"/>
              </w:rPr>
              <w:t>423.24</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302</w:t>
            </w:r>
          </w:p>
        </w:tc>
        <w:tc>
          <w:tcPr>
            <w:tcW w:w="46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商品和服务支出</w:t>
            </w:r>
          </w:p>
        </w:tc>
        <w:tc>
          <w:tcPr>
            <w:tcW w:w="211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54.64</w:t>
            </w:r>
          </w:p>
        </w:tc>
      </w:tr>
      <w:tr>
        <w:tblPrEx>
          <w:tblCellMar>
            <w:top w:w="0" w:type="dxa"/>
            <w:left w:w="108" w:type="dxa"/>
            <w:bottom w:w="0" w:type="dxa"/>
            <w:right w:w="108" w:type="dxa"/>
          </w:tblCellMar>
        </w:tblPrEx>
        <w:trPr>
          <w:trHeight w:val="272" w:hRule="exact"/>
        </w:trPr>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30101</w:t>
            </w:r>
          </w:p>
        </w:tc>
        <w:tc>
          <w:tcPr>
            <w:tcW w:w="4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基本工资</w:t>
            </w:r>
          </w:p>
        </w:tc>
        <w:tc>
          <w:tcPr>
            <w:tcW w:w="193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181.81</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30201</w:t>
            </w:r>
          </w:p>
        </w:tc>
        <w:tc>
          <w:tcPr>
            <w:tcW w:w="46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办公费</w:t>
            </w:r>
          </w:p>
        </w:tc>
        <w:tc>
          <w:tcPr>
            <w:tcW w:w="211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10.11</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30102</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津贴补贴</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1.43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30202</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印刷费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1.01</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30103</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奖金</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54.64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u w:val="none"/>
                <w:lang w:val="en-US" w:eastAsia="zh-CN" w:bidi="ar"/>
              </w:rPr>
              <w:t>30204</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手续费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0.06</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30106</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伙食补助费</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7.98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u w:val="none"/>
                <w:lang w:val="en-US" w:eastAsia="zh-CN" w:bidi="ar"/>
              </w:rPr>
              <w:t>30205</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水费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0.06</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30107</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绩效工资</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39.34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u w:val="none"/>
                <w:lang w:val="en-US" w:eastAsia="zh-CN" w:bidi="ar"/>
              </w:rPr>
              <w:t>30206</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电费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1.33</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30108</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机关事业单位基本养老保险缴费</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48.63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u w:val="none"/>
                <w:lang w:val="en-US" w:eastAsia="zh-CN" w:bidi="ar"/>
              </w:rPr>
              <w:t>30207</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邮电费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4.79</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30110</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20.90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30211</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差旅费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3.77</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30111</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公务员医疗补助缴费</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30.01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30213</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维修（护）费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1.20</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30112</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其他社会保障缴费</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1.61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30215</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会议费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1.19</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30113</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住房公积金</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33.44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30216</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培训费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0.16</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30199</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3.45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30217</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公务接待费</w:t>
            </w:r>
          </w:p>
        </w:tc>
        <w:tc>
          <w:tcPr>
            <w:tcW w:w="211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0.62</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303</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对个人和家庭的补助</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29.74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30228</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工会经费</w:t>
            </w:r>
          </w:p>
        </w:tc>
        <w:tc>
          <w:tcPr>
            <w:tcW w:w="2115" w:type="dxa"/>
            <w:tcBorders>
              <w:top w:val="nil"/>
              <w:left w:val="nil"/>
              <w:bottom w:val="single" w:color="auto" w:sz="4" w:space="0"/>
              <w:right w:val="single" w:color="auto" w:sz="4" w:space="0"/>
            </w:tcBorders>
            <w:vAlign w:val="bottom"/>
          </w:tcPr>
          <w:p>
            <w:pPr>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5.32</w:t>
            </w:r>
          </w:p>
        </w:tc>
      </w:tr>
      <w:tr>
        <w:tblPrEx>
          <w:tblCellMar>
            <w:top w:w="0" w:type="dxa"/>
            <w:left w:w="108" w:type="dxa"/>
            <w:bottom w:w="0" w:type="dxa"/>
            <w:right w:w="108" w:type="dxa"/>
          </w:tblCellMar>
        </w:tblPrEx>
        <w:trPr>
          <w:trHeight w:val="237"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30302</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退休费</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3.11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30229</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福利费</w:t>
            </w:r>
          </w:p>
        </w:tc>
        <w:tc>
          <w:tcPr>
            <w:tcW w:w="2115" w:type="dxa"/>
            <w:tcBorders>
              <w:top w:val="nil"/>
              <w:left w:val="nil"/>
              <w:bottom w:val="single" w:color="auto" w:sz="4" w:space="0"/>
              <w:right w:val="single" w:color="auto" w:sz="4" w:space="0"/>
            </w:tcBorders>
            <w:vAlign w:val="bottom"/>
          </w:tcPr>
          <w:p>
            <w:pPr>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0.15</w:t>
            </w:r>
          </w:p>
        </w:tc>
      </w:tr>
      <w:tr>
        <w:tblPrEx>
          <w:tblCellMar>
            <w:top w:w="0" w:type="dxa"/>
            <w:left w:w="108" w:type="dxa"/>
            <w:bottom w:w="0" w:type="dxa"/>
            <w:right w:w="108" w:type="dxa"/>
          </w:tblCellMar>
        </w:tblPrEx>
        <w:trPr>
          <w:trHeight w:val="272" w:hRule="exact"/>
        </w:trPr>
        <w:tc>
          <w:tcPr>
            <w:tcW w:w="11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30304</w:t>
            </w:r>
          </w:p>
        </w:tc>
        <w:tc>
          <w:tcPr>
            <w:tcW w:w="41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抚恤金</w:t>
            </w:r>
          </w:p>
        </w:tc>
        <w:tc>
          <w:tcPr>
            <w:tcW w:w="193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20.72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30239</w:t>
            </w:r>
          </w:p>
        </w:tc>
        <w:tc>
          <w:tcPr>
            <w:tcW w:w="46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其他交通费用</w:t>
            </w:r>
          </w:p>
        </w:tc>
        <w:tc>
          <w:tcPr>
            <w:tcW w:w="2115" w:type="dxa"/>
            <w:tcBorders>
              <w:top w:val="nil"/>
              <w:left w:val="nil"/>
              <w:bottom w:val="single" w:color="auto" w:sz="4" w:space="0"/>
              <w:right w:val="single" w:color="auto" w:sz="4" w:space="0"/>
            </w:tcBorders>
            <w:vAlign w:val="bottom"/>
          </w:tcPr>
          <w:p>
            <w:pPr>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22.13</w:t>
            </w:r>
          </w:p>
        </w:tc>
      </w:tr>
      <w:tr>
        <w:tblPrEx>
          <w:tblCellMar>
            <w:top w:w="0" w:type="dxa"/>
            <w:left w:w="108" w:type="dxa"/>
            <w:bottom w:w="0" w:type="dxa"/>
            <w:right w:w="108" w:type="dxa"/>
          </w:tblCellMar>
        </w:tblPrEx>
        <w:trPr>
          <w:trHeight w:val="272" w:hRule="exact"/>
        </w:trPr>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30305</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生活补助</w:t>
            </w:r>
          </w:p>
        </w:tc>
        <w:tc>
          <w:tcPr>
            <w:tcW w:w="19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5.00</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30299</w:t>
            </w:r>
          </w:p>
        </w:tc>
        <w:tc>
          <w:tcPr>
            <w:tcW w:w="46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 xml:space="preserve">  其他商品和服务支出</w:t>
            </w:r>
          </w:p>
        </w:tc>
        <w:tc>
          <w:tcPr>
            <w:tcW w:w="211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highlight w:val="none"/>
                <w:u w:val="none"/>
                <w:lang w:val="en-US" w:eastAsia="zh-CN" w:bidi="ar"/>
              </w:rPr>
              <w:t>2.75</w:t>
            </w:r>
          </w:p>
        </w:tc>
      </w:tr>
      <w:tr>
        <w:tblPrEx>
          <w:tblCellMar>
            <w:top w:w="0" w:type="dxa"/>
            <w:left w:w="108" w:type="dxa"/>
            <w:bottom w:w="0" w:type="dxa"/>
            <w:right w:w="108" w:type="dxa"/>
          </w:tblCellMar>
        </w:tblPrEx>
        <w:trPr>
          <w:trHeight w:val="272" w:hRule="exact"/>
        </w:trPr>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30399</w:t>
            </w:r>
          </w:p>
        </w:tc>
        <w:tc>
          <w:tcPr>
            <w:tcW w:w="4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9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eastAsia="宋体" w:cs="宋体"/>
                <w:i w:val="0"/>
                <w:color w:val="000000"/>
                <w:kern w:val="0"/>
                <w:sz w:val="20"/>
                <w:szCs w:val="20"/>
                <w:u w:val="none"/>
                <w:lang w:val="en-US" w:eastAsia="zh-CN" w:bidi="ar"/>
              </w:rPr>
              <w:t>0.91</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highlight w:val="none"/>
                <w:lang w:val="en-US" w:eastAsia="zh-CN"/>
              </w:rPr>
            </w:pPr>
          </w:p>
        </w:tc>
        <w:tc>
          <w:tcPr>
            <w:tcW w:w="46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highlight w:val="none"/>
              </w:rPr>
            </w:pPr>
          </w:p>
        </w:tc>
        <w:tc>
          <w:tcPr>
            <w:tcW w:w="211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Arial"/>
                <w:color w:val="000000"/>
                <w:kern w:val="0"/>
                <w:sz w:val="22"/>
                <w:szCs w:val="22"/>
                <w:highlight w:val="none"/>
              </w:rPr>
            </w:pPr>
          </w:p>
        </w:tc>
      </w:tr>
    </w:tbl>
    <w:tbl>
      <w:tblPr>
        <w:tblStyle w:val="6"/>
        <w:tblpPr w:leftFromText="180" w:rightFromText="180" w:vertAnchor="text" w:horzAnchor="page" w:tblpX="1156" w:tblpY="429"/>
        <w:tblOverlap w:val="never"/>
        <w:tblW w:w="15180" w:type="dxa"/>
        <w:tblInd w:w="0" w:type="dxa"/>
        <w:tblLayout w:type="fixed"/>
        <w:tblCellMar>
          <w:top w:w="0" w:type="dxa"/>
          <w:left w:w="108" w:type="dxa"/>
          <w:bottom w:w="0" w:type="dxa"/>
          <w:right w:w="108" w:type="dxa"/>
        </w:tblCellMar>
      </w:tblPr>
      <w:tblGrid>
        <w:gridCol w:w="1140"/>
        <w:gridCol w:w="6105"/>
        <w:gridCol w:w="1155"/>
        <w:gridCol w:w="6780"/>
      </w:tblGrid>
      <w:tr>
        <w:tblPrEx>
          <w:tblCellMar>
            <w:top w:w="0" w:type="dxa"/>
            <w:left w:w="108" w:type="dxa"/>
            <w:bottom w:w="0" w:type="dxa"/>
            <w:right w:w="108" w:type="dxa"/>
          </w:tblCellMar>
        </w:tblPrEx>
        <w:trPr>
          <w:trHeight w:val="808" w:hRule="atLeast"/>
        </w:trPr>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highlight w:val="none"/>
              </w:rPr>
            </w:pPr>
          </w:p>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eastAsia="zh-CN"/>
              </w:rPr>
              <w:t>人员经费合计</w:t>
            </w:r>
          </w:p>
        </w:tc>
        <w:tc>
          <w:tcPr>
            <w:tcW w:w="6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452.98</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eastAsia="zh-CN"/>
              </w:rPr>
              <w:t>公用经费合计</w:t>
            </w:r>
          </w:p>
        </w:tc>
        <w:tc>
          <w:tcPr>
            <w:tcW w:w="6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cs="Arial"/>
                <w:color w:val="000000"/>
                <w:kern w:val="0"/>
                <w:sz w:val="22"/>
                <w:szCs w:val="22"/>
                <w:highlight w:val="none"/>
              </w:rPr>
            </w:pPr>
            <w:r>
              <w:rPr>
                <w:rFonts w:hint="eastAsia" w:ascii="宋体" w:hAnsi="宋体" w:cs="宋体"/>
                <w:i w:val="0"/>
                <w:color w:val="000000"/>
                <w:kern w:val="0"/>
                <w:sz w:val="20"/>
                <w:szCs w:val="20"/>
                <w:highlight w:val="none"/>
                <w:u w:val="none"/>
                <w:lang w:val="en-US" w:eastAsia="zh-CN" w:bidi="ar"/>
              </w:rPr>
              <w:t>54.64</w:t>
            </w:r>
          </w:p>
        </w:tc>
      </w:tr>
      <w:tr>
        <w:tblPrEx>
          <w:tblCellMar>
            <w:top w:w="0" w:type="dxa"/>
            <w:left w:w="108" w:type="dxa"/>
            <w:bottom w:w="0" w:type="dxa"/>
            <w:right w:w="108" w:type="dxa"/>
          </w:tblCellMar>
        </w:tblPrEx>
        <w:trPr>
          <w:trHeight w:val="808" w:hRule="atLeast"/>
        </w:trPr>
        <w:tc>
          <w:tcPr>
            <w:tcW w:w="15180" w:type="dxa"/>
            <w:gridSpan w:val="4"/>
            <w:tcBorders>
              <w:top w:val="single" w:color="auto" w:sz="4" w:space="0"/>
              <w:left w:val="nil"/>
              <w:bottom w:val="nil"/>
              <w:right w:val="nil"/>
            </w:tcBorders>
            <w:vAlign w:val="center"/>
          </w:tcPr>
          <w:p>
            <w:pPr>
              <w:rPr>
                <w:rFonts w:hint="eastAsia"/>
              </w:rPr>
            </w:pPr>
            <w:r>
              <w:rPr>
                <w:rFonts w:hint="eastAsia"/>
                <w:sz w:val="18"/>
                <w:szCs w:val="18"/>
                <w:lang w:eastAsia="zh-CN"/>
              </w:rPr>
              <w:t>注：本表反映部门本年度一般公共预算财政拨款实际支出情况。</w:t>
            </w:r>
          </w:p>
          <w:p>
            <w:pPr>
              <w:keepNext w:val="0"/>
              <w:keepLines w:val="0"/>
              <w:widowControl/>
              <w:suppressLineNumbers w:val="0"/>
              <w:jc w:val="center"/>
              <w:textAlignment w:val="bottom"/>
              <w:rPr>
                <w:rFonts w:hint="eastAsia" w:ascii="宋体" w:hAnsi="宋体" w:cs="宋体"/>
                <w:i w:val="0"/>
                <w:color w:val="000000"/>
                <w:kern w:val="0"/>
                <w:sz w:val="20"/>
                <w:szCs w:val="20"/>
                <w:highlight w:val="none"/>
                <w:u w:val="none"/>
                <w:lang w:val="en-US" w:eastAsia="zh-CN" w:bidi="ar"/>
              </w:rPr>
            </w:pPr>
          </w:p>
        </w:tc>
      </w:tr>
    </w:tbl>
    <w:p>
      <w:pPr>
        <w:rPr>
          <w:rFonts w:hint="eastAsia" w:ascii="方正小标宋简体" w:hAnsi="宋体" w:eastAsia="方正小标宋简体" w:cs="宋体"/>
          <w:kern w:val="0"/>
          <w:sz w:val="36"/>
          <w:szCs w:val="36"/>
          <w:highlight w:val="yellow"/>
        </w:rPr>
        <w:sectPr>
          <w:pgSz w:w="16838" w:h="11906" w:orient="landscape"/>
          <w:pgMar w:top="170" w:right="283" w:bottom="57" w:left="567" w:header="851" w:footer="992" w:gutter="0"/>
          <w:pgNumType w:fmt="numberInDash"/>
          <w:cols w:space="0" w:num="1"/>
          <w:rtlGutter w:val="0"/>
          <w:docGrid w:type="lines" w:linePitch="316" w:charSpace="0"/>
        </w:sect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ind w:firstLine="13860" w:firstLineChars="6600"/>
        <w:jc w:val="both"/>
        <w:rPr>
          <w:rFonts w:hint="eastAsia"/>
        </w:rPr>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0.64</w:t>
            </w:r>
          </w:p>
        </w:tc>
        <w:tc>
          <w:tcPr>
            <w:tcW w:w="1603"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828"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0.64</w:t>
            </w:r>
          </w:p>
        </w:tc>
        <w:tc>
          <w:tcPr>
            <w:tcW w:w="1242"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p>
        </w:tc>
        <w:tc>
          <w:tcPr>
            <w:tcW w:w="1216"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0.64</w:t>
            </w:r>
          </w:p>
        </w:tc>
        <w:tc>
          <w:tcPr>
            <w:tcW w:w="806"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1.36</w:t>
            </w:r>
          </w:p>
        </w:tc>
        <w:tc>
          <w:tcPr>
            <w:tcW w:w="1560"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806"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1.36</w:t>
            </w:r>
          </w:p>
        </w:tc>
        <w:tc>
          <w:tcPr>
            <w:tcW w:w="1398" w:type="dxa"/>
            <w:tcBorders>
              <w:top w:val="nil"/>
              <w:left w:val="nil"/>
              <w:bottom w:val="single" w:color="auto" w:sz="4" w:space="0"/>
              <w:right w:val="single" w:color="auto" w:sz="4" w:space="0"/>
            </w:tcBorders>
            <w:vAlign w:val="top"/>
          </w:tcPr>
          <w:p>
            <w:pPr>
              <w:widowControl/>
              <w:ind w:firstLine="400" w:firstLineChars="200"/>
              <w:jc w:val="center"/>
              <w:rPr>
                <w:rFonts w:ascii="Arial" w:hAnsi="Arial" w:cs="Arial"/>
                <w:color w:val="000000"/>
                <w:kern w:val="0"/>
                <w:sz w:val="20"/>
                <w:szCs w:val="20"/>
              </w:rPr>
            </w:pPr>
          </w:p>
        </w:tc>
        <w:tc>
          <w:tcPr>
            <w:tcW w:w="1208"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p>
        </w:tc>
        <w:tc>
          <w:tcPr>
            <w:tcW w:w="1183"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1.36</w:t>
            </w:r>
          </w:p>
        </w:tc>
      </w:tr>
    </w:tbl>
    <w:p>
      <w:pPr>
        <w:ind w:firstLine="1050" w:firstLineChars="500"/>
        <w:rPr>
          <w:rFonts w:hint="eastAsia"/>
          <w:lang w:val="en-US" w:eastAsia="zh-CN"/>
        </w:r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pgSz w:w="16838" w:h="11906" w:orient="landscape"/>
          <w:pgMar w:top="170" w:right="283" w:bottom="57" w:left="567" w:header="851" w:footer="992" w:gutter="0"/>
          <w:pgNumType w:fmt="numberInDash"/>
          <w:cols w:space="0" w:num="1"/>
          <w:rtlGutter w:val="0"/>
          <w:docGrid w:type="lines" w:linePitch="316" w:charSpace="0"/>
        </w:sectPr>
      </w:pPr>
    </w:p>
    <w:p>
      <w:pPr>
        <w:rPr>
          <w:rFonts w:hint="eastAsia"/>
        </w:rPr>
      </w:pPr>
    </w:p>
    <w:p>
      <w:pPr>
        <w:rPr>
          <w:rFonts w:hint="eastAsia"/>
        </w:rPr>
      </w:pP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lang w:eastAsia="zh-CN"/>
        </w:rPr>
      </w:pPr>
      <w:r>
        <w:rPr>
          <w:rFonts w:hint="eastAsia"/>
          <w:lang w:eastAsia="zh-CN"/>
        </w:rPr>
        <w:t>注：本表反映部门本年度政府性基金预算财政拨款收入支出及结转和结余情况。</w:t>
      </w:r>
    </w:p>
    <w:p>
      <w:pPr>
        <w:spacing w:line="560" w:lineRule="exact"/>
        <w:ind w:firstLine="420"/>
        <w:rPr>
          <w:rFonts w:hint="eastAsia"/>
          <w:lang w:eastAsia="zh-CN"/>
        </w:rPr>
      </w:pPr>
      <w:r>
        <w:rPr>
          <w:rFonts w:hint="eastAsia"/>
          <w:lang w:eastAsia="zh-CN"/>
        </w:rPr>
        <w:t>柳州市民族宗教事务委员会没有政府性基金收入，也没有政府性基金安排的支出，故本表无数据。</w:t>
      </w:r>
      <w:bookmarkStart w:id="0" w:name="_GoBack"/>
      <w:bookmarkEnd w:id="0"/>
    </w:p>
    <w:p>
      <w:pPr>
        <w:spacing w:line="560" w:lineRule="exact"/>
        <w:ind w:firstLine="420"/>
        <w:rPr>
          <w:rFonts w:hint="eastAsia"/>
          <w:lang w:eastAsia="zh-CN"/>
        </w:rPr>
      </w:pPr>
    </w:p>
    <w:p>
      <w:pPr>
        <w:spacing w:line="560" w:lineRule="exact"/>
        <w:ind w:firstLine="420"/>
        <w:rPr>
          <w:rFonts w:hint="eastAsia"/>
          <w:lang w:eastAsia="zh-CN"/>
        </w:rPr>
      </w:pPr>
    </w:p>
    <w:p>
      <w:pPr>
        <w:spacing w:line="560" w:lineRule="exact"/>
        <w:ind w:firstLine="420"/>
        <w:rPr>
          <w:rFonts w:hint="eastAsia"/>
          <w:lang w:eastAsia="zh-CN"/>
        </w:rPr>
      </w:pPr>
    </w:p>
    <w:p>
      <w:pPr>
        <w:spacing w:line="560" w:lineRule="exact"/>
        <w:ind w:firstLine="420"/>
        <w:rPr>
          <w:rFonts w:hint="eastAsia"/>
          <w:lang w:eastAsia="zh-CN"/>
        </w:rPr>
      </w:pPr>
    </w:p>
    <w:p>
      <w:pPr>
        <w:spacing w:line="560" w:lineRule="exact"/>
        <w:rPr>
          <w:rFonts w:hint="eastAsia"/>
          <w:lang w:eastAsia="zh-CN"/>
        </w:rPr>
        <w:sectPr>
          <w:pgSz w:w="16838" w:h="11906" w:orient="landscape"/>
          <w:pgMar w:top="170" w:right="283" w:bottom="57" w:left="567" w:header="851" w:footer="992" w:gutter="0"/>
          <w:pgNumType w:fmt="numberInDash"/>
          <w:cols w:space="0" w:num="1"/>
          <w:rtlGutter w:val="0"/>
          <w:docGrid w:type="lines" w:linePitch="316" w:charSpace="0"/>
        </w:sectPr>
      </w:pPr>
    </w:p>
    <w:p>
      <w:pPr>
        <w:spacing w:line="56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柳州市民族宗教事务委员会</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一、</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b w:val="0"/>
          <w:bCs/>
          <w:kern w:val="0"/>
          <w:sz w:val="32"/>
          <w:szCs w:val="32"/>
          <w:highlight w:val="none"/>
        </w:rPr>
      </w:pPr>
      <w:r>
        <w:rPr>
          <w:rFonts w:hint="eastAsia" w:ascii="仿宋_GB2312" w:eastAsia="仿宋_GB2312" w:cs="仿宋_GB2312"/>
          <w:b/>
          <w:kern w:val="0"/>
          <w:sz w:val="32"/>
          <w:szCs w:val="32"/>
          <w:highlight w:val="none"/>
        </w:rPr>
        <w:t xml:space="preserve"> </w:t>
      </w:r>
      <w:r>
        <w:rPr>
          <w:rFonts w:hint="eastAsia" w:ascii="仿宋_GB2312" w:eastAsia="仿宋_GB2312" w:cs="仿宋_GB2312"/>
          <w:b w:val="0"/>
          <w:bCs/>
          <w:kern w:val="0"/>
          <w:sz w:val="32"/>
          <w:szCs w:val="32"/>
          <w:highlight w:val="none"/>
          <w:lang w:eastAsia="zh-CN"/>
        </w:rPr>
        <w:t>201</w:t>
      </w:r>
      <w:r>
        <w:rPr>
          <w:rFonts w:hint="eastAsia" w:ascii="仿宋_GB2312" w:eastAsia="仿宋_GB2312" w:cs="仿宋_GB2312"/>
          <w:b w:val="0"/>
          <w:bCs/>
          <w:kern w:val="0"/>
          <w:sz w:val="32"/>
          <w:szCs w:val="32"/>
          <w:highlight w:val="none"/>
          <w:lang w:val="en-US" w:eastAsia="zh-CN"/>
        </w:rPr>
        <w:t>9</w:t>
      </w:r>
      <w:r>
        <w:rPr>
          <w:rFonts w:hint="eastAsia" w:ascii="仿宋_GB2312" w:eastAsia="仿宋_GB2312" w:cs="仿宋_GB2312"/>
          <w:b w:val="0"/>
          <w:bCs/>
          <w:kern w:val="0"/>
          <w:sz w:val="32"/>
          <w:szCs w:val="32"/>
          <w:highlight w:val="none"/>
        </w:rPr>
        <w:t>年度收入总计</w:t>
      </w:r>
      <w:r>
        <w:rPr>
          <w:rFonts w:hint="eastAsia" w:ascii="仿宋_GB2312" w:eastAsia="仿宋_GB2312" w:cs="仿宋_GB2312"/>
          <w:b w:val="0"/>
          <w:bCs/>
          <w:kern w:val="0"/>
          <w:sz w:val="32"/>
          <w:szCs w:val="32"/>
          <w:highlight w:val="none"/>
          <w:lang w:val="en-US" w:eastAsia="zh-CN"/>
        </w:rPr>
        <w:t>872.3</w:t>
      </w:r>
      <w:r>
        <w:rPr>
          <w:rFonts w:hint="eastAsia" w:ascii="仿宋_GB2312" w:eastAsia="仿宋_GB2312" w:cs="仿宋_GB2312"/>
          <w:b w:val="0"/>
          <w:bCs/>
          <w:kern w:val="0"/>
          <w:sz w:val="32"/>
          <w:szCs w:val="32"/>
          <w:highlight w:val="none"/>
        </w:rPr>
        <w:t>万元，支出总计</w:t>
      </w:r>
      <w:r>
        <w:rPr>
          <w:rFonts w:hint="eastAsia" w:ascii="仿宋_GB2312" w:eastAsia="仿宋_GB2312" w:cs="仿宋_GB2312"/>
          <w:b w:val="0"/>
          <w:bCs/>
          <w:kern w:val="0"/>
          <w:sz w:val="32"/>
          <w:szCs w:val="32"/>
          <w:highlight w:val="none"/>
          <w:lang w:val="en-US" w:eastAsia="zh-CN"/>
        </w:rPr>
        <w:t>902.84</w:t>
      </w:r>
      <w:r>
        <w:rPr>
          <w:rFonts w:hint="eastAsia" w:ascii="仿宋_GB2312" w:eastAsia="仿宋_GB2312" w:cs="仿宋_GB2312"/>
          <w:b w:val="0"/>
          <w:bCs/>
          <w:kern w:val="0"/>
          <w:sz w:val="32"/>
          <w:szCs w:val="32"/>
          <w:highlight w:val="none"/>
        </w:rPr>
        <w:t>万元，与</w:t>
      </w:r>
      <w:r>
        <w:rPr>
          <w:rFonts w:hint="eastAsia" w:ascii="仿宋_GB2312" w:eastAsia="仿宋_GB2312" w:cs="仿宋_GB2312"/>
          <w:b w:val="0"/>
          <w:bCs/>
          <w:kern w:val="0"/>
          <w:sz w:val="32"/>
          <w:szCs w:val="32"/>
          <w:highlight w:val="none"/>
          <w:lang w:eastAsia="zh-CN"/>
        </w:rPr>
        <w:t>201</w:t>
      </w:r>
      <w:r>
        <w:rPr>
          <w:rFonts w:hint="eastAsia" w:ascii="仿宋_GB2312" w:eastAsia="仿宋_GB2312" w:cs="仿宋_GB2312"/>
          <w:b w:val="0"/>
          <w:bCs/>
          <w:kern w:val="0"/>
          <w:sz w:val="32"/>
          <w:szCs w:val="32"/>
          <w:highlight w:val="none"/>
          <w:lang w:val="en-US" w:eastAsia="zh-CN"/>
        </w:rPr>
        <w:t>8</w:t>
      </w:r>
      <w:r>
        <w:rPr>
          <w:rFonts w:hint="eastAsia" w:ascii="仿宋_GB2312" w:eastAsia="仿宋_GB2312" w:cs="仿宋_GB2312"/>
          <w:b w:val="0"/>
          <w:bCs/>
          <w:kern w:val="0"/>
          <w:sz w:val="32"/>
          <w:szCs w:val="32"/>
          <w:highlight w:val="none"/>
        </w:rPr>
        <w:t>年相比，收入</w:t>
      </w:r>
      <w:r>
        <w:rPr>
          <w:rFonts w:hint="eastAsia" w:ascii="仿宋_GB2312" w:eastAsia="仿宋_GB2312" w:cs="仿宋_GB2312"/>
          <w:b w:val="0"/>
          <w:bCs/>
          <w:kern w:val="0"/>
          <w:sz w:val="32"/>
          <w:szCs w:val="32"/>
          <w:highlight w:val="none"/>
          <w:lang w:eastAsia="zh-CN"/>
        </w:rPr>
        <w:t>减少</w:t>
      </w:r>
      <w:r>
        <w:rPr>
          <w:rFonts w:hint="eastAsia" w:ascii="仿宋_GB2312" w:eastAsia="仿宋_GB2312" w:cs="仿宋_GB2312"/>
          <w:b w:val="0"/>
          <w:bCs/>
          <w:kern w:val="0"/>
          <w:sz w:val="32"/>
          <w:szCs w:val="32"/>
          <w:highlight w:val="none"/>
          <w:lang w:val="en-US" w:eastAsia="zh-CN"/>
        </w:rPr>
        <w:t>32.42万元</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下降</w:t>
      </w:r>
      <w:r>
        <w:rPr>
          <w:rFonts w:hint="eastAsia" w:ascii="仿宋_GB2312" w:eastAsia="仿宋_GB2312" w:cs="仿宋_GB2312"/>
          <w:b w:val="0"/>
          <w:bCs/>
          <w:kern w:val="0"/>
          <w:sz w:val="32"/>
          <w:szCs w:val="32"/>
          <w:highlight w:val="none"/>
          <w:lang w:val="en-US" w:eastAsia="zh-CN"/>
        </w:rPr>
        <w:t>3.58</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；支出</w:t>
      </w:r>
      <w:r>
        <w:rPr>
          <w:rFonts w:hint="eastAsia" w:ascii="仿宋_GB2312" w:eastAsia="仿宋_GB2312" w:cs="仿宋_GB2312"/>
          <w:b w:val="0"/>
          <w:bCs/>
          <w:kern w:val="0"/>
          <w:sz w:val="32"/>
          <w:szCs w:val="32"/>
          <w:highlight w:val="none"/>
        </w:rPr>
        <w:t>增</w:t>
      </w:r>
      <w:r>
        <w:rPr>
          <w:rFonts w:hint="eastAsia" w:ascii="仿宋_GB2312" w:eastAsia="仿宋_GB2312" w:cs="仿宋_GB2312"/>
          <w:b w:val="0"/>
          <w:bCs/>
          <w:kern w:val="0"/>
          <w:sz w:val="32"/>
          <w:szCs w:val="32"/>
          <w:highlight w:val="none"/>
          <w:lang w:eastAsia="zh-CN"/>
        </w:rPr>
        <w:t>加</w:t>
      </w:r>
      <w:r>
        <w:rPr>
          <w:rFonts w:hint="eastAsia" w:ascii="仿宋_GB2312" w:eastAsia="仿宋_GB2312" w:cs="仿宋_GB2312"/>
          <w:b w:val="0"/>
          <w:bCs/>
          <w:kern w:val="0"/>
          <w:sz w:val="32"/>
          <w:szCs w:val="32"/>
          <w:highlight w:val="none"/>
          <w:lang w:val="en-US" w:eastAsia="zh-CN"/>
        </w:rPr>
        <w:t>88.51</w:t>
      </w:r>
      <w:r>
        <w:rPr>
          <w:rFonts w:hint="eastAsia" w:ascii="仿宋_GB2312" w:eastAsia="仿宋_GB2312" w:cs="仿宋_GB2312"/>
          <w:b w:val="0"/>
          <w:bCs/>
          <w:kern w:val="0"/>
          <w:sz w:val="32"/>
          <w:szCs w:val="32"/>
          <w:highlight w:val="none"/>
          <w:lang w:val="en-US" w:eastAsia="zh-CN"/>
        </w:rPr>
        <w:t>万元</w:t>
      </w:r>
      <w:r>
        <w:rPr>
          <w:rFonts w:hint="eastAsia" w:ascii="仿宋_GB2312" w:eastAsia="仿宋_GB2312" w:cs="仿宋_GB2312"/>
          <w:b w:val="0"/>
          <w:bCs/>
          <w:kern w:val="0"/>
          <w:sz w:val="32"/>
          <w:szCs w:val="32"/>
          <w:highlight w:val="none"/>
          <w:lang w:eastAsia="zh-CN"/>
        </w:rPr>
        <w:t>；增长</w:t>
      </w:r>
      <w:r>
        <w:rPr>
          <w:rFonts w:hint="eastAsia" w:ascii="仿宋_GB2312" w:eastAsia="仿宋_GB2312" w:cs="仿宋_GB2312"/>
          <w:b w:val="0"/>
          <w:bCs/>
          <w:kern w:val="0"/>
          <w:sz w:val="32"/>
          <w:szCs w:val="32"/>
          <w:highlight w:val="none"/>
          <w:lang w:val="en-US" w:eastAsia="zh-CN"/>
        </w:rPr>
        <w:t>10.87</w:t>
      </w: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lang w:eastAsia="zh-CN"/>
        </w:rPr>
        <w:t>二、</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val="0"/>
          <w:bCs/>
          <w:kern w:val="0"/>
          <w:sz w:val="32"/>
          <w:szCs w:val="32"/>
          <w:highlight w:val="none"/>
        </w:rPr>
        <w:t>本年收入总计</w:t>
      </w:r>
      <w:r>
        <w:rPr>
          <w:rFonts w:hint="eastAsia" w:ascii="仿宋_GB2312" w:eastAsia="仿宋_GB2312" w:cs="仿宋_GB2312"/>
          <w:b w:val="0"/>
          <w:bCs/>
          <w:kern w:val="0"/>
          <w:sz w:val="32"/>
          <w:szCs w:val="32"/>
          <w:highlight w:val="none"/>
          <w:lang w:val="en-US" w:eastAsia="zh-CN"/>
        </w:rPr>
        <w:t>872.3</w:t>
      </w:r>
      <w:r>
        <w:rPr>
          <w:rFonts w:hint="eastAsia" w:ascii="仿宋_GB2312" w:eastAsia="仿宋_GB2312" w:cs="仿宋_GB2312"/>
          <w:b w:val="0"/>
          <w:bCs/>
          <w:kern w:val="0"/>
          <w:sz w:val="32"/>
          <w:szCs w:val="32"/>
          <w:highlight w:val="none"/>
        </w:rPr>
        <w:t>万元 ，其中：</w:t>
      </w:r>
      <w:r>
        <w:rPr>
          <w:rFonts w:hint="eastAsia" w:ascii="仿宋_GB2312" w:eastAsia="仿宋_GB2312" w:cs="仿宋_GB2312"/>
          <w:b w:val="0"/>
          <w:bCs/>
          <w:kern w:val="0"/>
          <w:sz w:val="32"/>
          <w:szCs w:val="32"/>
          <w:highlight w:val="none"/>
          <w:lang w:eastAsia="zh-CN"/>
        </w:rPr>
        <w:t>一般公共预算财政拨款</w:t>
      </w:r>
      <w:r>
        <w:rPr>
          <w:rFonts w:hint="eastAsia" w:ascii="仿宋_GB2312" w:eastAsia="仿宋_GB2312" w:cs="仿宋_GB2312"/>
          <w:b w:val="0"/>
          <w:bCs/>
          <w:kern w:val="0"/>
          <w:sz w:val="32"/>
          <w:szCs w:val="32"/>
          <w:highlight w:val="none"/>
        </w:rPr>
        <w:t>收入</w:t>
      </w:r>
      <w:r>
        <w:rPr>
          <w:rFonts w:hint="eastAsia" w:ascii="仿宋_GB2312" w:eastAsia="仿宋_GB2312" w:cs="仿宋_GB2312"/>
          <w:b w:val="0"/>
          <w:bCs/>
          <w:kern w:val="0"/>
          <w:sz w:val="32"/>
          <w:szCs w:val="32"/>
          <w:highlight w:val="none"/>
          <w:lang w:val="en-US" w:eastAsia="zh-CN"/>
        </w:rPr>
        <w:t>739.49</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84.77%</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政府基金预算财政拨款收入</w:t>
      </w:r>
      <w:r>
        <w:rPr>
          <w:rFonts w:hint="eastAsia" w:ascii="仿宋_GB2312" w:eastAsia="仿宋_GB2312" w:cs="仿宋_GB2312"/>
          <w:b w:val="0"/>
          <w:bCs/>
          <w:kern w:val="0"/>
          <w:sz w:val="32"/>
          <w:szCs w:val="32"/>
          <w:highlight w:val="none"/>
          <w:lang w:val="en-US" w:eastAsia="zh-CN"/>
        </w:rPr>
        <w:t>0万元；占比0%；</w:t>
      </w:r>
      <w:r>
        <w:rPr>
          <w:rFonts w:hint="eastAsia" w:ascii="仿宋_GB2312" w:eastAsia="仿宋_GB2312" w:cs="仿宋_GB2312"/>
          <w:b w:val="0"/>
          <w:bCs/>
          <w:kern w:val="0"/>
          <w:sz w:val="32"/>
          <w:szCs w:val="32"/>
          <w:highlight w:val="none"/>
        </w:rPr>
        <w:t>上级补助收入</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 xml:space="preserve"> ；事业收入</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 xml:space="preserve"> ；事业单位经营收入</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；其他收入</w:t>
      </w:r>
      <w:r>
        <w:rPr>
          <w:rFonts w:hint="eastAsia" w:ascii="仿宋_GB2312" w:eastAsia="仿宋_GB2312" w:cs="仿宋_GB2312"/>
          <w:b w:val="0"/>
          <w:bCs/>
          <w:kern w:val="0"/>
          <w:sz w:val="32"/>
          <w:szCs w:val="32"/>
          <w:highlight w:val="none"/>
          <w:lang w:val="en-US" w:eastAsia="zh-CN"/>
        </w:rPr>
        <w:t>0</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lang w:eastAsia="zh-CN"/>
        </w:rPr>
        <w:t>三、</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w:t>
      </w:r>
      <w:r>
        <w:rPr>
          <w:rFonts w:hint="eastAsia" w:ascii="仿宋_GB2312" w:eastAsia="仿宋_GB2312" w:cs="仿宋_GB2312"/>
          <w:b/>
          <w:kern w:val="0"/>
          <w:sz w:val="32"/>
          <w:szCs w:val="32"/>
          <w:highlight w:val="none"/>
          <w:lang w:eastAsia="zh-CN"/>
        </w:rPr>
        <w:t>支出</w:t>
      </w:r>
      <w:r>
        <w:rPr>
          <w:rFonts w:hint="eastAsia" w:ascii="仿宋_GB2312" w:eastAsia="仿宋_GB2312" w:cs="仿宋_GB2312"/>
          <w:b/>
          <w:kern w:val="0"/>
          <w:sz w:val="32"/>
          <w:szCs w:val="32"/>
          <w:highlight w:val="none"/>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rPr>
        <w:t>本年支出合计</w:t>
      </w:r>
      <w:r>
        <w:rPr>
          <w:rFonts w:hint="eastAsia" w:ascii="仿宋_GB2312" w:eastAsia="仿宋_GB2312" w:cs="仿宋_GB2312"/>
          <w:b w:val="0"/>
          <w:bCs/>
          <w:kern w:val="0"/>
          <w:sz w:val="32"/>
          <w:szCs w:val="32"/>
          <w:highlight w:val="none"/>
          <w:lang w:val="en-US" w:eastAsia="zh-CN"/>
        </w:rPr>
        <w:t>902.84</w:t>
      </w:r>
      <w:r>
        <w:rPr>
          <w:rFonts w:hint="eastAsia" w:ascii="仿宋_GB2312" w:eastAsia="仿宋_GB2312" w:cs="仿宋_GB2312"/>
          <w:b w:val="0"/>
          <w:bCs/>
          <w:kern w:val="0"/>
          <w:sz w:val="32"/>
          <w:szCs w:val="32"/>
          <w:highlight w:val="none"/>
        </w:rPr>
        <w:t xml:space="preserve">万元，其中：基本支出 </w:t>
      </w:r>
      <w:r>
        <w:rPr>
          <w:rFonts w:hint="eastAsia" w:ascii="仿宋_GB2312" w:eastAsia="仿宋_GB2312" w:cs="仿宋_GB2312"/>
          <w:b w:val="0"/>
          <w:bCs/>
          <w:kern w:val="0"/>
          <w:sz w:val="32"/>
          <w:szCs w:val="32"/>
          <w:highlight w:val="none"/>
          <w:lang w:val="en-US" w:eastAsia="zh-CN"/>
        </w:rPr>
        <w:t>507.62</w:t>
      </w:r>
      <w:r>
        <w:rPr>
          <w:rFonts w:hint="eastAsia" w:ascii="仿宋_GB2312" w:eastAsia="仿宋_GB2312" w:cs="仿宋_GB2312"/>
          <w:b w:val="0"/>
          <w:bCs/>
          <w:kern w:val="0"/>
          <w:sz w:val="32"/>
          <w:szCs w:val="32"/>
          <w:highlight w:val="none"/>
        </w:rPr>
        <w:t>万元，占</w:t>
      </w:r>
      <w:r>
        <w:rPr>
          <w:rFonts w:hint="eastAsia" w:ascii="仿宋_GB2312" w:eastAsia="仿宋_GB2312" w:cs="仿宋_GB2312"/>
          <w:b w:val="0"/>
          <w:bCs/>
          <w:kern w:val="0"/>
          <w:sz w:val="32"/>
          <w:szCs w:val="32"/>
          <w:highlight w:val="none"/>
          <w:lang w:val="en-US" w:eastAsia="zh-CN"/>
        </w:rPr>
        <w:t>56.22</w:t>
      </w:r>
      <w:r>
        <w:rPr>
          <w:rFonts w:hint="eastAsia" w:ascii="仿宋_GB2312" w:eastAsia="仿宋_GB2312" w:cs="仿宋_GB2312"/>
          <w:b w:val="0"/>
          <w:bCs/>
          <w:kern w:val="0"/>
          <w:sz w:val="32"/>
          <w:szCs w:val="32"/>
          <w:highlight w:val="none"/>
        </w:rPr>
        <w:t xml:space="preserve">%；项目支出 </w:t>
      </w:r>
      <w:r>
        <w:rPr>
          <w:rFonts w:hint="eastAsia" w:ascii="仿宋_GB2312" w:eastAsia="仿宋_GB2312" w:cs="仿宋_GB2312"/>
          <w:b w:val="0"/>
          <w:bCs/>
          <w:kern w:val="0"/>
          <w:sz w:val="32"/>
          <w:szCs w:val="32"/>
          <w:highlight w:val="none"/>
          <w:lang w:val="en-US" w:eastAsia="zh-CN"/>
        </w:rPr>
        <w:t>395.22</w:t>
      </w:r>
      <w:r>
        <w:rPr>
          <w:rFonts w:hint="eastAsia" w:ascii="仿宋_GB2312" w:eastAsia="仿宋_GB2312" w:cs="仿宋_GB2312"/>
          <w:b w:val="0"/>
          <w:bCs/>
          <w:kern w:val="0"/>
          <w:sz w:val="32"/>
          <w:szCs w:val="32"/>
          <w:highlight w:val="none"/>
        </w:rPr>
        <w:t>万元</w:t>
      </w: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 w:val="0"/>
          <w:bCs/>
          <w:kern w:val="0"/>
          <w:sz w:val="32"/>
          <w:szCs w:val="32"/>
          <w:highlight w:val="none"/>
        </w:rPr>
        <w:t>占</w:t>
      </w:r>
      <w:r>
        <w:rPr>
          <w:rFonts w:hint="eastAsia" w:ascii="仿宋_GB2312" w:eastAsia="仿宋_GB2312" w:cs="仿宋_GB2312"/>
          <w:b w:val="0"/>
          <w:bCs/>
          <w:kern w:val="0"/>
          <w:sz w:val="32"/>
          <w:szCs w:val="32"/>
          <w:highlight w:val="none"/>
          <w:lang w:val="en-US" w:eastAsia="zh-CN"/>
        </w:rPr>
        <w:t>43.78</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bCs w:val="0"/>
          <w:kern w:val="0"/>
          <w:sz w:val="32"/>
          <w:szCs w:val="32"/>
          <w:highlight w:val="none"/>
          <w:lang w:eastAsia="zh-CN"/>
        </w:rPr>
        <w:t>四、</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w:t>
      </w:r>
      <w:r>
        <w:rPr>
          <w:rFonts w:hint="eastAsia" w:ascii="仿宋_GB2312" w:eastAsia="仿宋_GB2312" w:cs="仿宋_GB2312"/>
          <w:b/>
          <w:kern w:val="0"/>
          <w:sz w:val="32"/>
          <w:szCs w:val="32"/>
          <w:highlight w:val="none"/>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年度财政拨款收</w:t>
      </w:r>
      <w:r>
        <w:rPr>
          <w:rFonts w:hint="eastAsia" w:ascii="仿宋_GB2312" w:eastAsia="仿宋_GB2312" w:cs="仿宋_GB2312"/>
          <w:bCs/>
          <w:kern w:val="0"/>
          <w:sz w:val="32"/>
          <w:szCs w:val="32"/>
          <w:highlight w:val="none"/>
          <w:lang w:eastAsia="zh-CN"/>
        </w:rPr>
        <w:t>入</w:t>
      </w:r>
      <w:r>
        <w:rPr>
          <w:rFonts w:hint="eastAsia" w:ascii="仿宋_GB2312" w:eastAsia="仿宋_GB2312" w:cs="仿宋_GB2312"/>
          <w:bCs/>
          <w:kern w:val="0"/>
          <w:sz w:val="32"/>
          <w:szCs w:val="32"/>
          <w:highlight w:val="none"/>
        </w:rPr>
        <w:t>总决算</w:t>
      </w:r>
      <w:r>
        <w:rPr>
          <w:rFonts w:hint="eastAsia" w:ascii="仿宋_GB2312" w:eastAsia="仿宋_GB2312" w:cs="仿宋_GB2312"/>
          <w:bCs/>
          <w:kern w:val="0"/>
          <w:sz w:val="32"/>
          <w:szCs w:val="32"/>
          <w:highlight w:val="none"/>
          <w:lang w:val="en-US" w:eastAsia="zh-CN"/>
        </w:rPr>
        <w:t>872.3</w:t>
      </w:r>
      <w:r>
        <w:rPr>
          <w:rFonts w:hint="eastAsia" w:ascii="仿宋_GB2312" w:eastAsia="仿宋_GB2312" w:cs="仿宋_GB2312"/>
          <w:bCs/>
          <w:kern w:val="0"/>
          <w:sz w:val="32"/>
          <w:szCs w:val="32"/>
          <w:highlight w:val="none"/>
        </w:rPr>
        <w:t>万元，财政拨款支出总决算</w:t>
      </w:r>
      <w:r>
        <w:rPr>
          <w:rFonts w:hint="eastAsia" w:ascii="仿宋_GB2312" w:eastAsia="仿宋_GB2312" w:cs="仿宋_GB2312"/>
          <w:bCs/>
          <w:kern w:val="0"/>
          <w:sz w:val="32"/>
          <w:szCs w:val="32"/>
          <w:highlight w:val="none"/>
          <w:lang w:val="en-US" w:eastAsia="zh-CN"/>
        </w:rPr>
        <w:t>902.84</w:t>
      </w:r>
      <w:r>
        <w:rPr>
          <w:rFonts w:hint="eastAsia" w:ascii="仿宋_GB2312" w:eastAsia="仿宋_GB2312" w:cs="仿宋_GB2312"/>
          <w:bCs/>
          <w:kern w:val="0"/>
          <w:sz w:val="32"/>
          <w:szCs w:val="32"/>
          <w:highlight w:val="none"/>
        </w:rPr>
        <w:t>万元。与201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年相比，财政拨款收入总计</w:t>
      </w:r>
      <w:r>
        <w:rPr>
          <w:rFonts w:hint="eastAsia" w:ascii="仿宋_GB2312" w:eastAsia="仿宋_GB2312" w:cs="仿宋_GB2312"/>
          <w:bCs/>
          <w:kern w:val="0"/>
          <w:sz w:val="32"/>
          <w:szCs w:val="32"/>
          <w:highlight w:val="none"/>
          <w:lang w:eastAsia="zh-CN"/>
        </w:rPr>
        <w:t>减少</w:t>
      </w:r>
      <w:r>
        <w:rPr>
          <w:rFonts w:hint="eastAsia" w:ascii="仿宋_GB2312" w:eastAsia="仿宋_GB2312" w:cs="仿宋_GB2312"/>
          <w:bCs/>
          <w:kern w:val="0"/>
          <w:sz w:val="32"/>
          <w:szCs w:val="32"/>
          <w:highlight w:val="none"/>
          <w:lang w:val="en-US" w:eastAsia="zh-CN"/>
        </w:rPr>
        <w:t>32.42万元</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下降</w:t>
      </w:r>
      <w:r>
        <w:rPr>
          <w:rFonts w:hint="eastAsia" w:ascii="仿宋_GB2312" w:eastAsia="仿宋_GB2312" w:cs="仿宋_GB2312"/>
          <w:bCs/>
          <w:kern w:val="0"/>
          <w:sz w:val="32"/>
          <w:szCs w:val="32"/>
          <w:highlight w:val="none"/>
          <w:lang w:val="en-US" w:eastAsia="zh-CN"/>
        </w:rPr>
        <w:t>3.58</w:t>
      </w:r>
      <w:r>
        <w:rPr>
          <w:rFonts w:hint="eastAsia" w:ascii="仿宋_GB2312" w:eastAsia="仿宋_GB2312" w:cs="仿宋_GB2312"/>
          <w:bCs/>
          <w:kern w:val="0"/>
          <w:sz w:val="32"/>
          <w:szCs w:val="32"/>
          <w:highlight w:val="none"/>
        </w:rPr>
        <w:t>%；财政拨款支出总计</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88.51万元</w:t>
      </w:r>
      <w:r>
        <w:rPr>
          <w:rFonts w:hint="eastAsia" w:ascii="仿宋_GB2312" w:eastAsia="仿宋_GB2312" w:cs="仿宋_GB2312"/>
          <w:b w:val="0"/>
          <w:bCs/>
          <w:kern w:val="0"/>
          <w:sz w:val="32"/>
          <w:szCs w:val="32"/>
          <w:highlight w:val="none"/>
          <w:lang w:eastAsia="zh-CN"/>
        </w:rPr>
        <w:t>；增长</w:t>
      </w:r>
      <w:r>
        <w:rPr>
          <w:rFonts w:hint="eastAsia" w:ascii="仿宋_GB2312" w:eastAsia="仿宋_GB2312" w:cs="仿宋_GB2312"/>
          <w:b w:val="0"/>
          <w:bCs/>
          <w:kern w:val="0"/>
          <w:sz w:val="32"/>
          <w:szCs w:val="32"/>
          <w:highlight w:val="none"/>
          <w:lang w:val="en-US" w:eastAsia="zh-CN"/>
        </w:rPr>
        <w:t>10.87</w:t>
      </w:r>
      <w:r>
        <w:rPr>
          <w:rFonts w:hint="eastAsia" w:ascii="仿宋_GB2312" w:eastAsia="仿宋_GB2312" w:cs="仿宋_GB2312"/>
          <w:b w:val="0"/>
          <w:bCs/>
          <w:kern w:val="0"/>
          <w:sz w:val="32"/>
          <w:szCs w:val="32"/>
          <w:highlight w:val="none"/>
          <w:lang w:eastAsia="zh-CN"/>
        </w:rPr>
        <w:t>%</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3" w:firstLineChars="200"/>
        <w:jc w:val="left"/>
        <w:rPr>
          <w:rFonts w:hint="eastAsia" w:eastAsia="仿宋_GB2312"/>
          <w:b/>
          <w:kern w:val="0"/>
          <w:sz w:val="32"/>
          <w:szCs w:val="32"/>
          <w:highlight w:val="none"/>
        </w:rPr>
      </w:pPr>
      <w:r>
        <w:rPr>
          <w:rFonts w:hint="eastAsia" w:ascii="仿宋_GB2312" w:eastAsia="仿宋_GB2312" w:cs="仿宋_GB2312"/>
          <w:b/>
          <w:bCs w:val="0"/>
          <w:kern w:val="0"/>
          <w:sz w:val="32"/>
          <w:szCs w:val="32"/>
          <w:highlight w:val="none"/>
        </w:rPr>
        <w:t>五</w:t>
      </w:r>
      <w:r>
        <w:rPr>
          <w:rFonts w:hint="eastAsia" w:ascii="仿宋_GB2312" w:eastAsia="仿宋_GB2312" w:cs="仿宋_GB2312"/>
          <w:b/>
          <w:bCs w:val="0"/>
          <w:kern w:val="0"/>
          <w:sz w:val="32"/>
          <w:szCs w:val="32"/>
          <w:highlight w:val="none"/>
          <w:lang w:eastAsia="zh-CN"/>
        </w:rPr>
        <w:t>、</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eastAsia="仿宋_GB2312"/>
          <w:b/>
          <w:kern w:val="0"/>
          <w:sz w:val="32"/>
          <w:szCs w:val="32"/>
          <w:highlight w:val="none"/>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val="en-US" w:eastAsia="zh-CN"/>
        </w:rPr>
        <w:t>902.84</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88.51</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10.87</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年度财政拨款支出</w:t>
      </w:r>
      <w:r>
        <w:rPr>
          <w:rFonts w:hint="eastAsia" w:ascii="仿宋_GB2312" w:eastAsia="仿宋_GB2312" w:cs="仿宋_GB2312"/>
          <w:bCs/>
          <w:kern w:val="0"/>
          <w:sz w:val="32"/>
          <w:szCs w:val="32"/>
          <w:highlight w:val="none"/>
          <w:lang w:val="en-US" w:eastAsia="zh-CN"/>
        </w:rPr>
        <w:t>902.84</w:t>
      </w:r>
      <w:r>
        <w:rPr>
          <w:rFonts w:hint="eastAsia" w:ascii="仿宋_GB2312" w:eastAsia="仿宋_GB2312" w:cs="仿宋_GB2312"/>
          <w:bCs/>
          <w:kern w:val="0"/>
          <w:sz w:val="32"/>
          <w:szCs w:val="32"/>
          <w:highlight w:val="none"/>
        </w:rPr>
        <w:t>万元，主要用于以下方面：一般公共服务（类）支出</w:t>
      </w:r>
      <w:r>
        <w:rPr>
          <w:rFonts w:hint="eastAsia" w:ascii="仿宋_GB2312" w:eastAsia="仿宋_GB2312" w:cs="仿宋_GB2312"/>
          <w:bCs/>
          <w:kern w:val="0"/>
          <w:sz w:val="32"/>
          <w:szCs w:val="32"/>
          <w:highlight w:val="none"/>
          <w:lang w:val="en-US" w:eastAsia="zh-CN"/>
        </w:rPr>
        <w:t>739.49</w:t>
      </w:r>
      <w:r>
        <w:rPr>
          <w:rFonts w:hint="eastAsia" w:ascii="仿宋_GB2312" w:eastAsia="仿宋_GB2312" w:cs="仿宋_GB2312"/>
          <w:bCs/>
          <w:kern w:val="0"/>
          <w:sz w:val="32"/>
          <w:szCs w:val="32"/>
          <w:highlight w:val="none"/>
        </w:rPr>
        <w:t>万元， 占</w:t>
      </w:r>
      <w:r>
        <w:rPr>
          <w:rFonts w:hint="eastAsia" w:ascii="仿宋_GB2312" w:eastAsia="仿宋_GB2312" w:cs="仿宋_GB2312"/>
          <w:bCs/>
          <w:kern w:val="0"/>
          <w:sz w:val="32"/>
          <w:szCs w:val="32"/>
          <w:highlight w:val="none"/>
          <w:lang w:val="en-US" w:eastAsia="zh-CN"/>
        </w:rPr>
        <w:t>81.91</w:t>
      </w:r>
      <w:r>
        <w:rPr>
          <w:rFonts w:hint="eastAsia" w:ascii="仿宋_GB2312" w:eastAsia="仿宋_GB2312" w:cs="仿宋_GB2312"/>
          <w:bCs/>
          <w:kern w:val="0"/>
          <w:sz w:val="32"/>
          <w:szCs w:val="32"/>
          <w:highlight w:val="none"/>
        </w:rPr>
        <w:t>%；社会保障和就业（类）支出</w:t>
      </w:r>
      <w:r>
        <w:rPr>
          <w:rFonts w:hint="eastAsia" w:ascii="仿宋_GB2312" w:eastAsia="仿宋_GB2312" w:cs="仿宋_GB2312"/>
          <w:bCs/>
          <w:kern w:val="0"/>
          <w:sz w:val="32"/>
          <w:szCs w:val="32"/>
          <w:highlight w:val="none"/>
          <w:lang w:val="en-US" w:eastAsia="zh-CN"/>
        </w:rPr>
        <w:t>77.92</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8.63</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医疗卫生与计划生育支出</w:t>
      </w:r>
      <w:r>
        <w:rPr>
          <w:rFonts w:hint="eastAsia" w:ascii="仿宋_GB2312" w:eastAsia="仿宋_GB2312" w:cs="仿宋_GB2312"/>
          <w:bCs/>
          <w:kern w:val="0"/>
          <w:sz w:val="32"/>
          <w:szCs w:val="32"/>
          <w:highlight w:val="none"/>
        </w:rPr>
        <w:t>（类）支出</w:t>
      </w:r>
      <w:r>
        <w:rPr>
          <w:rFonts w:hint="eastAsia" w:ascii="仿宋_GB2312" w:eastAsia="仿宋_GB2312" w:cs="仿宋_GB2312"/>
          <w:bCs/>
          <w:kern w:val="0"/>
          <w:sz w:val="32"/>
          <w:szCs w:val="32"/>
          <w:highlight w:val="none"/>
          <w:lang w:val="en-US" w:eastAsia="zh-CN"/>
        </w:rPr>
        <w:t>50.90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5.64</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农林水（类）支出</w:t>
      </w:r>
      <w:r>
        <w:rPr>
          <w:rFonts w:hint="eastAsia" w:ascii="仿宋_GB2312" w:eastAsia="仿宋_GB2312" w:cs="仿宋_GB2312"/>
          <w:bCs/>
          <w:kern w:val="0"/>
          <w:sz w:val="32"/>
          <w:szCs w:val="32"/>
          <w:highlight w:val="none"/>
          <w:lang w:val="en-US" w:eastAsia="zh-CN"/>
        </w:rPr>
        <w:t>0.99</w:t>
      </w:r>
      <w:r>
        <w:rPr>
          <w:rFonts w:hint="eastAsia" w:ascii="仿宋_GB2312" w:eastAsia="仿宋_GB2312" w:cs="仿宋_GB2312"/>
          <w:bCs/>
          <w:kern w:val="0"/>
          <w:sz w:val="32"/>
          <w:szCs w:val="32"/>
          <w:highlight w:val="none"/>
        </w:rPr>
        <w:t xml:space="preserve"> 万元，占</w:t>
      </w:r>
      <w:r>
        <w:rPr>
          <w:rFonts w:hint="eastAsia" w:ascii="仿宋_GB2312" w:eastAsia="仿宋_GB2312" w:cs="仿宋_GB2312"/>
          <w:bCs/>
          <w:kern w:val="0"/>
          <w:sz w:val="32"/>
          <w:szCs w:val="32"/>
          <w:highlight w:val="none"/>
          <w:lang w:val="en-US" w:eastAsia="zh-CN"/>
        </w:rPr>
        <w:t>0.11</w:t>
      </w:r>
      <w:r>
        <w:rPr>
          <w:rFonts w:hint="eastAsia" w:ascii="仿宋_GB2312" w:eastAsia="仿宋_GB2312" w:cs="仿宋_GB2312"/>
          <w:bCs/>
          <w:kern w:val="0"/>
          <w:sz w:val="32"/>
          <w:szCs w:val="32"/>
          <w:highlight w:val="none"/>
        </w:rPr>
        <w:t>%； 住房保障（类）支出</w:t>
      </w:r>
      <w:r>
        <w:rPr>
          <w:rFonts w:hint="eastAsia" w:ascii="仿宋_GB2312" w:eastAsia="仿宋_GB2312" w:cs="仿宋_GB2312"/>
          <w:bCs/>
          <w:kern w:val="0"/>
          <w:sz w:val="32"/>
          <w:szCs w:val="32"/>
          <w:highlight w:val="none"/>
          <w:lang w:val="en-US" w:eastAsia="zh-CN"/>
        </w:rPr>
        <w:t>33.53</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3.71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val="en-US" w:eastAsia="zh-CN"/>
        </w:rPr>
        <w:t>。</w:t>
      </w:r>
    </w:p>
    <w:p>
      <w:pPr>
        <w:numPr>
          <w:ilvl w:val="0"/>
          <w:numId w:val="1"/>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年度财政拨款支出年初预算为</w:t>
      </w:r>
      <w:r>
        <w:rPr>
          <w:rFonts w:hint="eastAsia" w:ascii="仿宋_GB2312" w:eastAsia="仿宋_GB2312" w:cs="仿宋_GB2312"/>
          <w:bCs/>
          <w:kern w:val="0"/>
          <w:sz w:val="32"/>
          <w:szCs w:val="32"/>
          <w:highlight w:val="none"/>
          <w:lang w:val="en-US" w:eastAsia="zh-CN"/>
        </w:rPr>
        <w:t>872.3</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902.84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%。决算数大于预算数的主要原因：一是年中追加安排财政拨款支出预算，涉及项目有一般公共服务支</w:t>
      </w:r>
      <w:r>
        <w:rPr>
          <w:rFonts w:hint="eastAsia" w:ascii="仿宋_GB2312" w:eastAsia="仿宋_GB2312" w:cs="仿宋_GB2312"/>
          <w:bCs/>
          <w:kern w:val="0"/>
          <w:sz w:val="32"/>
          <w:szCs w:val="32"/>
        </w:rPr>
        <w:t xml:space="preserve">出、社会保障和就业支出、医疗卫生与计划生育支出、住房保障支出；二是部分支出按规定，通过使用以前年度财政拨款结转资金解决。其中： </w:t>
      </w:r>
    </w:p>
    <w:p>
      <w:pPr>
        <w:numPr>
          <w:ilvl w:val="0"/>
          <w:numId w:val="2"/>
        </w:numPr>
        <w:autoSpaceDE w:val="0"/>
        <w:autoSpaceDN w:val="0"/>
        <w:adjustRightInd w:val="0"/>
        <w:spacing w:line="560" w:lineRule="exact"/>
        <w:ind w:firstLine="640" w:firstLineChars="200"/>
        <w:jc w:val="left"/>
        <w:rPr>
          <w:rFonts w:hint="eastAsia" w:ascii="仿宋_GB2312" w:hAnsi="仿宋" w:eastAsia="仿宋_GB2312" w:cs="仿宋"/>
          <w:color w:val="000000"/>
          <w:sz w:val="32"/>
          <w:szCs w:val="32"/>
          <w:lang w:eastAsia="zh-CN"/>
        </w:rPr>
      </w:pP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民族事务</w:t>
      </w:r>
      <w:r>
        <w:rPr>
          <w:rFonts w:hint="eastAsia" w:ascii="仿宋_GB2312" w:eastAsia="仿宋_GB2312" w:cs="仿宋_GB2312"/>
          <w:bCs/>
          <w:kern w:val="0"/>
          <w:sz w:val="32"/>
          <w:szCs w:val="32"/>
        </w:rPr>
        <w:t>（款）行政运行（项）。 年初预算为</w:t>
      </w:r>
      <w:r>
        <w:rPr>
          <w:rFonts w:hint="eastAsia" w:ascii="仿宋_GB2312" w:eastAsia="仿宋_GB2312" w:cs="仿宋_GB2312"/>
          <w:bCs/>
          <w:kern w:val="0"/>
          <w:sz w:val="32"/>
          <w:szCs w:val="32"/>
          <w:lang w:val="en-US" w:eastAsia="zh-CN"/>
        </w:rPr>
        <w:t>348.41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345.26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一般公共服务支出</w:t>
      </w:r>
      <w:r>
        <w:rPr>
          <w:rFonts w:hint="eastAsia" w:ascii="仿宋_GB2312" w:hAnsi="仿宋" w:eastAsia="仿宋_GB2312" w:cs="仿宋"/>
          <w:color w:val="000000"/>
          <w:sz w:val="32"/>
          <w:szCs w:val="32"/>
          <w:lang w:eastAsia="zh-CN"/>
        </w:rPr>
        <w:t>结转至下年使用。</w:t>
      </w:r>
    </w:p>
    <w:p>
      <w:pPr>
        <w:widowControl w:val="0"/>
        <w:numPr>
          <w:ilvl w:val="0"/>
          <w:numId w:val="0"/>
        </w:numPr>
        <w:autoSpaceDE w:val="0"/>
        <w:autoSpaceDN w:val="0"/>
        <w:adjustRightInd w:val="0"/>
        <w:spacing w:line="560" w:lineRule="exact"/>
        <w:ind w:firstLine="640" w:firstLineChars="200"/>
        <w:jc w:val="left"/>
        <w:rPr>
          <w:rFonts w:hint="eastAsia" w:ascii="仿宋_GB2312" w:hAnsi="仿宋" w:eastAsia="仿宋_GB2312" w:cs="仿宋"/>
          <w:color w:val="000000"/>
          <w:sz w:val="32"/>
          <w:szCs w:val="32"/>
          <w:lang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民族事务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一般行政管理事务</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33.67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一般公共服务支出</w:t>
      </w:r>
      <w:r>
        <w:rPr>
          <w:rFonts w:hint="eastAsia" w:ascii="仿宋_GB2312" w:hAnsi="仿宋" w:eastAsia="仿宋_GB2312" w:cs="仿宋"/>
          <w:color w:val="000000"/>
          <w:sz w:val="32"/>
          <w:szCs w:val="32"/>
          <w:lang w:eastAsia="zh-CN"/>
        </w:rPr>
        <w:t>结转至下年使用。</w:t>
      </w:r>
    </w:p>
    <w:p>
      <w:pPr>
        <w:widowControl w:val="0"/>
        <w:numPr>
          <w:ilvl w:val="0"/>
          <w:numId w:val="0"/>
        </w:numPr>
        <w:autoSpaceDE w:val="0"/>
        <w:autoSpaceDN w:val="0"/>
        <w:adjustRightInd w:val="0"/>
        <w:spacing w:line="560" w:lineRule="exact"/>
        <w:ind w:firstLine="640" w:firstLineChars="200"/>
        <w:jc w:val="left"/>
        <w:rPr>
          <w:rFonts w:hint="eastAsia" w:ascii="仿宋_GB2312" w:hAnsi="仿宋" w:eastAsia="仿宋_GB2312" w:cs="仿宋"/>
          <w:color w:val="00000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民族事务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民族工作专项</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185.11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207.98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112.35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：使用上年结转结转资金</w:t>
      </w:r>
      <w:r>
        <w:rPr>
          <w:rFonts w:hint="eastAsia" w:ascii="仿宋_GB2312" w:hAnsi="仿宋" w:eastAsia="仿宋_GB2312" w:cs="仿宋"/>
          <w:color w:val="000000"/>
          <w:sz w:val="32"/>
          <w:szCs w:val="32"/>
          <w:lang w:eastAsia="zh-CN"/>
        </w:rPr>
        <w:t>。</w:t>
      </w:r>
    </w:p>
    <w:p>
      <w:pPr>
        <w:widowControl w:val="0"/>
        <w:numPr>
          <w:ilvl w:val="0"/>
          <w:numId w:val="0"/>
        </w:numPr>
        <w:autoSpaceDE w:val="0"/>
        <w:autoSpaceDN w:val="0"/>
        <w:adjustRightInd w:val="0"/>
        <w:spacing w:line="560" w:lineRule="exact"/>
        <w:ind w:firstLine="640" w:firstLineChars="200"/>
        <w:jc w:val="left"/>
        <w:rPr>
          <w:rFonts w:hint="eastAsia" w:ascii="仿宋_GB2312" w:hAnsi="仿宋" w:eastAsia="仿宋_GB2312" w:cs="仿宋"/>
          <w:color w:val="000000"/>
          <w:sz w:val="32"/>
          <w:szCs w:val="32"/>
          <w:lang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民族事务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其他民族事务支出</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119.96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137.06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114.25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：使用上年结转结转资金</w:t>
      </w:r>
      <w:r>
        <w:rPr>
          <w:rFonts w:hint="eastAsia" w:ascii="仿宋_GB2312" w:hAnsi="仿宋" w:eastAsia="仿宋_GB2312" w:cs="仿宋"/>
          <w:color w:val="00000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统战事务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宗教事务</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52.32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48.18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92.09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w:t>
      </w:r>
      <w:r>
        <w:rPr>
          <w:rFonts w:hint="eastAsia" w:ascii="仿宋_GB2312" w:eastAsia="仿宋_GB2312" w:cs="仿宋_GB2312"/>
          <w:bCs/>
          <w:kern w:val="0"/>
          <w:sz w:val="32"/>
          <w:szCs w:val="32"/>
          <w:highlight w:val="none"/>
        </w:rPr>
        <w:t>因是</w:t>
      </w:r>
      <w:r>
        <w:rPr>
          <w:rFonts w:hint="eastAsia" w:ascii="仿宋_GB2312" w:eastAsia="仿宋_GB2312" w:cs="仿宋_GB2312"/>
          <w:bCs/>
          <w:kern w:val="0"/>
          <w:sz w:val="32"/>
          <w:szCs w:val="32"/>
          <w:highlight w:val="none"/>
          <w:lang w:eastAsia="zh-CN"/>
        </w:rPr>
        <w:t>：结转次年使用。</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6</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rPr>
        <w:t>社会保障和就业（类）行政事业单位离退休（款）归口管理的行政单位离退休（项）。年初预算为</w:t>
      </w:r>
      <w:r>
        <w:rPr>
          <w:rFonts w:hint="eastAsia" w:ascii="仿宋_GB2312" w:eastAsia="仿宋_GB2312" w:cs="仿宋_GB2312"/>
          <w:bCs/>
          <w:kern w:val="0"/>
          <w:sz w:val="32"/>
          <w:szCs w:val="32"/>
          <w:highlight w:val="none"/>
          <w:lang w:val="en-US" w:eastAsia="zh-CN"/>
        </w:rPr>
        <w:t>27.75</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27.75</w:t>
      </w:r>
      <w:r>
        <w:rPr>
          <w:rFonts w:hint="eastAsia" w:ascii="仿宋_GB2312" w:eastAsia="仿宋_GB2312" w:cs="仿宋_GB2312"/>
          <w:bCs/>
          <w:kern w:val="0"/>
          <w:sz w:val="32"/>
          <w:szCs w:val="32"/>
          <w:highlight w:val="none"/>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7</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rPr>
        <w:t>社会保障和就业（类）行政事业单位离退休（款）</w:t>
      </w:r>
      <w:r>
        <w:rPr>
          <w:rFonts w:hint="eastAsia" w:ascii="仿宋_GB2312" w:eastAsia="仿宋_GB2312" w:cs="仿宋_GB2312"/>
          <w:bCs/>
          <w:kern w:val="0"/>
          <w:sz w:val="32"/>
          <w:szCs w:val="32"/>
          <w:highlight w:val="none"/>
          <w:lang w:eastAsia="zh-CN"/>
        </w:rPr>
        <w:t>事业单位离退休</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1.54</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1.54</w:t>
      </w:r>
      <w:r>
        <w:rPr>
          <w:rFonts w:hint="eastAsia" w:ascii="仿宋_GB2312" w:eastAsia="仿宋_GB2312" w:cs="仿宋_GB2312"/>
          <w:bCs/>
          <w:kern w:val="0"/>
          <w:sz w:val="32"/>
          <w:szCs w:val="32"/>
          <w:highlight w:val="none"/>
        </w:rPr>
        <w:t>万元，完成年初预算的100%</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rPr>
        <w:t>社会保障和就业（类）行政事业单位离退休（款）机关事业单位基本养老保险缴费支出（项）。年初预算为</w:t>
      </w:r>
      <w:r>
        <w:rPr>
          <w:rFonts w:hint="eastAsia" w:ascii="仿宋_GB2312" w:eastAsia="仿宋_GB2312" w:cs="仿宋_GB2312"/>
          <w:bCs/>
          <w:kern w:val="0"/>
          <w:sz w:val="32"/>
          <w:szCs w:val="32"/>
          <w:highlight w:val="none"/>
          <w:lang w:val="en-US" w:eastAsia="zh-CN"/>
        </w:rPr>
        <w:t>48.63</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48.63</w:t>
      </w:r>
      <w:r>
        <w:rPr>
          <w:rFonts w:hint="eastAsia" w:ascii="仿宋_GB2312" w:eastAsia="仿宋_GB2312" w:cs="仿宋_GB2312"/>
          <w:bCs/>
          <w:kern w:val="0"/>
          <w:sz w:val="32"/>
          <w:szCs w:val="32"/>
          <w:highlight w:val="none"/>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rPr>
        <w:t>医疗卫生与计划生育支出（类）行政事业单位医疗（款）行政单位医疗（项）。年初预算为</w:t>
      </w:r>
      <w:r>
        <w:rPr>
          <w:rFonts w:hint="eastAsia" w:ascii="仿宋_GB2312" w:eastAsia="仿宋_GB2312" w:cs="仿宋_GB2312"/>
          <w:bCs/>
          <w:kern w:val="0"/>
          <w:sz w:val="32"/>
          <w:szCs w:val="32"/>
          <w:highlight w:val="none"/>
          <w:lang w:val="en-US" w:eastAsia="zh-CN"/>
        </w:rPr>
        <w:t>20.90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20.90</w:t>
      </w:r>
      <w:r>
        <w:rPr>
          <w:rFonts w:hint="eastAsia" w:ascii="仿宋_GB2312" w:eastAsia="仿宋_GB2312" w:cs="仿宋_GB2312"/>
          <w:bCs/>
          <w:kern w:val="0"/>
          <w:sz w:val="32"/>
          <w:szCs w:val="32"/>
          <w:highlight w:val="none"/>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10</w:t>
      </w:r>
      <w:r>
        <w:rPr>
          <w:rFonts w:hint="eastAsia" w:ascii="仿宋_GB2312" w:eastAsia="仿宋_GB2312" w:cs="仿宋_GB2312"/>
          <w:bCs/>
          <w:kern w:val="0"/>
          <w:sz w:val="32"/>
          <w:szCs w:val="32"/>
          <w:highlight w:val="none"/>
        </w:rPr>
        <w:t>. 医疗卫生与计划生育支出（类）行政事业单位医疗（款）公务员医疗补助（项）。年初预算为</w:t>
      </w:r>
      <w:r>
        <w:rPr>
          <w:rFonts w:hint="eastAsia" w:ascii="仿宋_GB2312" w:eastAsia="仿宋_GB2312" w:cs="仿宋_GB2312"/>
          <w:bCs/>
          <w:kern w:val="0"/>
          <w:sz w:val="32"/>
          <w:szCs w:val="32"/>
          <w:highlight w:val="none"/>
          <w:lang w:val="en-US" w:eastAsia="zh-CN"/>
        </w:rPr>
        <w:t>30.01</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30.01</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val="en-US" w:eastAsia="zh-CN"/>
        </w:rPr>
        <w:t>11</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rPr>
        <w:t>医疗卫生与计划生育支出（类）行政事业单位医疗（款）</w:t>
      </w:r>
      <w:r>
        <w:rPr>
          <w:rFonts w:hint="eastAsia" w:ascii="仿宋_GB2312" w:eastAsia="仿宋_GB2312" w:cs="仿宋_GB2312"/>
          <w:bCs/>
          <w:kern w:val="0"/>
          <w:sz w:val="32"/>
          <w:szCs w:val="32"/>
          <w:highlight w:val="none"/>
          <w:lang w:eastAsia="zh-CN"/>
        </w:rPr>
        <w:t>其他行政事业单位医疗支出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0.14</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eastAsia="zh-CN"/>
        </w:rPr>
        <w:t>：结转次年使用。</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12</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lang w:eastAsia="zh-CN"/>
        </w:rPr>
        <w:t>农林水支出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其他农林水支出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其他农林水支出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0.99</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0.99</w:t>
      </w:r>
      <w:r>
        <w:rPr>
          <w:rFonts w:hint="eastAsia" w:ascii="仿宋_GB2312" w:eastAsia="仿宋_GB2312" w:cs="仿宋_GB2312"/>
          <w:bCs/>
          <w:kern w:val="0"/>
          <w:sz w:val="32"/>
          <w:szCs w:val="32"/>
          <w:highlight w:val="none"/>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13</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rPr>
        <w:t>住房保障支出（类）住房改革支出（款）住房公积金（项）。年初预算为</w:t>
      </w:r>
      <w:r>
        <w:rPr>
          <w:rFonts w:hint="eastAsia" w:ascii="仿宋_GB2312" w:eastAsia="仿宋_GB2312" w:cs="仿宋_GB2312"/>
          <w:bCs/>
          <w:kern w:val="0"/>
          <w:sz w:val="32"/>
          <w:szCs w:val="32"/>
          <w:highlight w:val="none"/>
          <w:lang w:val="en-US" w:eastAsia="zh-CN"/>
        </w:rPr>
        <w:t>33.44</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33.44</w:t>
      </w:r>
      <w:r>
        <w:rPr>
          <w:rFonts w:hint="eastAsia" w:ascii="仿宋_GB2312" w:eastAsia="仿宋_GB2312" w:cs="仿宋_GB2312"/>
          <w:bCs/>
          <w:kern w:val="0"/>
          <w:sz w:val="32"/>
          <w:szCs w:val="32"/>
          <w:highlight w:val="none"/>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14</w:t>
      </w:r>
      <w:r>
        <w:rPr>
          <w:rFonts w:hint="eastAsia" w:ascii="仿宋_GB2312" w:eastAsia="仿宋_GB2312" w:cs="仿宋_GB2312"/>
          <w:bCs/>
          <w:kern w:val="0"/>
          <w:sz w:val="32"/>
          <w:szCs w:val="32"/>
          <w:highlight w:val="none"/>
        </w:rPr>
        <w:t>.</w:t>
      </w:r>
      <w:r>
        <w:rPr>
          <w:rFonts w:hint="eastAsia"/>
          <w:highlight w:val="none"/>
        </w:rPr>
        <w:t xml:space="preserve"> </w:t>
      </w:r>
      <w:r>
        <w:rPr>
          <w:rFonts w:hint="eastAsia" w:ascii="仿宋_GB2312" w:eastAsia="仿宋_GB2312" w:cs="仿宋_GB2312"/>
          <w:bCs/>
          <w:kern w:val="0"/>
          <w:sz w:val="32"/>
          <w:szCs w:val="32"/>
          <w:highlight w:val="none"/>
        </w:rPr>
        <w:t>住房保障支出（类）住房改革支出（款）</w:t>
      </w:r>
      <w:r>
        <w:rPr>
          <w:rFonts w:hint="eastAsia" w:ascii="仿宋_GB2312" w:eastAsia="仿宋_GB2312" w:cs="仿宋_GB2312"/>
          <w:bCs/>
          <w:kern w:val="0"/>
          <w:sz w:val="32"/>
          <w:szCs w:val="32"/>
          <w:highlight w:val="none"/>
          <w:lang w:eastAsia="zh-CN"/>
        </w:rPr>
        <w:t>购房补贴</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0.1</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0.1</w:t>
      </w:r>
      <w:r>
        <w:rPr>
          <w:rFonts w:hint="eastAsia" w:ascii="仿宋_GB2312" w:eastAsia="仿宋_GB2312" w:cs="仿宋_GB2312"/>
          <w:bCs/>
          <w:kern w:val="0"/>
          <w:sz w:val="32"/>
          <w:szCs w:val="32"/>
          <w:highlight w:val="none"/>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Cs/>
          <w:kern w:val="0"/>
          <w:sz w:val="32"/>
          <w:szCs w:val="32"/>
          <w:highlight w:val="none"/>
        </w:rPr>
        <w:t>六、</w:t>
      </w:r>
      <w:r>
        <w:rPr>
          <w:rFonts w:hint="eastAsia" w:ascii="仿宋_GB2312" w:eastAsia="仿宋_GB2312" w:cs="仿宋_GB2312"/>
          <w:b/>
          <w:bCs w:val="0"/>
          <w:kern w:val="0"/>
          <w:sz w:val="32"/>
          <w:szCs w:val="32"/>
          <w:highlight w:val="none"/>
          <w:lang w:eastAsia="zh-CN"/>
        </w:rPr>
        <w:t>201</w:t>
      </w:r>
      <w:r>
        <w:rPr>
          <w:rFonts w:hint="eastAsia" w:ascii="仿宋_GB2312" w:eastAsia="仿宋_GB2312" w:cs="仿宋_GB2312"/>
          <w:b/>
          <w:bCs w:val="0"/>
          <w:kern w:val="0"/>
          <w:sz w:val="32"/>
          <w:szCs w:val="32"/>
          <w:highlight w:val="none"/>
          <w:lang w:val="en-US" w:eastAsia="zh-CN"/>
        </w:rPr>
        <w:t>9</w:t>
      </w:r>
      <w:r>
        <w:rPr>
          <w:rFonts w:hint="eastAsia" w:ascii="仿宋_GB2312" w:eastAsia="仿宋_GB2312" w:cs="仿宋_GB2312"/>
          <w:b/>
          <w:bCs w:val="0"/>
          <w:kern w:val="0"/>
          <w:sz w:val="32"/>
          <w:szCs w:val="32"/>
          <w:highlight w:val="none"/>
        </w:rPr>
        <w:t>年度一</w:t>
      </w:r>
      <w:r>
        <w:rPr>
          <w:rFonts w:hint="eastAsia" w:ascii="仿宋_GB2312" w:eastAsia="仿宋_GB2312" w:cs="仿宋_GB2312"/>
          <w:b/>
          <w:bCs w:val="0"/>
          <w:kern w:val="0"/>
          <w:sz w:val="32"/>
          <w:szCs w:val="32"/>
        </w:rPr>
        <w:t>般公共预算财政拨款基本支出决算情况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年度财政拨款基本支出</w:t>
      </w:r>
      <w:r>
        <w:rPr>
          <w:rFonts w:hint="eastAsia" w:ascii="仿宋_GB2312" w:eastAsia="仿宋_GB2312" w:cs="仿宋_GB2312"/>
          <w:b w:val="0"/>
          <w:bCs/>
          <w:kern w:val="0"/>
          <w:sz w:val="32"/>
          <w:szCs w:val="32"/>
          <w:lang w:val="en-US" w:eastAsia="zh-CN"/>
        </w:rPr>
        <w:t>507.62</w:t>
      </w:r>
      <w:r>
        <w:rPr>
          <w:rFonts w:hint="eastAsia" w:ascii="仿宋_GB2312" w:eastAsia="仿宋_GB2312" w:cs="仿宋_GB2312"/>
          <w:b w:val="0"/>
          <w:bCs/>
          <w:kern w:val="0"/>
          <w:sz w:val="32"/>
          <w:szCs w:val="32"/>
        </w:rPr>
        <w:t>万元，其中：人员经费</w:t>
      </w:r>
      <w:r>
        <w:rPr>
          <w:rFonts w:hint="eastAsia" w:ascii="仿宋_GB2312" w:eastAsia="仿宋_GB2312" w:cs="仿宋_GB2312"/>
          <w:b w:val="0"/>
          <w:bCs/>
          <w:kern w:val="0"/>
          <w:sz w:val="32"/>
          <w:szCs w:val="32"/>
          <w:lang w:val="en-US" w:eastAsia="zh-CN"/>
        </w:rPr>
        <w:t>452.98</w:t>
      </w:r>
      <w:r>
        <w:rPr>
          <w:rFonts w:hint="eastAsia" w:ascii="仿宋_GB2312" w:eastAsia="仿宋_GB2312" w:cs="仿宋_GB2312"/>
          <w:b w:val="0"/>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 w:val="0"/>
          <w:bCs/>
          <w:kern w:val="0"/>
          <w:sz w:val="32"/>
          <w:szCs w:val="32"/>
        </w:rPr>
        <w:t>公用经费</w:t>
      </w:r>
      <w:r>
        <w:rPr>
          <w:rFonts w:hint="eastAsia" w:ascii="仿宋_GB2312" w:eastAsia="仿宋_GB2312" w:cs="仿宋_GB2312"/>
          <w:b w:val="0"/>
          <w:bCs/>
          <w:kern w:val="0"/>
          <w:sz w:val="32"/>
          <w:szCs w:val="32"/>
          <w:lang w:val="en-US" w:eastAsia="zh-CN"/>
        </w:rPr>
        <w:t>54.64</w:t>
      </w:r>
      <w:r>
        <w:rPr>
          <w:rFonts w:hint="eastAsia" w:ascii="仿宋_GB2312" w:eastAsia="仿宋_GB2312" w:cs="仿宋_GB2312"/>
          <w:b w:val="0"/>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年度“三公”经费财政拨款支出预算为 </w:t>
      </w:r>
      <w:r>
        <w:rPr>
          <w:rFonts w:hint="eastAsia" w:ascii="仿宋_GB2312" w:eastAsia="仿宋_GB2312" w:cs="仿宋_GB2312"/>
          <w:bCs/>
          <w:kern w:val="0"/>
          <w:sz w:val="32"/>
          <w:szCs w:val="32"/>
          <w:highlight w:val="none"/>
          <w:lang w:val="en-US" w:eastAsia="zh-CN"/>
        </w:rPr>
        <w:t>0.64</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1.36</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212.50</w:t>
      </w:r>
      <w:r>
        <w:rPr>
          <w:rFonts w:hint="eastAsia" w:ascii="仿宋_GB2312" w:eastAsia="仿宋_GB2312" w:cs="仿宋_GB2312"/>
          <w:bCs/>
          <w:kern w:val="0"/>
          <w:sz w:val="32"/>
          <w:szCs w:val="32"/>
          <w:highlight w:val="none"/>
        </w:rPr>
        <w:t>%，其中：因公出国（境）费支出决算为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%；公务接待费支出决算为</w:t>
      </w:r>
      <w:r>
        <w:rPr>
          <w:rFonts w:hint="eastAsia" w:ascii="仿宋_GB2312" w:eastAsia="仿宋_GB2312" w:cs="仿宋_GB2312"/>
          <w:bCs/>
          <w:kern w:val="0"/>
          <w:sz w:val="32"/>
          <w:szCs w:val="32"/>
          <w:highlight w:val="none"/>
          <w:lang w:val="en-US" w:eastAsia="zh-CN"/>
        </w:rPr>
        <w:t>1.36</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212.50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年度“三公”经费支出决算数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 w:val="0"/>
          <w:bCs/>
          <w:kern w:val="0"/>
          <w:sz w:val="32"/>
          <w:szCs w:val="32"/>
          <w:lang w:val="en-US" w:eastAsia="zh-CN"/>
        </w:rPr>
        <w:t>接待上级检查调研督查人员增加。</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yellow"/>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年度“三公”经费财政拨款支出决算数比</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年减少</w:t>
      </w:r>
      <w:r>
        <w:rPr>
          <w:rFonts w:hint="eastAsia" w:ascii="仿宋_GB2312" w:eastAsia="仿宋_GB2312" w:cs="仿宋_GB2312"/>
          <w:bCs/>
          <w:kern w:val="0"/>
          <w:sz w:val="32"/>
          <w:szCs w:val="32"/>
          <w:highlight w:val="none"/>
          <w:lang w:val="en-US" w:eastAsia="zh-CN"/>
        </w:rPr>
        <w:t>0.59</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30</w:t>
      </w:r>
      <w:r>
        <w:rPr>
          <w:rFonts w:hint="eastAsia" w:ascii="仿宋_GB2312" w:eastAsia="仿宋_GB2312" w:cs="仿宋_GB2312"/>
          <w:bCs/>
          <w:kern w:val="0"/>
          <w:sz w:val="32"/>
          <w:szCs w:val="32"/>
          <w:highlight w:val="none"/>
        </w:rPr>
        <w:t>%，其中：因公出国（境）费支出决算减少</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%；公务用车购置及运行费支出</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决算减少</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%；公务接待费支出决算减少</w:t>
      </w:r>
      <w:r>
        <w:rPr>
          <w:rFonts w:hint="eastAsia" w:ascii="仿宋_GB2312" w:eastAsia="仿宋_GB2312" w:cs="仿宋_GB2312"/>
          <w:bCs/>
          <w:kern w:val="0"/>
          <w:sz w:val="32"/>
          <w:szCs w:val="32"/>
          <w:highlight w:val="none"/>
          <w:lang w:val="en-US" w:eastAsia="zh-CN"/>
        </w:rPr>
        <w:t>0.59</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30</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年度“三公”经费财政拨款支出决算中，因公出国（境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 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%；公务接待费支出决算</w:t>
      </w:r>
      <w:r>
        <w:rPr>
          <w:rFonts w:hint="eastAsia" w:ascii="仿宋_GB2312" w:eastAsia="仿宋_GB2312" w:cs="仿宋_GB2312"/>
          <w:bCs/>
          <w:kern w:val="0"/>
          <w:sz w:val="32"/>
          <w:szCs w:val="32"/>
          <w:highlight w:val="none"/>
          <w:lang w:val="en-US" w:eastAsia="zh-CN"/>
        </w:rPr>
        <w:t>1.36</w:t>
      </w:r>
      <w:r>
        <w:rPr>
          <w:rFonts w:hint="eastAsia" w:ascii="仿宋_GB2312" w:eastAsia="仿宋_GB2312" w:cs="仿宋_GB2312"/>
          <w:bCs/>
          <w:kern w:val="0"/>
          <w:sz w:val="32"/>
          <w:szCs w:val="32"/>
          <w:highlight w:val="none"/>
        </w:rPr>
        <w:t xml:space="preserve"> 万元。具体情况如下：  </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1.因公出国（境）费支出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万元。全年安排机关和所属单位因公出国 （境）团组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个，累计</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w:t>
      </w:r>
    </w:p>
    <w:p>
      <w:pPr>
        <w:autoSpaceDE w:val="0"/>
        <w:autoSpaceDN w:val="0"/>
        <w:adjustRightInd w:val="0"/>
        <w:spacing w:line="560" w:lineRule="exact"/>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2.公务用车购置及运行费支出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万元。其中</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公务用车购置支出为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万元。公务用车运行支出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年机关所属单位开支财政拨款的公务用车保有量为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3.公务接待费支出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万元。其中：外宾接待支出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年共接待国（境）外来访团组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个、来访外宾</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国内公务接待支出</w:t>
      </w:r>
      <w:r>
        <w:rPr>
          <w:rFonts w:hint="eastAsia" w:ascii="仿宋_GB2312" w:eastAsia="仿宋_GB2312" w:cs="仿宋_GB2312"/>
          <w:bCs/>
          <w:kern w:val="0"/>
          <w:sz w:val="32"/>
          <w:szCs w:val="32"/>
          <w:highlight w:val="none"/>
          <w:lang w:val="en-US" w:eastAsia="zh-CN"/>
        </w:rPr>
        <w:t>1.36</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主要用于</w:t>
      </w:r>
      <w:r>
        <w:rPr>
          <w:rFonts w:hint="eastAsia" w:ascii="仿宋_GB2312" w:eastAsia="仿宋_GB2312" w:cs="仿宋_GB2312"/>
          <w:b w:val="0"/>
          <w:bCs/>
          <w:kern w:val="0"/>
          <w:sz w:val="32"/>
          <w:szCs w:val="32"/>
          <w:highlight w:val="none"/>
          <w:lang w:val="en-US" w:eastAsia="zh-CN"/>
        </w:rPr>
        <w:t>接待上级调研检查人员，</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年共接待国内</w:t>
      </w:r>
      <w:r>
        <w:rPr>
          <w:rFonts w:hint="eastAsia" w:ascii="仿宋_GB2312" w:eastAsia="仿宋_GB2312" w:cs="仿宋_GB2312"/>
          <w:bCs/>
          <w:kern w:val="0"/>
          <w:sz w:val="32"/>
          <w:szCs w:val="32"/>
          <w:highlight w:val="none"/>
          <w:lang w:eastAsia="zh-CN"/>
        </w:rPr>
        <w:t>调研督查</w:t>
      </w:r>
      <w:r>
        <w:rPr>
          <w:rFonts w:hint="eastAsia" w:ascii="仿宋_GB2312" w:eastAsia="仿宋_GB2312" w:cs="仿宋_GB2312"/>
          <w:bCs/>
          <w:kern w:val="0"/>
          <w:sz w:val="32"/>
          <w:szCs w:val="32"/>
          <w:highlight w:val="none"/>
        </w:rPr>
        <w:t>组</w:t>
      </w:r>
      <w:r>
        <w:rPr>
          <w:rFonts w:hint="eastAsia" w:ascii="仿宋_GB2312" w:eastAsia="仿宋_GB2312" w:cs="仿宋_GB2312"/>
          <w:bCs/>
          <w:kern w:val="0"/>
          <w:sz w:val="32"/>
          <w:szCs w:val="32"/>
          <w:highlight w:val="none"/>
          <w:lang w:val="en-US" w:eastAsia="zh-CN"/>
        </w:rPr>
        <w:t>40</w:t>
      </w:r>
      <w:r>
        <w:rPr>
          <w:rFonts w:hint="eastAsia" w:ascii="仿宋_GB2312" w:eastAsia="仿宋_GB2312" w:cs="仿宋_GB2312"/>
          <w:bCs/>
          <w:kern w:val="0"/>
          <w:sz w:val="32"/>
          <w:szCs w:val="32"/>
          <w:highlight w:val="none"/>
        </w:rPr>
        <w:t>个、来宾</w:t>
      </w:r>
      <w:r>
        <w:rPr>
          <w:rFonts w:hint="eastAsia" w:ascii="仿宋_GB2312" w:eastAsia="仿宋_GB2312" w:cs="仿宋_GB2312"/>
          <w:bCs/>
          <w:kern w:val="0"/>
          <w:sz w:val="32"/>
          <w:szCs w:val="32"/>
          <w:highlight w:val="none"/>
          <w:lang w:val="en-US" w:eastAsia="zh-CN"/>
        </w:rPr>
        <w:t>270</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
          <w:bCs w:val="0"/>
          <w:kern w:val="0"/>
          <w:sz w:val="32"/>
          <w:szCs w:val="32"/>
          <w:highlight w:val="none"/>
        </w:rPr>
        <w:t>八、</w:t>
      </w:r>
      <w:r>
        <w:rPr>
          <w:rFonts w:hint="eastAsia" w:ascii="仿宋_GB2312" w:eastAsia="仿宋_GB2312" w:cs="仿宋_GB2312"/>
          <w:b/>
          <w:bCs w:val="0"/>
          <w:kern w:val="0"/>
          <w:sz w:val="32"/>
          <w:szCs w:val="32"/>
          <w:highlight w:val="none"/>
          <w:lang w:eastAsia="zh-CN"/>
        </w:rPr>
        <w:t>201</w:t>
      </w:r>
      <w:r>
        <w:rPr>
          <w:rFonts w:hint="eastAsia" w:ascii="仿宋_GB2312" w:eastAsia="仿宋_GB2312" w:cs="仿宋_GB2312"/>
          <w:b/>
          <w:bCs w:val="0"/>
          <w:kern w:val="0"/>
          <w:sz w:val="32"/>
          <w:szCs w:val="32"/>
          <w:highlight w:val="none"/>
          <w:lang w:val="en-US" w:eastAsia="zh-CN"/>
        </w:rPr>
        <w:t>9</w:t>
      </w:r>
      <w:r>
        <w:rPr>
          <w:rFonts w:hint="eastAsia" w:ascii="仿宋_GB2312" w:eastAsia="仿宋_GB2312" w:cs="仿宋_GB2312"/>
          <w:b/>
          <w:bCs w:val="0"/>
          <w:kern w:val="0"/>
          <w:sz w:val="32"/>
          <w:szCs w:val="32"/>
          <w:highlight w:val="none"/>
        </w:rPr>
        <w:t xml:space="preserve"> 年度政府性基金预算财政拨款收入支出决算情况说明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本委</w:t>
      </w:r>
      <w:r>
        <w:rPr>
          <w:rFonts w:hint="eastAsia" w:ascii="仿宋_GB2312" w:eastAsia="仿宋_GB2312" w:cs="仿宋_GB2312"/>
          <w:bCs/>
          <w:kern w:val="0"/>
          <w:sz w:val="32"/>
          <w:szCs w:val="32"/>
          <w:highlight w:val="none"/>
        </w:rPr>
        <w:t>20</w:t>
      </w:r>
      <w:r>
        <w:rPr>
          <w:rFonts w:hint="eastAsia" w:ascii="仿宋_GB2312" w:eastAsia="仿宋_GB2312" w:cs="仿宋_GB2312"/>
          <w:bCs/>
          <w:kern w:val="0"/>
          <w:sz w:val="32"/>
          <w:szCs w:val="32"/>
          <w:highlight w:val="none"/>
          <w:lang w:val="en-US" w:eastAsia="zh-CN"/>
        </w:rPr>
        <w:t>19</w:t>
      </w:r>
      <w:r>
        <w:rPr>
          <w:rFonts w:hint="eastAsia" w:ascii="仿宋_GB2312" w:eastAsia="仿宋_GB2312" w:cs="仿宋_GB2312"/>
          <w:bCs/>
          <w:kern w:val="0"/>
          <w:sz w:val="32"/>
          <w:szCs w:val="32"/>
          <w:highlight w:val="none"/>
        </w:rPr>
        <w:t>年度政府基金预算财政拨款收入总决算0万元，支出总决算0万元。</w:t>
      </w:r>
    </w:p>
    <w:p>
      <w:pPr>
        <w:autoSpaceDE w:val="0"/>
        <w:autoSpaceDN w:val="0"/>
        <w:adjustRightInd w:val="0"/>
        <w:ind w:firstLine="643" w:firstLineChars="200"/>
        <w:jc w:val="left"/>
        <w:rPr>
          <w:rFonts w:hint="eastAsia" w:ascii="仿宋_GB2312" w:eastAsia="仿宋_GB2312" w:cs="仿宋_GB2312"/>
          <w:b/>
          <w:bCs w:val="0"/>
          <w:kern w:val="0"/>
          <w:sz w:val="32"/>
          <w:szCs w:val="32"/>
          <w:highlight w:val="none"/>
        </w:rPr>
      </w:pPr>
      <w:r>
        <w:rPr>
          <w:rFonts w:hint="eastAsia" w:ascii="仿宋_GB2312" w:eastAsia="仿宋_GB2312" w:cs="仿宋_GB2312"/>
          <w:b/>
          <w:bCs w:val="0"/>
          <w:kern w:val="0"/>
          <w:sz w:val="32"/>
          <w:szCs w:val="32"/>
          <w:highlight w:val="none"/>
          <w:lang w:eastAsia="zh-CN"/>
        </w:rPr>
        <w:t>九、</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bCs w:val="0"/>
          <w:kern w:val="0"/>
          <w:sz w:val="32"/>
          <w:szCs w:val="32"/>
          <w:highlight w:val="none"/>
        </w:rPr>
        <w:t xml:space="preserve"> 年度预算绩效情况说明</w:t>
      </w:r>
    </w:p>
    <w:p>
      <w:pPr>
        <w:numPr>
          <w:ilvl w:val="0"/>
          <w:numId w:val="3"/>
        </w:num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numPr>
          <w:ilvl w:val="0"/>
          <w:numId w:val="0"/>
        </w:numPr>
        <w:autoSpaceDE w:val="0"/>
        <w:autoSpaceDN w:val="0"/>
        <w:adjustRightInd w:val="0"/>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 xml:space="preserve"> 根据财政预算管理要求，我部门组织对</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年度一般公共预算项目支出全面开展绩效自评</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共涉及预算资金</w:t>
      </w:r>
      <w:r>
        <w:rPr>
          <w:rFonts w:hint="eastAsia" w:ascii="仿宋_GB2312" w:eastAsia="仿宋_GB2312" w:cs="仿宋_GB2312"/>
          <w:bCs/>
          <w:kern w:val="0"/>
          <w:sz w:val="32"/>
          <w:szCs w:val="32"/>
          <w:highlight w:val="none"/>
          <w:lang w:val="en-US" w:eastAsia="zh-CN"/>
        </w:rPr>
        <w:t>954.83</w:t>
      </w:r>
      <w:r>
        <w:rPr>
          <w:rFonts w:hint="eastAsia" w:ascii="仿宋_GB2312" w:eastAsia="仿宋_GB2312" w:cs="仿宋_GB2312"/>
          <w:bCs/>
          <w:kern w:val="0"/>
          <w:sz w:val="32"/>
          <w:szCs w:val="32"/>
          <w:highlight w:val="none"/>
        </w:rPr>
        <w:t xml:space="preserve">万元，自评覆盖率达到 </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numPr>
          <w:ilvl w:val="0"/>
          <w:numId w:val="3"/>
        </w:num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部门决算中项目绩效自评结果</w:t>
      </w:r>
      <w:r>
        <w:rPr>
          <w:rFonts w:hint="eastAsia" w:ascii="仿宋_GB2312" w:eastAsia="仿宋_GB2312" w:cs="仿宋_GB2312"/>
          <w:bCs/>
          <w:kern w:val="0"/>
          <w:sz w:val="32"/>
          <w:szCs w:val="32"/>
          <w:highlight w:val="none"/>
          <w:lang w:eastAsia="zh-CN"/>
        </w:rPr>
        <w:t>。</w:t>
      </w:r>
    </w:p>
    <w:p>
      <w:pPr>
        <w:numPr>
          <w:ilvl w:val="0"/>
          <w:numId w:val="0"/>
        </w:numPr>
        <w:autoSpaceDE w:val="0"/>
        <w:autoSpaceDN w:val="0"/>
        <w:adjustRightInd w:val="0"/>
        <w:spacing w:line="240" w:lineRule="auto"/>
        <w:ind w:firstLine="960" w:firstLineChars="3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2019</w:t>
      </w:r>
      <w:r>
        <w:rPr>
          <w:rFonts w:hint="eastAsia" w:ascii="仿宋_GB2312" w:eastAsia="仿宋_GB2312" w:cs="仿宋_GB2312"/>
          <w:bCs/>
          <w:kern w:val="0"/>
          <w:sz w:val="32"/>
          <w:szCs w:val="32"/>
        </w:rPr>
        <w:t>年本部门收入总计</w:t>
      </w:r>
      <w:r>
        <w:rPr>
          <w:rFonts w:hint="eastAsia" w:ascii="仿宋_GB2312" w:eastAsia="仿宋_GB2312" w:cs="仿宋_GB2312"/>
          <w:bCs/>
          <w:kern w:val="0"/>
          <w:sz w:val="32"/>
          <w:szCs w:val="32"/>
          <w:lang w:val="en-US" w:eastAsia="zh-CN"/>
        </w:rPr>
        <w:t>954.83</w:t>
      </w:r>
      <w:r>
        <w:rPr>
          <w:rFonts w:hint="eastAsia" w:ascii="仿宋_GB2312" w:eastAsia="仿宋_GB2312" w:cs="仿宋_GB2312"/>
          <w:bCs/>
          <w:kern w:val="0"/>
          <w:sz w:val="32"/>
          <w:szCs w:val="32"/>
        </w:rPr>
        <w:t>万元，其中：本年收入合计</w:t>
      </w:r>
      <w:r>
        <w:rPr>
          <w:rFonts w:hint="eastAsia" w:ascii="仿宋_GB2312" w:eastAsia="仿宋_GB2312" w:cs="仿宋_GB2312"/>
          <w:bCs/>
          <w:kern w:val="0"/>
          <w:sz w:val="32"/>
          <w:szCs w:val="32"/>
          <w:lang w:val="en-US" w:eastAsia="zh-CN"/>
        </w:rPr>
        <w:t>954.83</w:t>
      </w:r>
      <w:r>
        <w:rPr>
          <w:rFonts w:hint="eastAsia" w:ascii="仿宋_GB2312" w:eastAsia="仿宋_GB2312" w:cs="仿宋_GB2312"/>
          <w:bCs/>
          <w:kern w:val="0"/>
          <w:sz w:val="32"/>
          <w:szCs w:val="32"/>
        </w:rPr>
        <w:t>万元（财政拨款收入</w:t>
      </w:r>
      <w:r>
        <w:rPr>
          <w:rFonts w:hint="eastAsia" w:ascii="仿宋_GB2312" w:eastAsia="仿宋_GB2312" w:cs="仿宋_GB2312"/>
          <w:bCs/>
          <w:kern w:val="0"/>
          <w:sz w:val="32"/>
          <w:szCs w:val="32"/>
          <w:lang w:val="en-US" w:eastAsia="zh-CN"/>
        </w:rPr>
        <w:t>872.30</w:t>
      </w:r>
      <w:r>
        <w:rPr>
          <w:rFonts w:hint="eastAsia" w:ascii="仿宋_GB2312" w:eastAsia="仿宋_GB2312" w:cs="仿宋_GB2312"/>
          <w:bCs/>
          <w:kern w:val="0"/>
          <w:sz w:val="32"/>
          <w:szCs w:val="32"/>
        </w:rPr>
        <w:t>万元，上级补助收入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万元，事业收入0万元，经营收入0万元，附属单位上缴收入0万元，其他收入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万元，用事业基金弥补收支差额0万元，年初结转和结余</w:t>
      </w:r>
      <w:r>
        <w:rPr>
          <w:rFonts w:hint="eastAsia" w:ascii="仿宋_GB2312" w:eastAsia="仿宋_GB2312" w:cs="仿宋_GB2312"/>
          <w:bCs/>
          <w:kern w:val="0"/>
          <w:sz w:val="32"/>
          <w:szCs w:val="32"/>
          <w:lang w:val="en-US" w:eastAsia="zh-CN"/>
        </w:rPr>
        <w:t>82.52</w:t>
      </w:r>
      <w:r>
        <w:rPr>
          <w:rFonts w:hint="eastAsia" w:ascii="仿宋_GB2312" w:eastAsia="仿宋_GB2312" w:cs="仿宋_GB2312"/>
          <w:bCs/>
          <w:kern w:val="0"/>
          <w:sz w:val="32"/>
          <w:szCs w:val="32"/>
        </w:rPr>
        <w:t>万元）。201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年本部门支出总计</w:t>
      </w:r>
      <w:r>
        <w:rPr>
          <w:rFonts w:hint="eastAsia" w:ascii="仿宋_GB2312" w:eastAsia="仿宋_GB2312" w:cs="仿宋_GB2312"/>
          <w:bCs/>
          <w:kern w:val="0"/>
          <w:sz w:val="32"/>
          <w:szCs w:val="32"/>
          <w:lang w:val="en-US" w:eastAsia="zh-CN"/>
        </w:rPr>
        <w:t>902.84</w:t>
      </w:r>
      <w:r>
        <w:rPr>
          <w:rFonts w:hint="eastAsia" w:ascii="仿宋_GB2312" w:eastAsia="仿宋_GB2312" w:cs="仿宋_GB2312"/>
          <w:bCs/>
          <w:kern w:val="0"/>
          <w:sz w:val="32"/>
          <w:szCs w:val="32"/>
        </w:rPr>
        <w:t>万元，其中：本年支出合计</w:t>
      </w:r>
      <w:r>
        <w:rPr>
          <w:rFonts w:hint="eastAsia" w:ascii="仿宋_GB2312" w:eastAsia="仿宋_GB2312" w:cs="仿宋_GB2312"/>
          <w:bCs/>
          <w:kern w:val="0"/>
          <w:sz w:val="32"/>
          <w:szCs w:val="32"/>
          <w:lang w:val="en-US" w:eastAsia="zh-CN"/>
        </w:rPr>
        <w:t>902.84</w:t>
      </w:r>
      <w:r>
        <w:rPr>
          <w:rFonts w:hint="eastAsia" w:ascii="仿宋_GB2312" w:eastAsia="仿宋_GB2312" w:cs="仿宋_GB2312"/>
          <w:bCs/>
          <w:kern w:val="0"/>
          <w:sz w:val="32"/>
          <w:szCs w:val="32"/>
        </w:rPr>
        <w:t>万元（基本支出</w:t>
      </w:r>
      <w:r>
        <w:rPr>
          <w:rFonts w:hint="eastAsia" w:ascii="仿宋_GB2312" w:eastAsia="仿宋_GB2312" w:cs="仿宋_GB2312"/>
          <w:bCs/>
          <w:kern w:val="0"/>
          <w:sz w:val="32"/>
          <w:szCs w:val="32"/>
          <w:lang w:val="en-US" w:eastAsia="zh-CN"/>
        </w:rPr>
        <w:t>507.62</w:t>
      </w:r>
      <w:r>
        <w:rPr>
          <w:rFonts w:hint="eastAsia" w:ascii="仿宋_GB2312" w:eastAsia="仿宋_GB2312" w:cs="仿宋_GB2312"/>
          <w:bCs/>
          <w:kern w:val="0"/>
          <w:sz w:val="32"/>
          <w:szCs w:val="32"/>
        </w:rPr>
        <w:t>万元，项目支出</w:t>
      </w:r>
      <w:r>
        <w:rPr>
          <w:rFonts w:hint="eastAsia" w:ascii="仿宋_GB2312" w:eastAsia="仿宋_GB2312" w:cs="仿宋_GB2312"/>
          <w:bCs/>
          <w:kern w:val="0"/>
          <w:sz w:val="32"/>
          <w:szCs w:val="32"/>
          <w:lang w:val="en-US" w:eastAsia="zh-CN"/>
        </w:rPr>
        <w:t>395.22</w:t>
      </w:r>
      <w:r>
        <w:rPr>
          <w:rFonts w:hint="eastAsia" w:ascii="仿宋_GB2312" w:eastAsia="仿宋_GB2312" w:cs="仿宋_GB2312"/>
          <w:bCs/>
          <w:kern w:val="0"/>
          <w:sz w:val="32"/>
          <w:szCs w:val="32"/>
        </w:rPr>
        <w:t>万元，上缴上级支出0万元，经营支出0万元，对附属单位补助支出0万元）,结余分配0万元，年末结转和结余</w:t>
      </w:r>
      <w:r>
        <w:rPr>
          <w:rFonts w:hint="eastAsia" w:ascii="仿宋_GB2312" w:eastAsia="仿宋_GB2312" w:cs="仿宋_GB2312"/>
          <w:bCs/>
          <w:kern w:val="0"/>
          <w:sz w:val="32"/>
          <w:szCs w:val="32"/>
          <w:lang w:val="en-US" w:eastAsia="zh-CN"/>
        </w:rPr>
        <w:t>51.98</w:t>
      </w:r>
      <w:r>
        <w:rPr>
          <w:rFonts w:hint="eastAsia" w:ascii="仿宋_GB2312" w:eastAsia="仿宋_GB2312" w:cs="仿宋_GB2312"/>
          <w:bCs/>
          <w:kern w:val="0"/>
          <w:sz w:val="32"/>
          <w:szCs w:val="32"/>
        </w:rPr>
        <w:t>万元。</w:t>
      </w:r>
    </w:p>
    <w:p>
      <w:pPr>
        <w:numPr>
          <w:ilvl w:val="0"/>
          <w:numId w:val="0"/>
        </w:num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hAnsi="Times New Roman" w:eastAsia="仿宋_GB2312" w:cs="仿宋_GB2312"/>
          <w:bCs/>
          <w:kern w:val="0"/>
          <w:sz w:val="32"/>
          <w:szCs w:val="32"/>
          <w:highlight w:val="none"/>
          <w:lang w:val="en-US" w:eastAsia="zh-CN"/>
        </w:rPr>
        <w:t>通过开展各部门整体支出绩效目标分项自评，总结分析评价目标完成情况，资金使用率</w:t>
      </w:r>
      <w:r>
        <w:rPr>
          <w:rFonts w:hint="eastAsia" w:ascii="仿宋_GB2312" w:eastAsia="仿宋_GB2312" w:cs="仿宋_GB2312"/>
          <w:bCs/>
          <w:kern w:val="0"/>
          <w:sz w:val="32"/>
          <w:szCs w:val="32"/>
          <w:highlight w:val="none"/>
          <w:lang w:val="en-US" w:eastAsia="zh-CN"/>
        </w:rPr>
        <w:t>94.56</w:t>
      </w:r>
      <w:r>
        <w:rPr>
          <w:rFonts w:hint="eastAsia" w:ascii="仿宋_GB2312" w:hAnsi="Times New Roman" w:eastAsia="仿宋_GB2312" w:cs="仿宋_GB2312"/>
          <w:bCs/>
          <w:kern w:val="0"/>
          <w:sz w:val="32"/>
          <w:szCs w:val="32"/>
          <w:highlight w:val="none"/>
          <w:lang w:val="en-US" w:eastAsia="zh-CN"/>
        </w:rPr>
        <w:t>%</w:t>
      </w:r>
      <w:r>
        <w:rPr>
          <w:rFonts w:hint="eastAsia" w:ascii="仿宋_GB2312" w:eastAsia="仿宋_GB2312" w:cs="仿宋_GB2312"/>
          <w:bCs/>
          <w:kern w:val="0"/>
          <w:sz w:val="32"/>
          <w:szCs w:val="32"/>
          <w:highlight w:val="none"/>
          <w:lang w:val="en-US" w:eastAsia="zh-CN"/>
        </w:rPr>
        <w:t>,</w:t>
      </w:r>
      <w:r>
        <w:rPr>
          <w:rFonts w:hint="eastAsia" w:ascii="仿宋_GB2312" w:hAnsi="Times New Roman" w:eastAsia="仿宋_GB2312" w:cs="仿宋_GB2312"/>
          <w:bCs/>
          <w:kern w:val="0"/>
          <w:sz w:val="32"/>
          <w:szCs w:val="32"/>
          <w:highlight w:val="none"/>
          <w:lang w:val="en-US" w:eastAsia="zh-CN"/>
        </w:rPr>
        <w:t>更好的完成绩效分析和履行。</w:t>
      </w:r>
    </w:p>
    <w:p>
      <w:pPr>
        <w:autoSpaceDE w:val="0"/>
        <w:autoSpaceDN w:val="0"/>
        <w:adjustRightInd w:val="0"/>
        <w:ind w:firstLine="643" w:firstLineChars="200"/>
        <w:jc w:val="left"/>
        <w:rPr>
          <w:rFonts w:hint="eastAsia" w:ascii="仿宋_GB2312" w:eastAsia="仿宋_GB2312" w:cs="仿宋_GB2312"/>
          <w:b/>
          <w:bCs w:val="0"/>
          <w:kern w:val="0"/>
          <w:sz w:val="32"/>
          <w:szCs w:val="32"/>
          <w:highlight w:val="none"/>
          <w:lang w:eastAsia="zh-CN"/>
        </w:rPr>
      </w:pPr>
    </w:p>
    <w:p>
      <w:pPr>
        <w:autoSpaceDE w:val="0"/>
        <w:autoSpaceDN w:val="0"/>
        <w:adjustRightInd w:val="0"/>
        <w:ind w:firstLine="643" w:firstLineChars="200"/>
        <w:jc w:val="left"/>
        <w:rPr>
          <w:rFonts w:hint="eastAsia" w:ascii="仿宋_GB2312" w:eastAsia="仿宋_GB2312" w:cs="仿宋_GB2312"/>
          <w:b/>
          <w:bCs w:val="0"/>
          <w:kern w:val="0"/>
          <w:sz w:val="32"/>
          <w:szCs w:val="32"/>
          <w:highlight w:val="none"/>
          <w:lang w:eastAsia="zh-CN"/>
        </w:rPr>
      </w:pPr>
    </w:p>
    <w:p>
      <w:pPr>
        <w:autoSpaceDE w:val="0"/>
        <w:autoSpaceDN w:val="0"/>
        <w:adjustRightInd w:val="0"/>
        <w:ind w:firstLine="643" w:firstLineChars="200"/>
        <w:jc w:val="left"/>
        <w:rPr>
          <w:rFonts w:hint="eastAsia" w:ascii="仿宋_GB2312" w:eastAsia="仿宋_GB2312" w:cs="仿宋_GB2312"/>
          <w:b/>
          <w:bCs w:val="0"/>
          <w:kern w:val="0"/>
          <w:sz w:val="32"/>
          <w:szCs w:val="32"/>
          <w:highlight w:val="none"/>
          <w:lang w:eastAsia="zh-CN"/>
        </w:rPr>
      </w:pPr>
      <w:r>
        <w:rPr>
          <w:rFonts w:hint="eastAsia" w:ascii="仿宋_GB2312" w:eastAsia="仿宋_GB2312" w:cs="仿宋_GB2312"/>
          <w:b/>
          <w:bCs w:val="0"/>
          <w:kern w:val="0"/>
          <w:sz w:val="32"/>
          <w:szCs w:val="32"/>
          <w:highlight w:val="none"/>
          <w:lang w:eastAsia="zh-CN"/>
        </w:rPr>
        <w:t>十、</w:t>
      </w:r>
      <w:r>
        <w:rPr>
          <w:rFonts w:hint="eastAsia" w:ascii="仿宋_GB2312" w:eastAsia="仿宋_GB2312" w:cs="仿宋_GB2312"/>
          <w:b/>
          <w:bCs w:val="0"/>
          <w:kern w:val="0"/>
          <w:sz w:val="32"/>
          <w:szCs w:val="32"/>
          <w:highlight w:val="none"/>
        </w:rPr>
        <w:t>其他重要事项的情况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highlight w:val="none"/>
        </w:rPr>
        <w:t>（一）机关运行经费支出情况。</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9</w:t>
      </w:r>
      <w:r>
        <w:rPr>
          <w:rFonts w:hint="eastAsia" w:ascii="仿宋_GB2312" w:eastAsia="仿宋_GB2312" w:cs="仿宋_GB2312"/>
          <w:kern w:val="0"/>
          <w:sz w:val="32"/>
          <w:szCs w:val="32"/>
          <w:highlight w:val="none"/>
        </w:rPr>
        <w:t>年度部门机关运行经费支出</w:t>
      </w:r>
      <w:r>
        <w:rPr>
          <w:rFonts w:hint="eastAsia" w:ascii="仿宋_GB2312" w:eastAsia="仿宋_GB2312" w:cs="仿宋_GB2312"/>
          <w:kern w:val="0"/>
          <w:sz w:val="32"/>
          <w:szCs w:val="32"/>
          <w:highlight w:val="none"/>
          <w:lang w:val="en-US" w:eastAsia="zh-CN"/>
        </w:rPr>
        <w:t>54.64</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 xml:space="preserve">比 </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年增加</w:t>
      </w:r>
      <w:r>
        <w:rPr>
          <w:rFonts w:hint="eastAsia" w:ascii="仿宋_GB2312" w:eastAsia="仿宋_GB2312" w:cs="仿宋_GB2312"/>
          <w:kern w:val="0"/>
          <w:sz w:val="32"/>
          <w:szCs w:val="32"/>
          <w:highlight w:val="none"/>
          <w:lang w:val="en-US" w:eastAsia="zh-CN"/>
        </w:rPr>
        <w:t>1.02</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1.90</w:t>
      </w:r>
      <w:r>
        <w:rPr>
          <w:rFonts w:hint="eastAsia" w:ascii="仿宋_GB2312" w:eastAsia="仿宋_GB2312" w:cs="仿宋_GB2312"/>
          <w:kern w:val="0"/>
          <w:sz w:val="32"/>
          <w:szCs w:val="32"/>
          <w:highlight w:val="none"/>
        </w:rPr>
        <w:t xml:space="preserve"> %，</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原因财政追加预算，机关运行经费支出增长。</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28.98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其中：货物支出</w:t>
      </w:r>
      <w:r>
        <w:rPr>
          <w:rFonts w:hint="eastAsia" w:ascii="仿宋_GB2312" w:eastAsia="仿宋_GB2312" w:cs="仿宋_GB2312"/>
          <w:kern w:val="0"/>
          <w:sz w:val="32"/>
          <w:szCs w:val="32"/>
          <w:lang w:val="en-US" w:eastAsia="zh-CN"/>
        </w:rPr>
        <w:t>25.58</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3.4</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w:t>
      </w:r>
      <w:r>
        <w:rPr>
          <w:rFonts w:hint="eastAsia" w:ascii="仿宋_GB2312" w:eastAsia="仿宋_GB2312" w:cs="仿宋_GB2312"/>
          <w:kern w:val="0"/>
          <w:sz w:val="32"/>
          <w:szCs w:val="32"/>
          <w:lang w:eastAsia="zh-CN"/>
        </w:rPr>
        <w:t>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台</w:t>
      </w:r>
      <w:r>
        <w:rPr>
          <w:rFonts w:hint="eastAsia" w:ascii="仿宋_GB2312" w:eastAsia="仿宋_GB2312" w:cs="仿宋_GB2312"/>
          <w:kern w:val="0"/>
          <w:sz w:val="32"/>
          <w:szCs w:val="32"/>
        </w:rPr>
        <w:t xml:space="preserve">（套）。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sectPr>
      <w:pgSz w:w="11906" w:h="16838"/>
      <w:pgMar w:top="1134" w:right="454" w:bottom="454" w:left="850"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UI Light">
    <w:altName w:val="宋体"/>
    <w:panose1 w:val="00000000000000000000"/>
    <w:charset w:val="86"/>
    <w:family w:val="swiss"/>
    <w:pitch w:val="default"/>
    <w:sig w:usb0="00000000" w:usb1="00000000" w:usb2="00000000" w:usb3="00000000" w:csb0="0000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- 16 -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abstractNum w:abstractNumId="2">
    <w:nsid w:val="5F33990E"/>
    <w:multiLevelType w:val="singleLevel"/>
    <w:tmpl w:val="5F33990E"/>
    <w:lvl w:ilvl="0" w:tentative="0">
      <w:start w:val="3"/>
      <w:numFmt w:val="chineseCounting"/>
      <w:suff w:val="nothing"/>
      <w:lvlText w:val="（%1）"/>
      <w:lvlJc w:val="left"/>
    </w:lvl>
  </w:abstractNum>
  <w:abstractNum w:abstractNumId="3">
    <w:nsid w:val="5F339F85"/>
    <w:multiLevelType w:val="singleLevel"/>
    <w:tmpl w:val="5F339F85"/>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321CDE"/>
    <w:rsid w:val="00A65A8F"/>
    <w:rsid w:val="01AC43D9"/>
    <w:rsid w:val="02C40059"/>
    <w:rsid w:val="043415F0"/>
    <w:rsid w:val="04B368F3"/>
    <w:rsid w:val="06920305"/>
    <w:rsid w:val="080021E6"/>
    <w:rsid w:val="08593626"/>
    <w:rsid w:val="0B0E4C5D"/>
    <w:rsid w:val="0F5E32D0"/>
    <w:rsid w:val="116049A7"/>
    <w:rsid w:val="12662681"/>
    <w:rsid w:val="12804818"/>
    <w:rsid w:val="12F73AEC"/>
    <w:rsid w:val="13A8254D"/>
    <w:rsid w:val="13C37165"/>
    <w:rsid w:val="1516420C"/>
    <w:rsid w:val="176D59AB"/>
    <w:rsid w:val="17AC5DF3"/>
    <w:rsid w:val="1D88690F"/>
    <w:rsid w:val="1DEE7E5F"/>
    <w:rsid w:val="1F9C5E66"/>
    <w:rsid w:val="20F46883"/>
    <w:rsid w:val="223A415E"/>
    <w:rsid w:val="22A733D9"/>
    <w:rsid w:val="237622BF"/>
    <w:rsid w:val="24253D3E"/>
    <w:rsid w:val="24291573"/>
    <w:rsid w:val="252D68F2"/>
    <w:rsid w:val="252E5D95"/>
    <w:rsid w:val="26460DBA"/>
    <w:rsid w:val="26D675C8"/>
    <w:rsid w:val="278921CF"/>
    <w:rsid w:val="28320D37"/>
    <w:rsid w:val="286C54AF"/>
    <w:rsid w:val="29026AE3"/>
    <w:rsid w:val="2A052B3A"/>
    <w:rsid w:val="2A1A4F6F"/>
    <w:rsid w:val="2B6E36DC"/>
    <w:rsid w:val="2B7B6D4A"/>
    <w:rsid w:val="2C4219FE"/>
    <w:rsid w:val="2E18552E"/>
    <w:rsid w:val="30FC30A7"/>
    <w:rsid w:val="31272B11"/>
    <w:rsid w:val="332D1C95"/>
    <w:rsid w:val="34EF6535"/>
    <w:rsid w:val="360809DC"/>
    <w:rsid w:val="366C2CA0"/>
    <w:rsid w:val="36BF3623"/>
    <w:rsid w:val="37FE7BB3"/>
    <w:rsid w:val="38273E6F"/>
    <w:rsid w:val="39A63F06"/>
    <w:rsid w:val="3C5D3960"/>
    <w:rsid w:val="3ED1439F"/>
    <w:rsid w:val="4126327E"/>
    <w:rsid w:val="42FD65B6"/>
    <w:rsid w:val="440D31B0"/>
    <w:rsid w:val="46D92CEB"/>
    <w:rsid w:val="48512BD8"/>
    <w:rsid w:val="4A045739"/>
    <w:rsid w:val="4C1730CE"/>
    <w:rsid w:val="4C256E3D"/>
    <w:rsid w:val="4CB52F0F"/>
    <w:rsid w:val="4E555670"/>
    <w:rsid w:val="4FAE46A0"/>
    <w:rsid w:val="5001220C"/>
    <w:rsid w:val="52723058"/>
    <w:rsid w:val="532F1F9A"/>
    <w:rsid w:val="53B85AF6"/>
    <w:rsid w:val="580D178F"/>
    <w:rsid w:val="58926A6F"/>
    <w:rsid w:val="58FC369A"/>
    <w:rsid w:val="591F1140"/>
    <w:rsid w:val="59CA218C"/>
    <w:rsid w:val="5A37279C"/>
    <w:rsid w:val="5A92750D"/>
    <w:rsid w:val="5A9D62CF"/>
    <w:rsid w:val="5BB44A88"/>
    <w:rsid w:val="5CFB64C7"/>
    <w:rsid w:val="5DC20352"/>
    <w:rsid w:val="5E3E3AEA"/>
    <w:rsid w:val="5E467975"/>
    <w:rsid w:val="5EA82B2C"/>
    <w:rsid w:val="60327E2A"/>
    <w:rsid w:val="60E7156A"/>
    <w:rsid w:val="60F12443"/>
    <w:rsid w:val="616F1E22"/>
    <w:rsid w:val="62163194"/>
    <w:rsid w:val="623007E9"/>
    <w:rsid w:val="6266543F"/>
    <w:rsid w:val="64707693"/>
    <w:rsid w:val="6499509D"/>
    <w:rsid w:val="67B96EE9"/>
    <w:rsid w:val="682A33C8"/>
    <w:rsid w:val="686654E7"/>
    <w:rsid w:val="688146CC"/>
    <w:rsid w:val="68DD4861"/>
    <w:rsid w:val="6A4E1778"/>
    <w:rsid w:val="6A6761AC"/>
    <w:rsid w:val="6B440661"/>
    <w:rsid w:val="6BCE327A"/>
    <w:rsid w:val="6BD9747D"/>
    <w:rsid w:val="6C110E7D"/>
    <w:rsid w:val="6C210961"/>
    <w:rsid w:val="6CC52371"/>
    <w:rsid w:val="6E7205E5"/>
    <w:rsid w:val="6E912D5D"/>
    <w:rsid w:val="6F2E36BB"/>
    <w:rsid w:val="713D2B2B"/>
    <w:rsid w:val="71E5084A"/>
    <w:rsid w:val="72DF7724"/>
    <w:rsid w:val="73890EF9"/>
    <w:rsid w:val="74B34495"/>
    <w:rsid w:val="76E53309"/>
    <w:rsid w:val="78B00570"/>
    <w:rsid w:val="7A133D7A"/>
    <w:rsid w:val="7CBC5C73"/>
    <w:rsid w:val="7D7C23D8"/>
    <w:rsid w:val="7EB10F4B"/>
    <w:rsid w:val="7EB34E21"/>
    <w:rsid w:val="7EED678F"/>
    <w:rsid w:val="7F2B5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Microsoft JhengHei UI Light" w:hAnsi="Microsoft JhengHei UI Light" w:eastAsia="Microsoft JhengHei UI Light" w:cs="Microsoft JhengHei UI Light"/>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0"/>
    <w:pPr>
      <w:spacing w:before="100"/>
      <w:jc w:val="right"/>
    </w:pPr>
    <w:rPr>
      <w:rFonts w:ascii="Microsoft JhengHei UI Light" w:hAnsi="Microsoft JhengHei UI Light" w:eastAsia="Microsoft JhengHei UI Light" w:cs="Microsoft JhengHei UI Light"/>
      <w:sz w:val="32"/>
      <w:szCs w:val="32"/>
      <w:lang w:val="en-US" w:eastAsia="zh-CN" w:bidi="ar-SA"/>
    </w:rPr>
  </w:style>
  <w:style w:type="character" w:styleId="8">
    <w:name w:val="page number"/>
    <w:basedOn w:val="7"/>
    <w:qFormat/>
    <w:uiPriority w:val="0"/>
  </w:style>
  <w:style w:type="paragraph" w:customStyle="1" w:styleId="9">
    <w:name w:val="Table Paragraph"/>
    <w:basedOn w:val="1"/>
    <w:qFormat/>
    <w:uiPriority w:val="1"/>
    <w:pPr>
      <w:spacing w:line="258" w:lineRule="exact"/>
      <w:ind w:right="53"/>
      <w:jc w:val="right"/>
    </w:pPr>
    <w:rPr>
      <w:rFonts w:ascii="Times New Roman" w:hAnsi="Times New Roman" w:eastAsia="Times New Roman" w:cs="Times New Roman"/>
      <w:lang w:val="en-US" w:eastAsia="zh-CN" w:bidi="ar-SA"/>
    </w:rPr>
  </w:style>
  <w:style w:type="paragraph" w:customStyle="1" w:styleId="10">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8763</Words>
  <Characters>11655</Characters>
  <Lines>0</Lines>
  <Paragraphs>0</Paragraphs>
  <TotalTime>1</TotalTime>
  <ScaleCrop>false</ScaleCrop>
  <LinksUpToDate>false</LinksUpToDate>
  <CharactersWithSpaces>12874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2020-09-10T07:52:00Z</cp:lastPrinted>
  <dcterms:modified xsi:type="dcterms:W3CDTF">2021-06-10T09:25:06Z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