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纪委监委</w:t>
      </w:r>
    </w:p>
    <w:p>
      <w:pPr>
        <w:jc w:val="center"/>
        <w:rPr>
          <w:rFonts w:ascii="黑体" w:eastAsia="黑体" w:cs="ArialUnicodeMS"/>
          <w:kern w:val="0"/>
          <w:sz w:val="52"/>
          <w:szCs w:val="52"/>
        </w:rPr>
      </w:pPr>
      <w:r>
        <w:rPr>
          <w:rFonts w:hint="eastAsia" w:ascii="黑体" w:eastAsia="黑体"/>
          <w:kern w:val="0"/>
          <w:sz w:val="52"/>
          <w:szCs w:val="52"/>
        </w:rPr>
        <w:t>2019</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柳州市纪委监委</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柳州市纪委监委</w:t>
      </w:r>
      <w:r>
        <w:rPr>
          <w:rFonts w:hint="eastAsia" w:ascii="仿宋_GB2312" w:eastAsia="仿宋_GB2312"/>
          <w:b/>
          <w:sz w:val="32"/>
          <w:szCs w:val="32"/>
        </w:rPr>
        <w:t>2019年部门决算报表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柳州市纪委监委</w:t>
      </w:r>
      <w:r>
        <w:rPr>
          <w:rFonts w:hint="eastAsia" w:ascii="仿宋_GB2312" w:eastAsia="仿宋_GB2312"/>
          <w:b/>
          <w:sz w:val="32"/>
          <w:szCs w:val="32"/>
        </w:rPr>
        <w:t>2019年度部门决算情况说明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2019</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2019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2019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柳州市纪委监委</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（一）在夯实“两个责任”上再加力，推动全面从严治党向基层延伸。</w:t>
      </w:r>
    </w:p>
    <w:p>
      <w:pPr>
        <w:ind w:firstLine="646"/>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（二）在落实中央八项规定精神上再加力，不断擦亮作风建设亮丽名片。</w:t>
      </w:r>
    </w:p>
    <w:p>
      <w:pPr>
        <w:ind w:firstLine="646"/>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（三）在推进扶贫领域腐败和作风问题专项治理工作上再加力，保障脱贫攻坚决战决胜。</w:t>
      </w:r>
    </w:p>
    <w:p>
      <w:pPr>
        <w:ind w:firstLine="646"/>
        <w:rPr>
          <w:rFonts w:ascii="仿宋_GB2312" w:hAnsi="楷体_GB2312" w:eastAsia="仿宋_GB2312" w:cs="楷体_GB2312"/>
          <w:bCs/>
          <w:sz w:val="32"/>
          <w:szCs w:val="32"/>
        </w:rPr>
      </w:pPr>
      <w:r>
        <w:rPr>
          <w:rFonts w:hint="eastAsia" w:ascii="仿宋_GB2312" w:hAnsi="楷体_GB2312" w:eastAsia="仿宋_GB2312" w:cs="楷体_GB2312"/>
          <w:bCs/>
          <w:sz w:val="32"/>
          <w:szCs w:val="32"/>
        </w:rPr>
        <w:t>（四）在推进扫黑除恶专项斗争监督执纪问责工作上再加力，坚决打掉黑恶势力及其“保护伞”。</w:t>
      </w:r>
    </w:p>
    <w:p>
      <w:pPr>
        <w:ind w:firstLine="646"/>
        <w:rPr>
          <w:rFonts w:ascii="仿宋_GB2312" w:eastAsia="仿宋_GB2312"/>
          <w:sz w:val="32"/>
          <w:szCs w:val="32"/>
        </w:rPr>
      </w:pPr>
      <w:r>
        <w:rPr>
          <w:rFonts w:hint="eastAsia" w:ascii="仿宋_GB2312" w:eastAsia="仿宋_GB2312"/>
          <w:bCs/>
          <w:sz w:val="32"/>
          <w:szCs w:val="32"/>
        </w:rPr>
        <w:t>（五）在改革和队伍建设上再加力，为推动纪检监察工作高质量发展提供保证。</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1.柳州市纪委监委</w:t>
      </w:r>
    </w:p>
    <w:p>
      <w:pPr>
        <w:ind w:firstLine="645"/>
        <w:rPr>
          <w:rFonts w:ascii="仿宋_GB2312" w:eastAsia="仿宋_GB2312"/>
          <w:sz w:val="32"/>
          <w:szCs w:val="32"/>
        </w:rPr>
      </w:pPr>
      <w:r>
        <w:rPr>
          <w:rFonts w:hint="eastAsia" w:ascii="仿宋_GB2312" w:eastAsia="仿宋_GB2312"/>
          <w:sz w:val="32"/>
          <w:szCs w:val="32"/>
        </w:rPr>
        <w:t>2.柳州市反腐倡廉信息教育中心</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sz w:val="32"/>
          <w:szCs w:val="32"/>
        </w:rPr>
        <w:t>柳州市纪委监委</w:t>
      </w:r>
      <w:r>
        <w:rPr>
          <w:rFonts w:hint="eastAsia" w:ascii="仿宋_GB2312" w:eastAsia="仿宋_GB2312"/>
          <w:b/>
          <w:sz w:val="32"/>
          <w:szCs w:val="32"/>
        </w:rPr>
        <w:t>2019年部门决算报表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jc w:val="center"/>
      </w:pPr>
    </w:p>
    <w:p/>
    <w:tbl>
      <w:tblPr>
        <w:tblStyle w:val="6"/>
        <w:tblW w:w="9720" w:type="dxa"/>
        <w:tblInd w:w="93" w:type="dxa"/>
        <w:tblLayout w:type="fixed"/>
        <w:tblCellMar>
          <w:top w:w="0" w:type="dxa"/>
          <w:left w:w="108" w:type="dxa"/>
          <w:bottom w:w="0" w:type="dxa"/>
          <w:right w:w="108" w:type="dxa"/>
        </w:tblCellMar>
      </w:tblPr>
      <w:tblGrid>
        <w:gridCol w:w="2480"/>
        <w:gridCol w:w="580"/>
        <w:gridCol w:w="1180"/>
        <w:gridCol w:w="3600"/>
        <w:gridCol w:w="580"/>
        <w:gridCol w:w="1300"/>
      </w:tblGrid>
      <w:tr>
        <w:tblPrEx>
          <w:tblLayout w:type="fixed"/>
          <w:tblCellMar>
            <w:top w:w="0" w:type="dxa"/>
            <w:left w:w="108" w:type="dxa"/>
            <w:bottom w:w="0" w:type="dxa"/>
            <w:right w:w="108" w:type="dxa"/>
          </w:tblCellMar>
        </w:tblPrEx>
        <w:trPr>
          <w:trHeight w:val="308" w:hRule="atLeast"/>
        </w:trPr>
        <w:tc>
          <w:tcPr>
            <w:tcW w:w="42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5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3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525"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6,040.74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4,910.49 </w:t>
            </w:r>
          </w:p>
        </w:tc>
      </w:tr>
      <w:tr>
        <w:tblPrEx>
          <w:tblLayout w:type="fixed"/>
          <w:tblCellMar>
            <w:top w:w="0" w:type="dxa"/>
            <w:left w:w="108" w:type="dxa"/>
            <w:bottom w:w="0" w:type="dxa"/>
            <w:right w:w="108" w:type="dxa"/>
          </w:tblCellMar>
        </w:tblPrEx>
        <w:trPr>
          <w:trHeight w:val="660"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三、上级补助收入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四、事业收入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五、经营收入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六、附属单位上缴收入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七、其他收入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十八、自然资源海洋气象等支出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二十一、灾害防治及应急管理支出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二十二、其他支出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二十三、债务还本支出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二十四、债务付息支出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6,040.74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6,073.82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460.08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58</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427.01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59</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r>
      <w:tr>
        <w:tblPrEx>
          <w:tblLayout w:type="fixed"/>
          <w:tblCellMar>
            <w:top w:w="0" w:type="dxa"/>
            <w:left w:w="108" w:type="dxa"/>
            <w:bottom w:w="0" w:type="dxa"/>
            <w:right w:w="108" w:type="dxa"/>
          </w:tblCellMar>
        </w:tblPrEx>
        <w:trPr>
          <w:trHeight w:val="308" w:hRule="atLeast"/>
        </w:trPr>
        <w:tc>
          <w:tcPr>
            <w:tcW w:w="2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6,500.83 </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60</w:t>
            </w:r>
          </w:p>
        </w:tc>
        <w:tc>
          <w:tcPr>
            <w:tcW w:w="13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6,500.83 </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3954" w:type="dxa"/>
        <w:tblInd w:w="93" w:type="dxa"/>
        <w:tblLayout w:type="fixed"/>
        <w:tblCellMar>
          <w:top w:w="0" w:type="dxa"/>
          <w:left w:w="108" w:type="dxa"/>
          <w:bottom w:w="0" w:type="dxa"/>
          <w:right w:w="108" w:type="dxa"/>
        </w:tblCellMar>
      </w:tblPr>
      <w:tblGrid>
        <w:gridCol w:w="436"/>
        <w:gridCol w:w="436"/>
        <w:gridCol w:w="436"/>
        <w:gridCol w:w="3940"/>
        <w:gridCol w:w="1800"/>
        <w:gridCol w:w="1800"/>
        <w:gridCol w:w="1060"/>
        <w:gridCol w:w="696"/>
        <w:gridCol w:w="700"/>
        <w:gridCol w:w="940"/>
        <w:gridCol w:w="1710"/>
      </w:tblGrid>
      <w:tr>
        <w:tblPrEx>
          <w:tblLayout w:type="fixed"/>
          <w:tblCellMar>
            <w:top w:w="0" w:type="dxa"/>
            <w:left w:w="108" w:type="dxa"/>
            <w:bottom w:w="0" w:type="dxa"/>
            <w:right w:w="108" w:type="dxa"/>
          </w:tblCellMar>
        </w:tblPrEx>
        <w:trPr>
          <w:trHeight w:val="285" w:hRule="atLeast"/>
        </w:trPr>
        <w:tc>
          <w:tcPr>
            <w:tcW w:w="436" w:type="dxa"/>
            <w:tcBorders>
              <w:top w:val="nil"/>
              <w:left w:val="nil"/>
              <w:bottom w:val="nil"/>
              <w:right w:val="nil"/>
            </w:tcBorders>
            <w:shd w:val="clear" w:color="auto" w:fill="auto"/>
            <w:vAlign w:val="center"/>
          </w:tcPr>
          <w:p>
            <w:pPr>
              <w:widowControl/>
              <w:jc w:val="left"/>
              <w:rPr>
                <w:rFonts w:ascii="黑体" w:hAnsi="黑体" w:eastAsia="黑体" w:cs="Arial"/>
                <w:kern w:val="0"/>
                <w:sz w:val="24"/>
              </w:rPr>
            </w:pPr>
          </w:p>
        </w:tc>
        <w:tc>
          <w:tcPr>
            <w:tcW w:w="436"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436"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3940"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1800"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1800"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1060"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696"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700"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940" w:type="dxa"/>
            <w:tcBorders>
              <w:top w:val="nil"/>
              <w:left w:val="nil"/>
              <w:bottom w:val="nil"/>
              <w:right w:val="nil"/>
            </w:tcBorders>
            <w:shd w:val="clear" w:color="auto" w:fill="auto"/>
            <w:vAlign w:val="center"/>
          </w:tcPr>
          <w:p>
            <w:pPr>
              <w:widowControl/>
              <w:jc w:val="right"/>
              <w:rPr>
                <w:rFonts w:ascii="宋体" w:hAnsi="宋体" w:cs="Arial"/>
                <w:kern w:val="0"/>
                <w:sz w:val="24"/>
              </w:rPr>
            </w:pPr>
          </w:p>
        </w:tc>
        <w:tc>
          <w:tcPr>
            <w:tcW w:w="1710" w:type="dxa"/>
            <w:tcBorders>
              <w:top w:val="nil"/>
              <w:left w:val="nil"/>
              <w:bottom w:val="nil"/>
              <w:right w:val="nil"/>
            </w:tcBorders>
            <w:shd w:val="clear" w:color="auto" w:fill="auto"/>
            <w:vAlign w:val="center"/>
          </w:tcPr>
          <w:p>
            <w:pPr>
              <w:widowControl/>
              <w:jc w:val="right"/>
              <w:rPr>
                <w:rFonts w:ascii="宋体" w:hAnsi="宋体" w:cs="Arial"/>
                <w:kern w:val="0"/>
                <w:sz w:val="24"/>
              </w:rPr>
            </w:pPr>
          </w:p>
        </w:tc>
      </w:tr>
      <w:tr>
        <w:tblPrEx>
          <w:tblLayout w:type="fixed"/>
          <w:tblCellMar>
            <w:top w:w="0" w:type="dxa"/>
            <w:left w:w="108" w:type="dxa"/>
            <w:bottom w:w="0" w:type="dxa"/>
            <w:right w:w="108" w:type="dxa"/>
          </w:tblCellMar>
        </w:tblPrEx>
        <w:trPr>
          <w:trHeight w:val="540" w:hRule="atLeast"/>
        </w:trPr>
        <w:tc>
          <w:tcPr>
            <w:tcW w:w="13954" w:type="dxa"/>
            <w:gridSpan w:val="11"/>
            <w:tcBorders>
              <w:top w:val="nil"/>
              <w:left w:val="nil"/>
              <w:bottom w:val="nil"/>
              <w:right w:val="nil"/>
            </w:tcBorders>
            <w:shd w:val="clear" w:color="000000" w:fill="FFFFFF"/>
            <w:vAlign w:val="center"/>
          </w:tcPr>
          <w:p>
            <w:pPr>
              <w:widowControl/>
              <w:jc w:val="center"/>
              <w:rPr>
                <w:rFonts w:ascii="华文中宋" w:hAnsi="华文中宋" w:eastAsia="华文中宋" w:cs="Arial"/>
                <w:color w:val="000000"/>
                <w:kern w:val="0"/>
                <w:sz w:val="32"/>
                <w:szCs w:val="32"/>
              </w:rPr>
            </w:pPr>
          </w:p>
        </w:tc>
      </w:tr>
      <w:tr>
        <w:tblPrEx>
          <w:tblLayout w:type="fixed"/>
          <w:tblCellMar>
            <w:top w:w="0" w:type="dxa"/>
            <w:left w:w="108" w:type="dxa"/>
            <w:bottom w:w="0" w:type="dxa"/>
            <w:right w:w="108" w:type="dxa"/>
          </w:tblCellMar>
        </w:tblPrEx>
        <w:trPr>
          <w:trHeight w:val="308" w:hRule="atLeast"/>
        </w:trPr>
        <w:tc>
          <w:tcPr>
            <w:tcW w:w="52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支出功能分类科目编码</w:t>
            </w:r>
          </w:p>
        </w:tc>
        <w:tc>
          <w:tcPr>
            <w:tcW w:w="3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6,040.74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6,040.74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4,878.25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4,878.25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纪检监察事务</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4,793.19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4,793.19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2,782.34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2,782.34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1,038.11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1,038.11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2011150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264.45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264.45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2011199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其他纪检监察事务支出</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708.28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708.28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其他共产党事务支出</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530.35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530.35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530.35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530.35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归口管理的行政单位离退休</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158.01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158.01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372.34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372.34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355.50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355.50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355.50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355.50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160.24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160.24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1.78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1.78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193.48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193.48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274.27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274.27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2.37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2.37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45" w:hRule="atLeast"/>
        </w:trPr>
        <w:tc>
          <w:tcPr>
            <w:tcW w:w="7048" w:type="dxa"/>
            <w:gridSpan w:val="5"/>
            <w:tcBorders>
              <w:top w:val="nil"/>
              <w:left w:val="nil"/>
              <w:bottom w:val="nil"/>
              <w:right w:val="nil"/>
            </w:tcBorders>
            <w:shd w:val="clear" w:color="auto" w:fill="auto"/>
            <w:vAlign w:val="center"/>
          </w:tcPr>
          <w:p>
            <w:pPr>
              <w:widowControl/>
              <w:jc w:val="left"/>
              <w:rPr>
                <w:rFonts w:ascii="宋体" w:hAnsi="宋体" w:cs="Arial"/>
                <w:kern w:val="0"/>
                <w:sz w:val="24"/>
              </w:rPr>
            </w:pPr>
            <w:r>
              <w:rPr>
                <w:rFonts w:hint="eastAsia" w:ascii="宋体" w:hAnsi="宋体" w:cs="Arial"/>
                <w:kern w:val="0"/>
                <w:sz w:val="24"/>
              </w:rPr>
              <w:t>注：1.本表依据《收入决算表》（财决03表）进行批复。</w:t>
            </w:r>
          </w:p>
        </w:tc>
        <w:tc>
          <w:tcPr>
            <w:tcW w:w="18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06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696"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7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94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710" w:type="dxa"/>
            <w:tcBorders>
              <w:top w:val="nil"/>
              <w:left w:val="nil"/>
              <w:bottom w:val="nil"/>
              <w:right w:val="nil"/>
            </w:tcBorders>
            <w:shd w:val="clear" w:color="auto" w:fill="auto"/>
            <w:vAlign w:val="center"/>
          </w:tcPr>
          <w:p>
            <w:pPr>
              <w:widowControl/>
              <w:jc w:val="left"/>
              <w:rPr>
                <w:rFonts w:ascii="宋体" w:hAnsi="宋体" w:cs="Arial"/>
                <w:kern w:val="0"/>
                <w:sz w:val="24"/>
              </w:rPr>
            </w:pPr>
          </w:p>
        </w:tc>
      </w:tr>
      <w:tr>
        <w:tblPrEx>
          <w:tblLayout w:type="fixed"/>
          <w:tblCellMar>
            <w:top w:w="0" w:type="dxa"/>
            <w:left w:w="108" w:type="dxa"/>
            <w:bottom w:w="0" w:type="dxa"/>
            <w:right w:w="108" w:type="dxa"/>
          </w:tblCellMar>
        </w:tblPrEx>
        <w:trPr>
          <w:trHeight w:val="345" w:hRule="atLeast"/>
        </w:trPr>
        <w:tc>
          <w:tcPr>
            <w:tcW w:w="5248" w:type="dxa"/>
            <w:gridSpan w:val="4"/>
            <w:tcBorders>
              <w:top w:val="nil"/>
              <w:left w:val="nil"/>
              <w:bottom w:val="nil"/>
              <w:right w:val="nil"/>
            </w:tcBorders>
            <w:shd w:val="clear" w:color="auto" w:fill="auto"/>
            <w:vAlign w:val="center"/>
          </w:tcPr>
          <w:p>
            <w:pPr>
              <w:widowControl/>
              <w:jc w:val="left"/>
              <w:rPr>
                <w:rFonts w:ascii="宋体" w:hAnsi="宋体" w:cs="Arial"/>
                <w:kern w:val="0"/>
                <w:sz w:val="24"/>
              </w:rPr>
            </w:pPr>
            <w:r>
              <w:rPr>
                <w:rFonts w:hint="eastAsia" w:ascii="宋体" w:hAnsi="宋体" w:cs="Arial"/>
                <w:kern w:val="0"/>
                <w:sz w:val="24"/>
              </w:rPr>
              <w:t xml:space="preserve">    2.本表含政府性基金预算财政拨款。</w:t>
            </w:r>
          </w:p>
        </w:tc>
        <w:tc>
          <w:tcPr>
            <w:tcW w:w="18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8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06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696"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7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94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710" w:type="dxa"/>
            <w:tcBorders>
              <w:top w:val="nil"/>
              <w:left w:val="nil"/>
              <w:bottom w:val="nil"/>
              <w:right w:val="nil"/>
            </w:tcBorders>
            <w:shd w:val="clear" w:color="auto" w:fill="auto"/>
            <w:vAlign w:val="center"/>
          </w:tcPr>
          <w:p>
            <w:pPr>
              <w:widowControl/>
              <w:jc w:val="left"/>
              <w:rPr>
                <w:rFonts w:ascii="宋体" w:hAnsi="宋体" w:cs="Arial"/>
                <w:kern w:val="0"/>
                <w:sz w:val="24"/>
              </w:rPr>
            </w:pPr>
          </w:p>
        </w:tc>
      </w:tr>
      <w:tr>
        <w:tblPrEx>
          <w:tblLayout w:type="fixed"/>
          <w:tblCellMar>
            <w:top w:w="0" w:type="dxa"/>
            <w:left w:w="108" w:type="dxa"/>
            <w:bottom w:w="0" w:type="dxa"/>
            <w:right w:w="108" w:type="dxa"/>
          </w:tblCellMar>
        </w:tblPrEx>
        <w:trPr>
          <w:trHeight w:val="345" w:hRule="atLeast"/>
        </w:trPr>
        <w:tc>
          <w:tcPr>
            <w:tcW w:w="5248" w:type="dxa"/>
            <w:gridSpan w:val="4"/>
            <w:tcBorders>
              <w:top w:val="nil"/>
              <w:left w:val="nil"/>
              <w:bottom w:val="nil"/>
              <w:right w:val="nil"/>
            </w:tcBorders>
            <w:shd w:val="clear" w:color="auto" w:fill="auto"/>
            <w:vAlign w:val="center"/>
          </w:tcPr>
          <w:p>
            <w:pPr>
              <w:widowControl/>
              <w:jc w:val="left"/>
              <w:rPr>
                <w:rFonts w:ascii="宋体" w:hAnsi="宋体" w:cs="Arial"/>
                <w:kern w:val="0"/>
                <w:sz w:val="24"/>
              </w:rPr>
            </w:pPr>
            <w:r>
              <w:rPr>
                <w:rFonts w:hint="eastAsia" w:ascii="宋体" w:hAnsi="宋体" w:cs="Arial"/>
                <w:kern w:val="0"/>
                <w:sz w:val="24"/>
              </w:rPr>
              <w:t xml:space="preserve">    3.本表批复到项级科目。</w:t>
            </w:r>
          </w:p>
        </w:tc>
        <w:tc>
          <w:tcPr>
            <w:tcW w:w="18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8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06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696"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7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94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710" w:type="dxa"/>
            <w:tcBorders>
              <w:top w:val="nil"/>
              <w:left w:val="nil"/>
              <w:bottom w:val="nil"/>
              <w:right w:val="nil"/>
            </w:tcBorders>
            <w:shd w:val="clear" w:color="auto" w:fill="auto"/>
            <w:vAlign w:val="center"/>
          </w:tcPr>
          <w:p>
            <w:pPr>
              <w:widowControl/>
              <w:jc w:val="left"/>
              <w:rPr>
                <w:rFonts w:ascii="宋体" w:hAnsi="宋体" w:cs="Arial"/>
                <w:kern w:val="0"/>
                <w:sz w:val="24"/>
              </w:rPr>
            </w:pPr>
          </w:p>
        </w:tc>
      </w:tr>
      <w:tr>
        <w:tblPrEx>
          <w:tblLayout w:type="fixed"/>
          <w:tblCellMar>
            <w:top w:w="0" w:type="dxa"/>
            <w:left w:w="108" w:type="dxa"/>
            <w:bottom w:w="0" w:type="dxa"/>
            <w:right w:w="108" w:type="dxa"/>
          </w:tblCellMar>
        </w:tblPrEx>
        <w:trPr>
          <w:trHeight w:val="345" w:hRule="atLeast"/>
        </w:trPr>
        <w:tc>
          <w:tcPr>
            <w:tcW w:w="7048" w:type="dxa"/>
            <w:gridSpan w:val="5"/>
            <w:tcBorders>
              <w:top w:val="nil"/>
              <w:left w:val="nil"/>
              <w:bottom w:val="nil"/>
              <w:right w:val="nil"/>
            </w:tcBorders>
            <w:shd w:val="clear" w:color="auto" w:fill="auto"/>
            <w:vAlign w:val="center"/>
          </w:tcPr>
          <w:p>
            <w:pPr>
              <w:widowControl/>
              <w:jc w:val="left"/>
              <w:rPr>
                <w:rFonts w:ascii="宋体" w:hAnsi="宋体" w:cs="Arial"/>
                <w:kern w:val="0"/>
                <w:sz w:val="24"/>
              </w:rPr>
            </w:pPr>
            <w:r>
              <w:rPr>
                <w:rFonts w:hint="eastAsia" w:ascii="宋体" w:hAnsi="宋体" w:cs="Arial"/>
                <w:kern w:val="0"/>
                <w:sz w:val="24"/>
              </w:rPr>
              <w:t xml:space="preserve">    4.本表以“万元”为金额单位（保留两位小数）。</w:t>
            </w:r>
          </w:p>
        </w:tc>
        <w:tc>
          <w:tcPr>
            <w:tcW w:w="18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06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696"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70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940" w:type="dxa"/>
            <w:tcBorders>
              <w:top w:val="nil"/>
              <w:left w:val="nil"/>
              <w:bottom w:val="nil"/>
              <w:right w:val="nil"/>
            </w:tcBorders>
            <w:shd w:val="clear" w:color="auto" w:fill="auto"/>
            <w:vAlign w:val="center"/>
          </w:tcPr>
          <w:p>
            <w:pPr>
              <w:widowControl/>
              <w:jc w:val="left"/>
              <w:rPr>
                <w:rFonts w:ascii="宋体" w:hAnsi="宋体" w:cs="Arial"/>
                <w:kern w:val="0"/>
                <w:sz w:val="24"/>
              </w:rPr>
            </w:pPr>
          </w:p>
        </w:tc>
        <w:tc>
          <w:tcPr>
            <w:tcW w:w="1710" w:type="dxa"/>
            <w:tcBorders>
              <w:top w:val="nil"/>
              <w:left w:val="nil"/>
              <w:bottom w:val="nil"/>
              <w:right w:val="nil"/>
            </w:tcBorders>
            <w:shd w:val="clear" w:color="auto" w:fill="auto"/>
            <w:vAlign w:val="center"/>
          </w:tcPr>
          <w:p>
            <w:pPr>
              <w:widowControl/>
              <w:jc w:val="left"/>
              <w:rPr>
                <w:rFonts w:ascii="宋体" w:hAnsi="宋体" w:cs="Arial"/>
                <w:kern w:val="0"/>
                <w:sz w:val="24"/>
              </w:rPr>
            </w:pPr>
          </w:p>
        </w:tc>
      </w:tr>
    </w:tbl>
    <w:p/>
    <w:p>
      <w:r>
        <w:rPr>
          <w:rFonts w:hint="eastAsia"/>
        </w:rPr>
        <w:t>注：本表反映部门本年度取得的各项收入情况。</w:t>
      </w:r>
    </w:p>
    <w:p/>
    <w:p/>
    <w:p/>
    <w:p/>
    <w:p/>
    <w:p/>
    <w:p/>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表三：支出决算表</w:t>
      </w:r>
    </w:p>
    <w:p>
      <w:pPr>
        <w:ind w:right="440" w:firstLine="11220" w:firstLineChars="5100"/>
      </w:pPr>
      <w:r>
        <w:rPr>
          <w:rFonts w:hint="eastAsia"/>
          <w:sz w:val="22"/>
          <w:szCs w:val="22"/>
        </w:rPr>
        <w:t>单位：万元</w:t>
      </w:r>
    </w:p>
    <w:tbl>
      <w:tblPr>
        <w:tblStyle w:val="6"/>
        <w:tblW w:w="12465" w:type="dxa"/>
        <w:tblInd w:w="93" w:type="dxa"/>
        <w:tblLayout w:type="fixed"/>
        <w:tblCellMar>
          <w:top w:w="0" w:type="dxa"/>
          <w:left w:w="108" w:type="dxa"/>
          <w:bottom w:w="0" w:type="dxa"/>
          <w:right w:w="108" w:type="dxa"/>
        </w:tblCellMar>
      </w:tblPr>
      <w:tblGrid>
        <w:gridCol w:w="436"/>
        <w:gridCol w:w="436"/>
        <w:gridCol w:w="436"/>
        <w:gridCol w:w="4137"/>
        <w:gridCol w:w="1600"/>
        <w:gridCol w:w="1480"/>
        <w:gridCol w:w="1440"/>
        <w:gridCol w:w="980"/>
        <w:gridCol w:w="700"/>
        <w:gridCol w:w="820"/>
      </w:tblGrid>
      <w:tr>
        <w:tblPrEx>
          <w:tblLayout w:type="fixed"/>
          <w:tblCellMar>
            <w:top w:w="0" w:type="dxa"/>
            <w:left w:w="108" w:type="dxa"/>
            <w:bottom w:w="0" w:type="dxa"/>
            <w:right w:w="108" w:type="dxa"/>
          </w:tblCellMar>
        </w:tblPrEx>
        <w:trPr>
          <w:trHeight w:val="308" w:hRule="atLeast"/>
        </w:trPr>
        <w:tc>
          <w:tcPr>
            <w:tcW w:w="5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支出功能分类科目编码</w:t>
            </w:r>
          </w:p>
        </w:tc>
        <w:tc>
          <w:tcPr>
            <w:tcW w:w="41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1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1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1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1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6,073.82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4,204.37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1,869.45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4,910.49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3,042.17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1,868.32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纪检监察事务</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4,825.42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2,957.10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1,868.32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2,766.29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2,766.29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2011102</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1,006.82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1,006.82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2011104</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大案要案查处</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65.00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65.00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2011150</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190.81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190.81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2011199</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其他纪检监察事务支出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796.50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796.50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其他共产党事务支出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归口管理的行政单位离退休</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159.54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159.54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371.10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371.10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160.24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160.24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1.19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1.19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193.48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193.48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274.27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274.27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2.37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2.37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2299901</w:t>
            </w:r>
          </w:p>
        </w:tc>
        <w:tc>
          <w:tcPr>
            <w:tcW w:w="41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6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14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8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bl>
    <w:p/>
    <w:p>
      <w:r>
        <w:rPr>
          <w:rFonts w:hint="eastAsia"/>
        </w:rPr>
        <w:t>注：本表反映部门本年度各项支出情况。</w:t>
      </w:r>
    </w:p>
    <w:p/>
    <w:p/>
    <w:p/>
    <w:p/>
    <w:p/>
    <w:p/>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6"/>
        <w:tblW w:w="14261" w:type="dxa"/>
        <w:tblInd w:w="93" w:type="dxa"/>
        <w:tblLayout w:type="fixed"/>
        <w:tblCellMar>
          <w:top w:w="0" w:type="dxa"/>
          <w:left w:w="108" w:type="dxa"/>
          <w:bottom w:w="0" w:type="dxa"/>
          <w:right w:w="108" w:type="dxa"/>
        </w:tblCellMar>
      </w:tblPr>
      <w:tblGrid>
        <w:gridCol w:w="3280"/>
        <w:gridCol w:w="580"/>
        <w:gridCol w:w="1680"/>
        <w:gridCol w:w="4053"/>
        <w:gridCol w:w="505"/>
        <w:gridCol w:w="1205"/>
        <w:gridCol w:w="1625"/>
        <w:gridCol w:w="1333"/>
      </w:tblGrid>
      <w:tr>
        <w:tblPrEx>
          <w:tblLayout w:type="fixed"/>
          <w:tblCellMar>
            <w:top w:w="0" w:type="dxa"/>
            <w:left w:w="108" w:type="dxa"/>
            <w:bottom w:w="0" w:type="dxa"/>
            <w:right w:w="108" w:type="dxa"/>
          </w:tblCellMar>
        </w:tblPrEx>
        <w:trPr>
          <w:trHeight w:val="308" w:hRule="atLeast"/>
        </w:trPr>
        <w:tc>
          <w:tcPr>
            <w:tcW w:w="5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872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293" w:hRule="atLeast"/>
        </w:trPr>
        <w:tc>
          <w:tcPr>
            <w:tcW w:w="32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0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5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416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615" w:hRule="atLeast"/>
        </w:trPr>
        <w:tc>
          <w:tcPr>
            <w:tcW w:w="3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0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5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6,040.74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4,910.49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4,910.49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十八、自然资源海洋气象等支出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二十一、灾害防治及应急管理支出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二十二、其他支出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二十三、债务还本支出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二十四、债务付息支出</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6,040.74 </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80</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6,073.82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6,073.82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360.01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81</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326.93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326.93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360.01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82</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40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83</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w:t>
            </w:r>
          </w:p>
        </w:tc>
      </w:tr>
      <w:tr>
        <w:tblPrEx>
          <w:tblLayout w:type="fixed"/>
          <w:tblCellMar>
            <w:top w:w="0" w:type="dxa"/>
            <w:left w:w="108" w:type="dxa"/>
            <w:bottom w:w="0" w:type="dxa"/>
            <w:right w:w="108" w:type="dxa"/>
          </w:tblCellMar>
        </w:tblPrEx>
        <w:trPr>
          <w:trHeight w:val="308" w:hRule="atLeast"/>
        </w:trPr>
        <w:tc>
          <w:tcPr>
            <w:tcW w:w="3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6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6,400.75 </w:t>
            </w:r>
          </w:p>
        </w:tc>
        <w:tc>
          <w:tcPr>
            <w:tcW w:w="4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84</w:t>
            </w:r>
          </w:p>
        </w:tc>
        <w:tc>
          <w:tcPr>
            <w:tcW w:w="120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6,400.75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6,400.75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bl>
    <w:p>
      <w:pPr>
        <w:jc w:val="right"/>
        <w:rPr>
          <w:sz w:val="22"/>
          <w:szCs w:val="22"/>
        </w:rPr>
      </w:pPr>
      <w:r>
        <w:rPr>
          <w:rFonts w:hint="eastAsia"/>
          <w:sz w:val="22"/>
          <w:szCs w:val="22"/>
        </w:rPr>
        <w:t>单位：万元</w:t>
      </w:r>
    </w:p>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 xml:space="preserve">                                          </w:t>
      </w:r>
      <w:r>
        <w:rPr>
          <w:rFonts w:hint="eastAsia" w:ascii="宋体" w:hAnsi="宋体" w:cs="宋体"/>
          <w:kern w:val="0"/>
          <w:sz w:val="22"/>
          <w:szCs w:val="22"/>
        </w:rPr>
        <w:t>单位：</w:t>
      </w:r>
      <w:r>
        <w:rPr>
          <w:rFonts w:ascii="宋体" w:hAnsi="宋体" w:cs="宋体"/>
          <w:kern w:val="0"/>
          <w:sz w:val="22"/>
          <w:szCs w:val="22"/>
        </w:rPr>
        <w:t>万元</w:t>
      </w:r>
    </w:p>
    <w:tbl>
      <w:tblPr>
        <w:tblStyle w:val="6"/>
        <w:tblW w:w="9566" w:type="dxa"/>
        <w:tblInd w:w="2201" w:type="dxa"/>
        <w:tblLayout w:type="fixed"/>
        <w:tblCellMar>
          <w:top w:w="0" w:type="dxa"/>
          <w:left w:w="108" w:type="dxa"/>
          <w:bottom w:w="0" w:type="dxa"/>
          <w:right w:w="108" w:type="dxa"/>
        </w:tblCellMar>
      </w:tblPr>
      <w:tblGrid>
        <w:gridCol w:w="436"/>
        <w:gridCol w:w="436"/>
        <w:gridCol w:w="436"/>
        <w:gridCol w:w="3770"/>
        <w:gridCol w:w="1496"/>
        <w:gridCol w:w="1496"/>
        <w:gridCol w:w="1496"/>
      </w:tblGrid>
      <w:tr>
        <w:tblPrEx>
          <w:tblLayout w:type="fixed"/>
          <w:tblCellMar>
            <w:top w:w="0" w:type="dxa"/>
            <w:left w:w="108" w:type="dxa"/>
            <w:bottom w:w="0" w:type="dxa"/>
            <w:right w:w="108" w:type="dxa"/>
          </w:tblCellMar>
        </w:tblPrEx>
        <w:trPr>
          <w:trHeight w:val="308" w:hRule="atLeast"/>
        </w:trPr>
        <w:tc>
          <w:tcPr>
            <w:tcW w:w="50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448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r>
      <w:tr>
        <w:tblPrEx>
          <w:tblLayout w:type="fixed"/>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377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7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7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7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96"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96"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96"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r>
      <w:tr>
        <w:tblPrEx>
          <w:tblLayout w:type="fixed"/>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770"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6,073.82 </w:t>
            </w:r>
          </w:p>
        </w:tc>
        <w:tc>
          <w:tcPr>
            <w:tcW w:w="149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4,204.37 </w:t>
            </w:r>
          </w:p>
        </w:tc>
        <w:tc>
          <w:tcPr>
            <w:tcW w:w="149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1,869.45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4,910.49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3,042.17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1,868.32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纪检监察事务</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4,825.42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2,957.10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1,868.32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2,766.29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2,766.29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2011102</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1,006.82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1,006.82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2011104</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大案要案查处</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65.00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65.00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2011150</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190.81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190.81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2011199</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其他纪检监察事务支出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796.50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796.50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其他共产党事务支出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85.07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530.64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归口管理的行政单位离退休</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159.54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159.54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371.10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371.10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354.91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160.24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160.24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1.19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1.19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193.48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193.48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276.65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274.27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274.27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2.37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2.37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w:t>
            </w:r>
          </w:p>
        </w:tc>
        <w:tc>
          <w:tcPr>
            <w:tcW w:w="377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2299901</w:t>
            </w:r>
          </w:p>
        </w:tc>
        <w:tc>
          <w:tcPr>
            <w:tcW w:w="3770" w:type="dxa"/>
            <w:tcBorders>
              <w:top w:val="nil"/>
              <w:left w:val="nil"/>
              <w:bottom w:val="single" w:color="000000" w:sz="8"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0.00 </w:t>
            </w:r>
          </w:p>
        </w:tc>
        <w:tc>
          <w:tcPr>
            <w:tcW w:w="14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kern w:val="0"/>
                <w:sz w:val="24"/>
              </w:rPr>
            </w:pPr>
            <w:r>
              <w:rPr>
                <w:rFonts w:hint="eastAsia" w:ascii="宋体" w:hAnsi="宋体" w:cs="Arial"/>
                <w:kern w:val="0"/>
                <w:sz w:val="24"/>
              </w:rPr>
              <w:t xml:space="preserve">1.13 </w:t>
            </w: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wordWrap w:val="0"/>
        <w:jc w:val="right"/>
        <w:rPr>
          <w:rFonts w:ascii="宋体" w:hAnsi="宋体" w:cs="宋体"/>
          <w:kern w:val="0"/>
          <w:sz w:val="22"/>
          <w:szCs w:val="22"/>
        </w:rPr>
      </w:pPr>
      <w:r>
        <w:rPr>
          <w:rFonts w:hint="eastAsia" w:ascii="宋体" w:hAnsi="宋体" w:cs="宋体"/>
          <w:kern w:val="0"/>
          <w:sz w:val="22"/>
          <w:szCs w:val="22"/>
        </w:rPr>
        <w:t xml:space="preserve">   单位：万元</w:t>
      </w:r>
    </w:p>
    <w:tbl>
      <w:tblPr>
        <w:tblStyle w:val="6"/>
        <w:tblW w:w="9092" w:type="dxa"/>
        <w:tblInd w:w="-382" w:type="dxa"/>
        <w:tblLayout w:type="fixed"/>
        <w:tblCellMar>
          <w:top w:w="0" w:type="dxa"/>
          <w:left w:w="108" w:type="dxa"/>
          <w:bottom w:w="0" w:type="dxa"/>
          <w:right w:w="108" w:type="dxa"/>
        </w:tblCellMar>
      </w:tblPr>
      <w:tblGrid>
        <w:gridCol w:w="716"/>
        <w:gridCol w:w="3140"/>
        <w:gridCol w:w="1180"/>
        <w:gridCol w:w="716"/>
        <w:gridCol w:w="2300"/>
        <w:gridCol w:w="1040"/>
      </w:tblGrid>
      <w:tr>
        <w:tblPrEx>
          <w:tblLayout w:type="fixed"/>
          <w:tblCellMar>
            <w:top w:w="0" w:type="dxa"/>
            <w:left w:w="108" w:type="dxa"/>
            <w:bottom w:w="0" w:type="dxa"/>
            <w:right w:w="108" w:type="dxa"/>
          </w:tblCellMar>
        </w:tblPrEx>
        <w:trPr>
          <w:trHeight w:val="300" w:hRule="atLeast"/>
        </w:trPr>
        <w:tc>
          <w:tcPr>
            <w:tcW w:w="503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color w:val="000000"/>
                <w:kern w:val="0"/>
                <w:sz w:val="24"/>
              </w:rPr>
              <w:t>人员经费</w:t>
            </w:r>
          </w:p>
        </w:tc>
        <w:tc>
          <w:tcPr>
            <w:tcW w:w="405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color w:val="000000"/>
                <w:kern w:val="0"/>
                <w:sz w:val="24"/>
              </w:rPr>
              <w:t>公用经费</w:t>
            </w:r>
          </w:p>
        </w:tc>
      </w:tr>
      <w:tr>
        <w:tblPrEx>
          <w:tblLayout w:type="fixed"/>
          <w:tblCellMar>
            <w:top w:w="0" w:type="dxa"/>
            <w:left w:w="108" w:type="dxa"/>
            <w:bottom w:w="0" w:type="dxa"/>
            <w:right w:w="108" w:type="dxa"/>
          </w:tblCellMar>
        </w:tblPrEx>
        <w:trPr>
          <w:trHeight w:val="1290"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支出经济分类科目编码</w:t>
            </w: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180" w:type="dxa"/>
            <w:tcBorders>
              <w:top w:val="nil"/>
              <w:left w:val="nil"/>
              <w:bottom w:val="nil"/>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金额</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经济分类科目编码</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040" w:type="dxa"/>
            <w:tcBorders>
              <w:top w:val="nil"/>
              <w:left w:val="nil"/>
              <w:bottom w:val="nil"/>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金额</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工资福利支出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3,396.57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商品和服务支出</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652.91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30101</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基本工资</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886.77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30201</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办公费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67.80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30102</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津贴补贴</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705.61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30202</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印刷费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4.26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30103</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奖金</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595.41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30203</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咨询费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30106</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伙食补助费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30204</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手续费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30107</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绩效工资</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160.99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30205</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水费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3.77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30108</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机关事业单位基本养老保险缴费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372.37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30206</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电费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19.06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30109</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职业年金缴费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0.64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30207</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邮电费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34.88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30110</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职工基本医疗保险缴费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161.75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30208</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取暖费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30111</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公务员医疗补助缴费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193.48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30209</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物业管理费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0.10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30112</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其他社会保障缴费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10.93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30211</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差旅费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55.43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30113</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住房公积金</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291.71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30212</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因公出国（境）费用</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30114</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医疗费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30213</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维修（护）费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7.60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30199</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其他工资福利支出</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16.90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30214</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租赁费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对个人和家庭的补助</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154.89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30215</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会议费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4.95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30301</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离休费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63.48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30216</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培训费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11.60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30302</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退休费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17.87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30217</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公务接待费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7.27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30303</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退职（役）费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30218</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专用材料费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30304</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抚恤金</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72.00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30224</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被装购置费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30305</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生活补助</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30225</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专用燃料费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30306</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救济费</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30226</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劳务费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30307</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医疗费补助</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30227</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委托业务费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30308</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助学金</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30228</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工会经费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46.37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30309</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奖励金</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30229</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福利费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30310</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个人农业生产补贴</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30231</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公务用车运行维护费</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16.00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30399</w:t>
            </w:r>
          </w:p>
        </w:tc>
        <w:tc>
          <w:tcPr>
            <w:tcW w:w="314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其他对个人和家庭的补助</w:t>
            </w:r>
          </w:p>
        </w:tc>
        <w:tc>
          <w:tcPr>
            <w:tcW w:w="11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1.54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30239</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其他交通费用</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67.83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3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30240</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税金及附加费用</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0.00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3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30299</w:t>
            </w:r>
          </w:p>
        </w:tc>
        <w:tc>
          <w:tcPr>
            <w:tcW w:w="2300"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其他商品和服务支出</w:t>
            </w:r>
          </w:p>
        </w:tc>
        <w:tc>
          <w:tcPr>
            <w:tcW w:w="104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305.99 </w:t>
            </w:r>
          </w:p>
        </w:tc>
      </w:tr>
      <w:tr>
        <w:tblPrEx>
          <w:tblLayout w:type="fixed"/>
          <w:tblCellMar>
            <w:top w:w="0" w:type="dxa"/>
            <w:left w:w="108" w:type="dxa"/>
            <w:bottom w:w="0" w:type="dxa"/>
            <w:right w:w="108" w:type="dxa"/>
          </w:tblCellMar>
        </w:tblPrEx>
        <w:trPr>
          <w:trHeight w:val="282" w:hRule="atLeast"/>
        </w:trPr>
        <w:tc>
          <w:tcPr>
            <w:tcW w:w="716"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3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282" w:hRule="atLeast"/>
        </w:trPr>
        <w:tc>
          <w:tcPr>
            <w:tcW w:w="3856"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人员经费合计</w:t>
            </w:r>
          </w:p>
        </w:tc>
        <w:tc>
          <w:tcPr>
            <w:tcW w:w="118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3,551.46 </w:t>
            </w:r>
          </w:p>
        </w:tc>
        <w:tc>
          <w:tcPr>
            <w:tcW w:w="3016" w:type="dxa"/>
            <w:gridSpan w:val="2"/>
            <w:tcBorders>
              <w:top w:val="single" w:color="auto" w:sz="4" w:space="0"/>
              <w:left w:val="nil"/>
              <w:bottom w:val="single" w:color="auto" w:sz="8"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公用经费合计</w:t>
            </w:r>
          </w:p>
        </w:tc>
        <w:tc>
          <w:tcPr>
            <w:tcW w:w="104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652.91</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Ind w:w="0" w:type="dxa"/>
        <w:tblLayout w:type="fixed"/>
        <w:tblCellMar>
          <w:top w:w="0" w:type="dxa"/>
          <w:left w:w="108" w:type="dxa"/>
          <w:bottom w:w="0" w:type="dxa"/>
          <w:right w:w="108" w:type="dxa"/>
        </w:tblCellMar>
      </w:tblPr>
      <w:tblGrid>
        <w:gridCol w:w="975"/>
        <w:gridCol w:w="992"/>
        <w:gridCol w:w="1293"/>
        <w:gridCol w:w="1242"/>
        <w:gridCol w:w="1242"/>
        <w:gridCol w:w="1216"/>
        <w:gridCol w:w="960"/>
        <w:gridCol w:w="1134"/>
        <w:gridCol w:w="1078"/>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2019年度预算数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2019年度决算数</w:t>
            </w:r>
          </w:p>
        </w:tc>
      </w:tr>
      <w:tr>
        <w:tblPrEx>
          <w:tblLayout w:type="fixed"/>
          <w:tblCellMar>
            <w:top w:w="0" w:type="dxa"/>
            <w:left w:w="108" w:type="dxa"/>
            <w:bottom w:w="0" w:type="dxa"/>
            <w:right w:w="108" w:type="dxa"/>
          </w:tblCellMar>
        </w:tblPrEx>
        <w:trPr>
          <w:trHeight w:val="396" w:hRule="atLeast"/>
          <w:jc w:val="center"/>
        </w:trPr>
        <w:tc>
          <w:tcPr>
            <w:tcW w:w="9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92"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77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34"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68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92"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9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7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97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07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975" w:type="dxa"/>
            <w:tcBorders>
              <w:top w:val="nil"/>
              <w:left w:val="single" w:color="auto" w:sz="4" w:space="0"/>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77.67</w:t>
            </w:r>
          </w:p>
        </w:tc>
        <w:tc>
          <w:tcPr>
            <w:tcW w:w="992"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293"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65.23</w:t>
            </w:r>
          </w:p>
        </w:tc>
        <w:tc>
          <w:tcPr>
            <w:tcW w:w="12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44.48</w:t>
            </w:r>
          </w:p>
        </w:tc>
        <w:tc>
          <w:tcPr>
            <w:tcW w:w="12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20.75</w:t>
            </w:r>
          </w:p>
        </w:tc>
        <w:tc>
          <w:tcPr>
            <w:tcW w:w="1216"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12.44</w:t>
            </w:r>
          </w:p>
        </w:tc>
        <w:tc>
          <w:tcPr>
            <w:tcW w:w="960"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77.67</w:t>
            </w:r>
          </w:p>
        </w:tc>
        <w:tc>
          <w:tcPr>
            <w:tcW w:w="1134"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078"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65.23</w:t>
            </w:r>
          </w:p>
        </w:tc>
        <w:tc>
          <w:tcPr>
            <w:tcW w:w="1398" w:type="dxa"/>
            <w:tcBorders>
              <w:top w:val="nil"/>
              <w:left w:val="nil"/>
              <w:bottom w:val="single" w:color="auto" w:sz="4" w:space="0"/>
              <w:right w:val="single" w:color="auto" w:sz="4" w:space="0"/>
            </w:tcBorders>
            <w:vAlign w:val="center"/>
          </w:tcPr>
          <w:p>
            <w:pPr>
              <w:widowControl/>
              <w:ind w:firstLine="400" w:firstLineChars="200"/>
              <w:jc w:val="center"/>
              <w:rPr>
                <w:rFonts w:ascii="Arial" w:hAnsi="Arial" w:cs="Arial"/>
                <w:color w:val="000000"/>
                <w:kern w:val="0"/>
                <w:sz w:val="20"/>
                <w:szCs w:val="20"/>
              </w:rPr>
            </w:pPr>
            <w:r>
              <w:rPr>
                <w:rFonts w:hint="eastAsia" w:ascii="Arial" w:hAnsi="Arial" w:cs="Arial"/>
                <w:color w:val="000000"/>
                <w:kern w:val="0"/>
                <w:sz w:val="20"/>
                <w:szCs w:val="20"/>
              </w:rPr>
              <w:t>44.48</w:t>
            </w:r>
          </w:p>
        </w:tc>
        <w:tc>
          <w:tcPr>
            <w:tcW w:w="120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20.75</w:t>
            </w:r>
          </w:p>
        </w:tc>
        <w:tc>
          <w:tcPr>
            <w:tcW w:w="1183"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12.44</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注：本表反映部门本年度“三公”经费支出预决算情况。其中，2019年度预算数为“三公”经费年初预算数，决算数是包括当年一般公共预算财政拨款和以前年度结转资金安排的实际支出。</w:t>
      </w:r>
    </w:p>
    <w:p/>
    <w:p/>
    <w:tbl>
      <w:tblPr>
        <w:tblStyle w:val="6"/>
        <w:tblW w:w="12480" w:type="dxa"/>
        <w:jc w:val="center"/>
        <w:tblInd w:w="0"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sectPr>
          <w:pgSz w:w="16838" w:h="11906" w:orient="landscape"/>
          <w:pgMar w:top="1797" w:right="1440" w:bottom="1797" w:left="1440" w:header="851" w:footer="992" w:gutter="0"/>
          <w:pgNumType w:fmt="numberInDash"/>
          <w:cols w:space="720" w:num="1"/>
          <w:docGrid w:type="lines" w:linePitch="312" w:charSpace="0"/>
        </w:sectPr>
      </w:pPr>
      <w:r>
        <w:rPr>
          <w:rFonts w:hint="eastAsia"/>
        </w:rPr>
        <w:t xml:space="preserve">      注：本单位无政府性基金收入支出。本表反映部门本年度政府性基金预算财政拨款收入支出及结转和结余情况。</w:t>
      </w:r>
    </w:p>
    <w:p>
      <w:pPr>
        <w:spacing w:line="56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柳州市纪委监委</w:t>
      </w:r>
      <w:r>
        <w:rPr>
          <w:rFonts w:hint="eastAsia" w:ascii="仿宋_GB2312" w:eastAsia="仿宋_GB2312"/>
          <w:b/>
          <w:sz w:val="32"/>
          <w:szCs w:val="32"/>
        </w:rPr>
        <w:t>2019年度部门决算情况说明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2019年度收入总计6500.83万元，支出总计6500.83万元，与2018年相比，收、支分别增加2912.62万元；分别增长81%</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本年收入总计6500.83万元 ，其中：一般公共预算财政拨款收入6040.74万元；占比92.9 ；年初结转结余460.08万元，占比7.06%。</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2019</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本年支出合计6073.82 万元，其中：基本支出 4204.37万元，占 69.22%；项目支出 1869.45万元， 占30.78%.</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2019</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本部门2019年度财政拨款收、支总决算6500.83万元、6500.83万元。与 2018 年相比，财政拨款收、支总计各增加2912.62 万元，增长81%。</w:t>
      </w:r>
    </w:p>
    <w:p>
      <w:pPr>
        <w:autoSpaceDE w:val="0"/>
        <w:autoSpaceDN w:val="0"/>
        <w:adjustRightInd w:val="0"/>
        <w:spacing w:line="56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2019年度一般公共预算财政拨款支出决算情况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2019年度财政拨款支出 6073.82 万元，占本年支出合计的 93.43%。与 2018 年相比，财政拨款支出增加2869.22万元，增加89.5%。</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 年度财政拨款支出 6073.82万元，主要用于以下方面：一般公共服务（类）支出4910.49万元， 占80.8%；社会保障和就业（类）支出530.64万元，占 8.7%；住房保障（类）支出276.65万元，占 4.5%；卫生健康支出（类）354.91万元，占5.8%。</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 年度财政拨款支出年初预算为5288.94万元，支出决算为6073.82万元，完成年初预算的114.8%。决算数大于预算数的主要原因：一是年中追加安排财政拨款支出预算，涉及项目有人员增加，新办公楼设备采购等；二是部分支出按规定，通过使用以前年度财政拨款结转资金解决。</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1.一般公共服务（类）纪检监察事务（款）行政运行（项）。 年初预算为1083.87万元，支出决算为2766.29万元，完成年初预算的155%。决算数大于预算数的主要原因是机构改革，派驻纪检组归入管理，人员增加一倍多。</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2.一般公共服务（类）纪检监察事务（款）一般行政管理事 务（项）。年初预算为627.32万元，支出决算为 1006.83万元，完成年初预算的160.5 %。决算数大于预算数的主要原因是主要原因是机构改革，业务工作量大幅提高。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一般公共服务（类）纪检监察事务（款）事业运行（项）。年初预算为171.21万元，支出决算为190.81万元，完成年初预算的111%。决算数大于预算数原因是增人增资，绩效奖励等。</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4. 一般公共服务（类）纪检监察事务（款）其他纪检监察事务支出（项）。年初预算为568.28万元，支出决算为796.5万元，完成年初预算的140%。决算数大于预算数原因是动用上年结转结余和追加业务经费。</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5. 一般公共服务（类）纪检监察事务（款）行政运行（项）。年初预算85.07万，支出决算为85.07万元，完成年初预算的100%。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6.社会保障和就业支出（类）行政事业单位离退休（款）归口管理的行政单位离退休（项）。年初预算159.54万，支出决算为159.54万元，完成年初预算的100%。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7. 社会保障和就业支出（类）行政事业单位离退休（款）机关事业单位基本养老保险缴费支出（项）。年初预算371.1万元，支出决算371.1万元，完成年初预算100%。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8.卫生健康支出（类）行政事业单位医疗（款）行政单位医疗（项）。年初预算160.24万元，支出决算160.24万元，完成年初预算100%。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9. 卫生健康支出（类）行政事业单位医疗（款）事业单位医疗（项）。年初预算1.19万元，支出决算1.19万元，完成年初预算100%。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10. 卫生健康支出（类）行政事业单位医疗（款）公务员医疗补助（项）。年初预算193.48万元，支出决算193.48万元，完成年初预算100%。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11.住房保障支出（类）住房改革支出(款)住房公积金（项 ）。年初预算274.27万元，支出决算274.27万元，完成年初预算100%。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12. 住房保障支出（类）住房改革支出(款)购房补贴（项 ）。年初预算2.37万元，支出决算2.37万元，完成年初预算100%。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13.其他支出（类）其他支出（款）其他支出（项）1.19万元。</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2019年度一般公共预算财政拨款基本支出决算情况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2019年度财政拨款基本支出4204.37万元，其中：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人员经费3551.46万元，主要包括：基本工资、津贴补贴、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公用经费652.91万元，主要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2019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 年度“三公”经费财政拨款支出预算为 77.67万元，支出决算为77.67万元，完成预算的100%，其中：因公出国（境）费支出决算为0万元；公务用车购置及运行费支出决算为65.23万元，完成预算的100%；公务接待费支出决算为12.44万元，完成预算的100%。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2019年度“三公”经费财政拨款支出决算数比2018年增加30.25万元，增长63.8%，其中：因公出国（境）费支出决 算0万元；公务用车购置及运行费支出决算增加26.88万元，增长70%；公务接待费支出决算增加11.68万元，增长128%。</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公务用车购置及运行费支出增加的主要原因是机构改革，人员增加，车辆编制及实际数增加；公务接待费支出增加的主要原因是机构改革，人员增加，业务工作增加。</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2019年度“三公”经费财政拨款支出决算中，因公出国（境）费支出决算0万元；公务用车购置及运行费支出决算65.23万元，占1.07 %；公务接待费支出决算12.44元，占0.2 %。具体情况如下：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2.公务用车购置及运行费支出65.23万元。其中： 公务用车购置支出为44.48万元</w:t>
      </w:r>
      <w:r>
        <w:rPr>
          <w:rFonts w:hint="eastAsia" w:ascii="仿宋_GB2312" w:eastAsia="仿宋_GB2312" w:cs="仿宋_GB2312"/>
          <w:bCs/>
          <w:kern w:val="0"/>
          <w:sz w:val="32"/>
          <w:szCs w:val="32"/>
          <w:lang w:eastAsia="zh-CN"/>
        </w:rPr>
        <w:t>，该款项用于购买</w:t>
      </w:r>
      <w:r>
        <w:rPr>
          <w:rFonts w:hint="eastAsia" w:ascii="仿宋_GB2312" w:eastAsia="仿宋_GB2312" w:cs="仿宋_GB2312"/>
          <w:bCs/>
          <w:kern w:val="0"/>
          <w:sz w:val="32"/>
          <w:szCs w:val="32"/>
          <w:lang w:val="en-US" w:eastAsia="zh-CN"/>
        </w:rPr>
        <w:t>2辆商务车</w:t>
      </w:r>
      <w:r>
        <w:rPr>
          <w:rFonts w:hint="eastAsia" w:ascii="仿宋_GB2312" w:eastAsia="仿宋_GB2312" w:cs="仿宋_GB2312"/>
          <w:bCs/>
          <w:kern w:val="0"/>
          <w:sz w:val="32"/>
          <w:szCs w:val="32"/>
        </w:rPr>
        <w:t>。公务用车运行支出20.75万元。主要用于车辆购置及</w:t>
      </w:r>
      <w:bookmarkStart w:id="0" w:name="_GoBack"/>
      <w:bookmarkEnd w:id="0"/>
      <w:r>
        <w:rPr>
          <w:rFonts w:hint="eastAsia" w:ascii="仿宋_GB2312" w:eastAsia="仿宋_GB2312" w:cs="仿宋_GB2312"/>
          <w:bCs/>
          <w:kern w:val="0"/>
          <w:sz w:val="32"/>
          <w:szCs w:val="32"/>
        </w:rPr>
        <w:t>保障日常业务工作。2019年，机关所属单位开支财政拨款的公务用车保有量为10辆。</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3.公务接待费支出14.58万元。其中：</w:t>
      </w:r>
    </w:p>
    <w:p>
      <w:pPr>
        <w:autoSpaceDE w:val="0"/>
        <w:autoSpaceDN w:val="0"/>
        <w:adjustRightInd w:val="0"/>
        <w:spacing w:line="56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外宾接待支出2.14万元。主要用于接待中纪委关于非洲国家到中国学习反腐廉政工作经验访问团发生的外宾接待支出。2019 年共接待国（境）外来访团组1个、来访外宾31人次。</w:t>
      </w:r>
    </w:p>
    <w:p>
      <w:pPr>
        <w:autoSpaceDE w:val="0"/>
        <w:autoSpaceDN w:val="0"/>
        <w:adjustRightInd w:val="0"/>
        <w:spacing w:line="56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国内公务接待支出10.3万元。主要用于接待来柳工作学习的干部。2019 年共接待国内来访团组125个、来宾978人次。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2019 年度政府性基金预算财政拨款收入支出决算情况说明 （根据实际情况作表述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2019年度无政府基金预算财政拨款</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2019</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根据财政预算管理要求，本部门实行部门整体预算绩效评价。</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（一）机关运行经费支出情况。2019年度部门机关运行经费支出1305.82万元，比 2018年增加 611.82万元，增长88 %，增长原因</w:t>
      </w:r>
      <w:r>
        <w:rPr>
          <w:rFonts w:hint="eastAsia" w:ascii="仿宋_GB2312" w:eastAsia="仿宋_GB2312" w:cs="仿宋_GB2312"/>
          <w:bCs/>
          <w:kern w:val="0"/>
          <w:sz w:val="32"/>
          <w:szCs w:val="32"/>
        </w:rPr>
        <w:t>是机构改革，人员增加，业务工作增加</w:t>
      </w:r>
      <w:r>
        <w:rPr>
          <w:rFonts w:hint="eastAsia" w:ascii="仿宋_GB2312" w:eastAsia="仿宋_GB2312" w:cs="仿宋_GB2312"/>
          <w:kern w:val="0"/>
          <w:sz w:val="32"/>
          <w:szCs w:val="32"/>
        </w:rPr>
        <w:t>。</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（二）政府采购支出情况。2019年度部门政府采购支出总额395.93万元，其中：货物支出355.45万元、服务支出40.48万元。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（三）国有资产占用情况。截至年末部门共有车辆11辆，其中：公务用车4辆；执法执勤用车7辆。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事业收入：指事业单位开展专业活动用辅助活动所取得的收入。经营收入：指事业单位在专业业务活动及辅助活动之外开展非独立核算经营活动取得的收入。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- 22 -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C256E3D"/>
    <w:rsid w:val="00015DC0"/>
    <w:rsid w:val="000577D6"/>
    <w:rsid w:val="000A7FE6"/>
    <w:rsid w:val="000C7B60"/>
    <w:rsid w:val="001C0C16"/>
    <w:rsid w:val="001C60FB"/>
    <w:rsid w:val="001C6DC5"/>
    <w:rsid w:val="002F7163"/>
    <w:rsid w:val="003D307A"/>
    <w:rsid w:val="00421FB5"/>
    <w:rsid w:val="00472CD0"/>
    <w:rsid w:val="005C180B"/>
    <w:rsid w:val="005D20D1"/>
    <w:rsid w:val="005D7259"/>
    <w:rsid w:val="00981405"/>
    <w:rsid w:val="009D4C6A"/>
    <w:rsid w:val="00A46006"/>
    <w:rsid w:val="00AC5A39"/>
    <w:rsid w:val="00AD1580"/>
    <w:rsid w:val="00B0664E"/>
    <w:rsid w:val="00B424AE"/>
    <w:rsid w:val="00BC5FBD"/>
    <w:rsid w:val="00C22EC4"/>
    <w:rsid w:val="00C62B10"/>
    <w:rsid w:val="00D2232C"/>
    <w:rsid w:val="00F4614E"/>
    <w:rsid w:val="00F51062"/>
    <w:rsid w:val="139A271C"/>
    <w:rsid w:val="26460DBA"/>
    <w:rsid w:val="2C4219FE"/>
    <w:rsid w:val="39A63F06"/>
    <w:rsid w:val="3ED1439F"/>
    <w:rsid w:val="4C256E3D"/>
    <w:rsid w:val="4CB52F0F"/>
    <w:rsid w:val="532F1F9A"/>
    <w:rsid w:val="62163194"/>
    <w:rsid w:val="690C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2127</Words>
  <Characters>12124</Characters>
  <Lines>101</Lines>
  <Paragraphs>28</Paragraphs>
  <TotalTime>24</TotalTime>
  <ScaleCrop>false</ScaleCrop>
  <LinksUpToDate>false</LinksUpToDate>
  <CharactersWithSpaces>14223</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2020-08-13T09:29:00Z</dcterms:created>
  <dc:creator>陈冬雪</dc:creator>
  <cp:lastModifiedBy>Administrator</cp:lastModifiedBy>
  <cp:lastPrinted>2020-09-15T02:42:00Z</cp:lastPrinted>
  <dcterms:modified xsi:type="dcterms:W3CDTF">2021-06-10T08:51:58Z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