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ind w:firstLine="0"/>
        <w:jc w:val="center"/>
        <w:rPr>
          <w:rFonts w:ascii="仿宋_GB2312" w:eastAsia="仿宋_GB2312"/>
          <w:b/>
          <w:sz w:val="32"/>
          <w:szCs w:val="32"/>
        </w:rPr>
      </w:pPr>
      <w:r>
        <w:rPr>
          <w:rFonts w:hint="eastAsia" w:ascii="仿宋_GB2312" w:hAnsi="黑体" w:eastAsia="仿宋_GB2312"/>
          <w:b/>
          <w:bCs/>
          <w:color w:val="000000"/>
          <w:sz w:val="32"/>
          <w:szCs w:val="32"/>
          <w:u w:val="none"/>
          <w:lang w:eastAsia="zh-CN"/>
        </w:rPr>
        <w:t>农工党柳州市委</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jc w:val="center"/>
        <w:rPr>
          <w:rFonts w:hint="eastAsia"/>
        </w:rPr>
      </w:pPr>
    </w:p>
    <w:p>
      <w:pPr>
        <w:rPr>
          <w:rFonts w:hint="eastAsia"/>
        </w:rPr>
      </w:pPr>
    </w:p>
    <w:tbl>
      <w:tblPr>
        <w:tblStyle w:val="6"/>
        <w:tblW w:w="8720" w:type="dxa"/>
        <w:jc w:val="center"/>
        <w:tblInd w:w="93" w:type="dxa"/>
        <w:tblLayout w:type="fixed"/>
        <w:tblCellMar>
          <w:top w:w="0" w:type="dxa"/>
          <w:left w:w="108" w:type="dxa"/>
          <w:bottom w:w="0" w:type="dxa"/>
          <w:right w:w="108" w:type="dxa"/>
        </w:tblCellMar>
      </w:tblPr>
      <w:tblGrid>
        <w:gridCol w:w="2895"/>
        <w:gridCol w:w="1085"/>
        <w:gridCol w:w="3123"/>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213.63</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143.44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40.91</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三</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上级补助</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11.41</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事业</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17.00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经营</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213.63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212.77</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w:t>
            </w:r>
            <w:r>
              <w:rPr>
                <w:rFonts w:hint="eastAsia" w:ascii="宋体" w:hAnsi="宋体" w:cs="宋体"/>
                <w:color w:val="000000"/>
                <w:kern w:val="0"/>
                <w:sz w:val="22"/>
                <w:szCs w:val="22"/>
                <w:lang w:eastAsia="zh-CN"/>
              </w:rPr>
              <w:t>和结余</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2.36</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215.13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215.13</w:t>
            </w:r>
          </w:p>
        </w:tc>
      </w:tr>
    </w:tbl>
    <w:p>
      <w:pPr>
        <w:rPr>
          <w:rFonts w:hint="eastAsia" w:eastAsia="宋体"/>
          <w:lang w:eastAsia="zh-CN"/>
        </w:rPr>
        <w:sectPr>
          <w:headerReference r:id="rId4" w:type="first"/>
          <w:footerReference r:id="rId7" w:type="first"/>
          <w:footerReference r:id="rId5" w:type="default"/>
          <w:headerReference r:id="rId3" w:type="even"/>
          <w:footerReference r:id="rId6"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注：本表反映部门本年度的总收支和年末结转结余情况</w:t>
      </w:r>
    </w:p>
    <w:p>
      <w:pPr>
        <w:ind w:firstLine="5400" w:firstLineChars="1500"/>
        <w:jc w:val="both"/>
        <w:rPr>
          <w:rFonts w:hint="eastAsia"/>
        </w:rPr>
      </w:pPr>
      <w:r>
        <w:rPr>
          <w:rFonts w:hint="eastAsia" w:ascii="方正小标宋简体" w:hAnsi="宋体" w:eastAsia="方正小标宋简体" w:cs="宋体"/>
          <w:kern w:val="0"/>
          <w:sz w:val="36"/>
          <w:szCs w:val="36"/>
        </w:rPr>
        <w:t>表二：收入决算表</w:t>
      </w:r>
    </w:p>
    <w:p>
      <w:pPr>
        <w:jc w:val="center"/>
        <w:rPr>
          <w:rFonts w:hint="eastAsia"/>
          <w:sz w:val="22"/>
          <w:szCs w:val="22"/>
        </w:rPr>
      </w:pPr>
      <w:r>
        <w:rPr>
          <w:rFonts w:hint="eastAsia"/>
          <w:sz w:val="22"/>
          <w:szCs w:val="22"/>
          <w:lang w:val="en-US" w:eastAsia="zh-CN"/>
        </w:rPr>
        <w:t xml:space="preserve">                                                                                       </w:t>
      </w:r>
      <w:r>
        <w:rPr>
          <w:rFonts w:hint="eastAsia"/>
          <w:sz w:val="22"/>
          <w:szCs w:val="22"/>
        </w:rPr>
        <w:t xml:space="preserve">单位：万元                     </w:t>
      </w:r>
    </w:p>
    <w:tbl>
      <w:tblPr>
        <w:tblStyle w:val="6"/>
        <w:tblW w:w="12915" w:type="dxa"/>
        <w:jc w:val="center"/>
        <w:tblInd w:w="93" w:type="dxa"/>
        <w:tblLayout w:type="fixed"/>
        <w:tblCellMar>
          <w:top w:w="0" w:type="dxa"/>
          <w:left w:w="108" w:type="dxa"/>
          <w:bottom w:w="0" w:type="dxa"/>
          <w:right w:w="108" w:type="dxa"/>
        </w:tblCellMar>
      </w:tblPr>
      <w:tblGrid>
        <w:gridCol w:w="1400"/>
        <w:gridCol w:w="3792"/>
        <w:gridCol w:w="1260"/>
        <w:gridCol w:w="1380"/>
        <w:gridCol w:w="1020"/>
        <w:gridCol w:w="775"/>
        <w:gridCol w:w="840"/>
        <w:gridCol w:w="1104"/>
        <w:gridCol w:w="1344"/>
      </w:tblGrid>
      <w:tr>
        <w:tblPrEx>
          <w:tblLayout w:type="fixed"/>
          <w:tblCellMar>
            <w:top w:w="0" w:type="dxa"/>
            <w:left w:w="108" w:type="dxa"/>
            <w:bottom w:w="0" w:type="dxa"/>
            <w:right w:w="108" w:type="dxa"/>
          </w:tblCellMar>
        </w:tblPrEx>
        <w:trPr>
          <w:trHeight w:val="288" w:hRule="atLeast"/>
          <w:jc w:val="center"/>
        </w:trPr>
        <w:tc>
          <w:tcPr>
            <w:tcW w:w="5192"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948" w:hRule="atLeast"/>
          <w:jc w:val="center"/>
        </w:trPr>
        <w:tc>
          <w:tcPr>
            <w:tcW w:w="140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379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192"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2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38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02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7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840" w:type="dxa"/>
            <w:tcBorders>
              <w:top w:val="nil"/>
              <w:left w:val="nil"/>
              <w:bottom w:val="single" w:color="auto" w:sz="4" w:space="0"/>
              <w:right w:val="single" w:color="auto" w:sz="4" w:space="0"/>
            </w:tcBorders>
            <w:vAlign w:val="top"/>
          </w:tcPr>
          <w:p>
            <w:pPr>
              <w:widowControl/>
              <w:ind w:firstLine="220" w:firstLineChars="100"/>
              <w:rPr>
                <w:rFonts w:ascii="宋体" w:hAnsi="宋体" w:cs="Arial"/>
                <w:color w:val="000000"/>
                <w:kern w:val="0"/>
                <w:sz w:val="22"/>
                <w:szCs w:val="22"/>
              </w:rPr>
            </w:pPr>
            <w:r>
              <w:rPr>
                <w:rFonts w:hint="eastAsia" w:ascii="宋体" w:hAnsi="宋体" w:cs="Arial"/>
                <w:kern w:val="0"/>
                <w:sz w:val="22"/>
                <w:szCs w:val="22"/>
              </w:rPr>
              <w:t>5</w:t>
            </w:r>
          </w:p>
        </w:tc>
        <w:tc>
          <w:tcPr>
            <w:tcW w:w="1104" w:type="dxa"/>
            <w:tcBorders>
              <w:top w:val="nil"/>
              <w:left w:val="nil"/>
              <w:bottom w:val="single" w:color="auto" w:sz="4" w:space="0"/>
              <w:right w:val="single" w:color="auto" w:sz="4" w:space="0"/>
            </w:tcBorders>
            <w:vAlign w:val="top"/>
          </w:tcPr>
          <w:p>
            <w:pPr>
              <w:widowControl/>
              <w:ind w:firstLine="440" w:firstLineChars="200"/>
              <w:rPr>
                <w:rFonts w:ascii="宋体" w:hAnsi="宋体" w:cs="Arial"/>
                <w:color w:val="000000"/>
                <w:kern w:val="0"/>
                <w:sz w:val="22"/>
                <w:szCs w:val="22"/>
              </w:rPr>
            </w:pPr>
            <w:r>
              <w:rPr>
                <w:rFonts w:hint="eastAsia" w:ascii="宋体" w:hAnsi="宋体" w:cs="Arial"/>
                <w:kern w:val="0"/>
                <w:sz w:val="22"/>
                <w:szCs w:val="22"/>
              </w:rPr>
              <w:t>6</w:t>
            </w:r>
          </w:p>
        </w:tc>
        <w:tc>
          <w:tcPr>
            <w:tcW w:w="134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5192"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213.63</w:t>
            </w:r>
          </w:p>
        </w:tc>
        <w:tc>
          <w:tcPr>
            <w:tcW w:w="138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213.63</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79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143.80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143.80</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w:t>
            </w:r>
          </w:p>
        </w:tc>
        <w:tc>
          <w:tcPr>
            <w:tcW w:w="379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民主党派及工商联事务</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143.80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143.80</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jc w:val="center"/>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2012801</w:t>
            </w:r>
          </w:p>
        </w:tc>
        <w:tc>
          <w:tcPr>
            <w:tcW w:w="379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116.56</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116.56</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2012804</w:t>
            </w:r>
          </w:p>
        </w:tc>
        <w:tc>
          <w:tcPr>
            <w:tcW w:w="379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参政议政</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27.24</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27.24</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24" w:hRule="atLeast"/>
          <w:jc w:val="center"/>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79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41.41</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41.41</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79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41.41</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41.41</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79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归口管理的行政单位离退休</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25.95</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25.95</w:t>
            </w:r>
          </w:p>
        </w:tc>
        <w:tc>
          <w:tcPr>
            <w:tcW w:w="102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15.46</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15.46</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17.00</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17.00</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17.00</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17.00</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6.66</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6.66</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2101103</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公务员医疗补助</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10.34</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10.34</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11.01</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11.01</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4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3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购房补贴</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0.40</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0.40</w:t>
            </w:r>
          </w:p>
        </w:tc>
        <w:tc>
          <w:tcPr>
            <w:tcW w:w="102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77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8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10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344"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ascii="方正小标宋简体" w:hAnsi="宋体" w:eastAsia="方正小标宋简体" w:cs="宋体"/>
          <w:kern w:val="0"/>
          <w:sz w:val="36"/>
          <w:szCs w:val="36"/>
        </w:rPr>
      </w:pPr>
      <w:r>
        <w:rPr>
          <w:rFonts w:hint="eastAsia"/>
          <w:lang w:eastAsia="zh-CN"/>
        </w:rPr>
        <w:t>注：本表反映部门本年度取得的各项收入情况。</w:t>
      </w:r>
    </w:p>
    <w:p>
      <w:pPr>
        <w:ind w:firstLine="5400" w:firstLineChars="1500"/>
        <w:jc w:val="both"/>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6"/>
        <w:tblW w:w="14049" w:type="dxa"/>
        <w:jc w:val="center"/>
        <w:tblInd w:w="93" w:type="dxa"/>
        <w:tblLayout w:type="fixed"/>
        <w:tblCellMar>
          <w:top w:w="0" w:type="dxa"/>
          <w:left w:w="108" w:type="dxa"/>
          <w:bottom w:w="0" w:type="dxa"/>
          <w:right w:w="108" w:type="dxa"/>
        </w:tblCellMar>
      </w:tblPr>
      <w:tblGrid>
        <w:gridCol w:w="1583"/>
        <w:gridCol w:w="3048"/>
        <w:gridCol w:w="1776"/>
        <w:gridCol w:w="1428"/>
        <w:gridCol w:w="1404"/>
        <w:gridCol w:w="1608"/>
        <w:gridCol w:w="1656"/>
        <w:gridCol w:w="1546"/>
      </w:tblGrid>
      <w:tr>
        <w:tblPrEx>
          <w:tblLayout w:type="fixed"/>
          <w:tblCellMar>
            <w:top w:w="0" w:type="dxa"/>
            <w:left w:w="108" w:type="dxa"/>
            <w:bottom w:w="0" w:type="dxa"/>
            <w:right w:w="108" w:type="dxa"/>
          </w:tblCellMar>
        </w:tblPrEx>
        <w:trPr>
          <w:trHeight w:val="288" w:hRule="atLeast"/>
          <w:jc w:val="center"/>
        </w:trPr>
        <w:tc>
          <w:tcPr>
            <w:tcW w:w="46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7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4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6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5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58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304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78" w:hRule="atLeast"/>
          <w:jc w:val="center"/>
        </w:trPr>
        <w:tc>
          <w:tcPr>
            <w:tcW w:w="4631"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776"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428"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404"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608"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4631"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776"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212.77</w:t>
            </w:r>
          </w:p>
        </w:tc>
        <w:tc>
          <w:tcPr>
            <w:tcW w:w="1428"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185.89</w:t>
            </w:r>
          </w:p>
        </w:tc>
        <w:tc>
          <w:tcPr>
            <w:tcW w:w="140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26.88　</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143.44</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116.56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26.88</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民主党派及工商联事务</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143.44</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116.56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26.88</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0"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2012801</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行政运行</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116.56</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116.56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2012804</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参政议政</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26.88</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26.88</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40.91</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40.91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40.91</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40.91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归口管理的行政单位离退休</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25.45</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25.45</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15.46</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15.46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17.00</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17.00</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17.00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行政单位医疗</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6.66</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6.66</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公务员医疗补助</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10.34</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10.34</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11.41</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11.41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11.41</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11.41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11.01</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11.01</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5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0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购房补贴</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0.40</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0.40</w:t>
            </w:r>
          </w:p>
        </w:tc>
        <w:tc>
          <w:tcPr>
            <w:tcW w:w="14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08"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546"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eastAsia="宋体"/>
          <w:lang w:eastAsia="zh-CN"/>
        </w:rPr>
      </w:pPr>
      <w:r>
        <w:rPr>
          <w:rFonts w:hint="eastAsia"/>
          <w:lang w:eastAsia="zh-CN"/>
        </w:rPr>
        <w:t>注：本表反映部门本年度各项支出情况。</w:t>
      </w:r>
    </w:p>
    <w:p>
      <w:pPr>
        <w:rPr>
          <w:rFonts w:hint="eastAsia"/>
        </w:rPr>
      </w:pPr>
    </w:p>
    <w:p>
      <w:pPr>
        <w:ind w:firstLine="3600" w:firstLineChars="1000"/>
        <w:jc w:val="both"/>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12100" w:firstLineChars="5500"/>
        <w:jc w:val="both"/>
        <w:rPr>
          <w:rFonts w:hint="eastAsia" w:ascii="方正小标宋简体" w:hAnsi="宋体" w:eastAsia="方正小标宋简体" w:cs="宋体"/>
          <w:kern w:val="0"/>
          <w:sz w:val="36"/>
          <w:szCs w:val="36"/>
        </w:rPr>
      </w:pPr>
      <w:r>
        <w:rPr>
          <w:rFonts w:hint="eastAsia"/>
          <w:sz w:val="22"/>
          <w:szCs w:val="22"/>
        </w:rPr>
        <w:t>单位：万元</w:t>
      </w:r>
    </w:p>
    <w:tbl>
      <w:tblPr>
        <w:tblStyle w:val="6"/>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858"/>
        <w:gridCol w:w="551"/>
        <w:gridCol w:w="913"/>
        <w:gridCol w:w="3030"/>
        <w:gridCol w:w="681"/>
        <w:gridCol w:w="1267"/>
        <w:gridCol w:w="1149"/>
        <w:gridCol w:w="1316"/>
      </w:tblGrid>
      <w:tr>
        <w:tblPrEx>
          <w:tblLayout w:type="fixed"/>
          <w:tblCellMar>
            <w:top w:w="0" w:type="dxa"/>
            <w:left w:w="108" w:type="dxa"/>
            <w:bottom w:w="0" w:type="dxa"/>
            <w:right w:w="108" w:type="dxa"/>
          </w:tblCellMar>
        </w:tblPrEx>
        <w:trPr>
          <w:trHeight w:val="300" w:hRule="atLeast"/>
        </w:trPr>
        <w:tc>
          <w:tcPr>
            <w:tcW w:w="6322"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443" w:type="dxa"/>
            <w:gridSpan w:val="5"/>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trPr>
        <w:tc>
          <w:tcPr>
            <w:tcW w:w="485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5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91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3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5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1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3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kern w:val="0"/>
                <w:sz w:val="22"/>
                <w:szCs w:val="22"/>
              </w:rPr>
              <w:t>一、一般公共预算财政拨款</w:t>
            </w:r>
            <w:r>
              <w:rPr>
                <w:rFonts w:hint="eastAsia" w:ascii="宋体" w:hAnsi="宋体" w:cs="Arial"/>
                <w:kern w:val="0"/>
                <w:sz w:val="22"/>
                <w:szCs w:val="22"/>
                <w:lang w:eastAsia="zh-CN"/>
              </w:rPr>
              <w:t>收入</w:t>
            </w: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13"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213.63</w:t>
            </w: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143.44</w:t>
            </w:r>
          </w:p>
        </w:tc>
        <w:tc>
          <w:tcPr>
            <w:tcW w:w="1149"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143.44</w:t>
            </w:r>
          </w:p>
        </w:tc>
        <w:tc>
          <w:tcPr>
            <w:tcW w:w="1316"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kern w:val="0"/>
                <w:sz w:val="22"/>
                <w:szCs w:val="22"/>
              </w:rPr>
              <w:t>二、政府性基金预算财政拨款</w:t>
            </w:r>
            <w:r>
              <w:rPr>
                <w:rFonts w:hint="eastAsia" w:ascii="宋体" w:hAnsi="宋体" w:cs="Arial"/>
                <w:kern w:val="0"/>
                <w:sz w:val="22"/>
                <w:szCs w:val="22"/>
                <w:lang w:eastAsia="zh-CN"/>
              </w:rPr>
              <w:t>收入</w:t>
            </w: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13" w:type="dxa"/>
            <w:tcBorders>
              <w:top w:val="nil"/>
              <w:left w:val="nil"/>
              <w:bottom w:val="single" w:color="auto" w:sz="4" w:space="0"/>
              <w:right w:val="single" w:color="auto" w:sz="4" w:space="0"/>
            </w:tcBorders>
            <w:vAlign w:val="top"/>
          </w:tcPr>
          <w:p>
            <w:pPr>
              <w:widowControl/>
              <w:ind w:firstLine="440" w:firstLineChars="2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二、社会保障和就业支出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40.91</w:t>
            </w:r>
          </w:p>
        </w:tc>
        <w:tc>
          <w:tcPr>
            <w:tcW w:w="1149"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40.91</w:t>
            </w:r>
          </w:p>
        </w:tc>
        <w:tc>
          <w:tcPr>
            <w:tcW w:w="1316"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三、卫生健康支出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17.00</w:t>
            </w: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17.00</w:t>
            </w:r>
          </w:p>
        </w:tc>
        <w:tc>
          <w:tcPr>
            <w:tcW w:w="1316"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四、住房保障支出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11.41</w:t>
            </w:r>
          </w:p>
        </w:tc>
        <w:tc>
          <w:tcPr>
            <w:tcW w:w="1149"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11.41</w:t>
            </w:r>
          </w:p>
        </w:tc>
        <w:tc>
          <w:tcPr>
            <w:tcW w:w="1316"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rPr>
            </w:pP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rPr>
            </w:pPr>
          </w:p>
        </w:tc>
        <w:tc>
          <w:tcPr>
            <w:tcW w:w="1267"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top"/>
          </w:tcPr>
          <w:p>
            <w:pPr>
              <w:widowControl/>
              <w:ind w:firstLine="880" w:firstLineChars="4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top"/>
          </w:tcPr>
          <w:p>
            <w:pPr>
              <w:widowControl/>
              <w:ind w:firstLine="880" w:firstLineChars="4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vAlign w:val="top"/>
          </w:tcPr>
          <w:p>
            <w:pPr>
              <w:widowControl/>
              <w:ind w:firstLine="660" w:firstLineChars="30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ind w:firstLine="1540" w:firstLineChars="700"/>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91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213.63</w:t>
            </w: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212.77</w:t>
            </w: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ind w:firstLine="880" w:firstLineChars="400"/>
              <w:jc w:val="center"/>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91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w:t>
            </w: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w:t>
            </w:r>
            <w:r>
              <w:rPr>
                <w:rFonts w:hint="eastAsia" w:ascii="宋体" w:hAnsi="宋体" w:cs="Arial"/>
                <w:kern w:val="0"/>
                <w:sz w:val="22"/>
                <w:szCs w:val="22"/>
                <w:lang w:eastAsia="zh-CN"/>
              </w:rPr>
              <w:t>财政拨款</w:t>
            </w:r>
            <w:r>
              <w:rPr>
                <w:rFonts w:hint="eastAsia" w:ascii="宋体" w:hAnsi="宋体" w:cs="Arial"/>
                <w:kern w:val="0"/>
                <w:sz w:val="22"/>
                <w:szCs w:val="22"/>
              </w:rPr>
              <w:t>结转和结余</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2.36</w:t>
            </w: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ind w:firstLine="1540" w:firstLineChars="700"/>
              <w:jc w:val="center"/>
              <w:rPr>
                <w:rFonts w:ascii="宋体" w:hAnsi="宋体" w:cs="Arial"/>
                <w:kern w:val="0"/>
                <w:sz w:val="22"/>
                <w:szCs w:val="22"/>
              </w:rPr>
            </w:pPr>
            <w:r>
              <w:rPr>
                <w:rFonts w:hint="eastAsia" w:ascii="宋体" w:hAnsi="宋体" w:cs="Arial"/>
                <w:kern w:val="0"/>
                <w:sz w:val="22"/>
                <w:szCs w:val="22"/>
              </w:rPr>
              <w:t>一般公共预算财政拨款</w:t>
            </w: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91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w:t>
            </w: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ind w:firstLine="1540" w:firstLineChars="700"/>
              <w:jc w:val="center"/>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913" w:type="dxa"/>
            <w:tcBorders>
              <w:top w:val="nil"/>
              <w:left w:val="nil"/>
              <w:bottom w:val="single" w:color="auto" w:sz="4" w:space="0"/>
              <w:right w:val="single" w:color="auto" w:sz="4" w:space="0"/>
            </w:tcBorders>
            <w:vAlign w:val="top"/>
          </w:tcPr>
          <w:p>
            <w:pPr>
              <w:widowControl/>
              <w:ind w:firstLine="440" w:firstLineChars="2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913" w:type="dxa"/>
            <w:tcBorders>
              <w:top w:val="nil"/>
              <w:left w:val="nil"/>
              <w:bottom w:val="single" w:color="auto" w:sz="4" w:space="0"/>
              <w:right w:val="single" w:color="auto" w:sz="4" w:space="0"/>
            </w:tcBorders>
            <w:vAlign w:val="top"/>
          </w:tcPr>
          <w:p>
            <w:pPr>
              <w:widowControl/>
              <w:ind w:firstLine="220" w:firstLineChars="100"/>
              <w:jc w:val="center"/>
              <w:rPr>
                <w:rFonts w:ascii="宋体" w:hAnsi="宋体" w:cs="Arial"/>
                <w:color w:val="000000"/>
                <w:kern w:val="0"/>
                <w:sz w:val="22"/>
                <w:szCs w:val="22"/>
              </w:rPr>
            </w:pP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85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5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913"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215.13</w:t>
            </w:r>
          </w:p>
        </w:tc>
        <w:tc>
          <w:tcPr>
            <w:tcW w:w="30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215.13</w:t>
            </w:r>
          </w:p>
        </w:tc>
      </w:tr>
    </w:tbl>
    <w:p>
      <w:pPr>
        <w:jc w:val="right"/>
        <w:rPr>
          <w:rFonts w:hint="eastAsia"/>
          <w:sz w:val="22"/>
          <w:szCs w:val="22"/>
        </w:rPr>
      </w:pPr>
    </w:p>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rPr>
          <w:rFonts w:hint="eastAsia"/>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Ind w:w="250" w:type="dxa"/>
        <w:tblLayout w:type="fixed"/>
        <w:tblCellMar>
          <w:top w:w="0" w:type="dxa"/>
          <w:left w:w="108" w:type="dxa"/>
          <w:bottom w:w="0" w:type="dxa"/>
          <w:right w:w="108" w:type="dxa"/>
        </w:tblCellMar>
      </w:tblPr>
      <w:tblGrid>
        <w:gridCol w:w="1574"/>
        <w:gridCol w:w="3456"/>
        <w:gridCol w:w="2388"/>
        <w:gridCol w:w="2916"/>
        <w:gridCol w:w="3145"/>
      </w:tblGrid>
      <w:tr>
        <w:tblPrEx>
          <w:tblLayout w:type="fixed"/>
          <w:tblCellMar>
            <w:top w:w="0" w:type="dxa"/>
            <w:left w:w="108" w:type="dxa"/>
            <w:bottom w:w="0" w:type="dxa"/>
            <w:right w:w="108" w:type="dxa"/>
          </w:tblCellMar>
        </w:tblPrEx>
        <w:trPr>
          <w:trHeight w:val="300" w:hRule="atLeast"/>
          <w:jc w:val="center"/>
        </w:trPr>
        <w:tc>
          <w:tcPr>
            <w:tcW w:w="50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 目</w:t>
            </w:r>
          </w:p>
        </w:tc>
        <w:tc>
          <w:tcPr>
            <w:tcW w:w="23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1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574" w:type="dxa"/>
            <w:tcBorders>
              <w:top w:val="nil"/>
              <w:left w:val="single" w:color="auto" w:sz="4" w:space="0"/>
              <w:bottom w:val="single" w:color="auto" w:sz="4" w:space="0"/>
              <w:right w:val="single" w:color="auto" w:sz="4" w:space="0"/>
            </w:tcBorders>
            <w:vAlign w:val="center"/>
          </w:tcPr>
          <w:p>
            <w:pPr>
              <w:widowControl/>
              <w:jc w:val="both"/>
              <w:rPr>
                <w:rFonts w:ascii="MingLiU" w:hAnsi="MingLiU" w:eastAsia="MingLiU" w:cs="Arial"/>
                <w:kern w:val="0"/>
                <w:sz w:val="22"/>
                <w:szCs w:val="22"/>
              </w:rPr>
            </w:pPr>
            <w:r>
              <w:rPr>
                <w:rFonts w:hint="eastAsia" w:ascii="MingLiU" w:hAnsi="MingLiU" w:cs="Arial"/>
                <w:kern w:val="0"/>
                <w:sz w:val="22"/>
                <w:szCs w:val="22"/>
                <w:lang w:eastAsia="zh-CN"/>
              </w:rPr>
              <w:t>支出功能分类</w:t>
            </w:r>
            <w:r>
              <w:rPr>
                <w:rFonts w:hint="eastAsia" w:ascii="MingLiU" w:hAnsi="MingLiU" w:eastAsia="MingLiU" w:cs="Arial"/>
                <w:kern w:val="0"/>
                <w:sz w:val="22"/>
                <w:szCs w:val="22"/>
              </w:rPr>
              <w:t>科目编码</w:t>
            </w:r>
          </w:p>
        </w:tc>
        <w:tc>
          <w:tcPr>
            <w:tcW w:w="345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1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503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388"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16"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145"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503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388" w:type="dxa"/>
            <w:tcBorders>
              <w:top w:val="nil"/>
              <w:left w:val="nil"/>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 xml:space="preserve">             212.77</w:t>
            </w:r>
          </w:p>
        </w:tc>
        <w:tc>
          <w:tcPr>
            <w:tcW w:w="2916" w:type="dxa"/>
            <w:tcBorders>
              <w:top w:val="nil"/>
              <w:left w:val="nil"/>
              <w:bottom w:val="single" w:color="auto" w:sz="4" w:space="0"/>
              <w:right w:val="single" w:color="auto" w:sz="4" w:space="0"/>
            </w:tcBorders>
            <w:vAlign w:val="top"/>
          </w:tcPr>
          <w:p>
            <w:pPr>
              <w:widowControl/>
              <w:ind w:firstLine="2000" w:firstLineChars="1000"/>
              <w:jc w:val="left"/>
              <w:rPr>
                <w:rFonts w:ascii="Arial" w:hAnsi="Arial" w:cs="Arial"/>
                <w:color w:val="000000"/>
                <w:kern w:val="0"/>
                <w:sz w:val="20"/>
                <w:szCs w:val="20"/>
              </w:rPr>
            </w:pPr>
            <w:r>
              <w:rPr>
                <w:rFonts w:hint="eastAsia" w:ascii="Arial" w:hAnsi="Arial" w:cs="Arial"/>
                <w:color w:val="000000"/>
                <w:kern w:val="0"/>
                <w:sz w:val="20"/>
                <w:szCs w:val="20"/>
                <w:lang w:val="en-US" w:eastAsia="zh-CN"/>
              </w:rPr>
              <w:t>185.89</w:t>
            </w:r>
            <w:r>
              <w:rPr>
                <w:rFonts w:ascii="Arial" w:hAnsi="Arial" w:cs="Arial"/>
                <w:color w:val="000000"/>
                <w:kern w:val="0"/>
                <w:sz w:val="20"/>
                <w:szCs w:val="20"/>
              </w:rPr>
              <w:t>　</w:t>
            </w:r>
          </w:p>
        </w:tc>
        <w:tc>
          <w:tcPr>
            <w:tcW w:w="3145" w:type="dxa"/>
            <w:tcBorders>
              <w:top w:val="nil"/>
              <w:left w:val="nil"/>
              <w:bottom w:val="single" w:color="auto" w:sz="4" w:space="0"/>
              <w:right w:val="single" w:color="auto" w:sz="4" w:space="0"/>
            </w:tcBorders>
            <w:vAlign w:val="top"/>
          </w:tcPr>
          <w:p>
            <w:pPr>
              <w:widowControl/>
              <w:ind w:firstLine="2400" w:firstLineChars="1200"/>
              <w:jc w:val="left"/>
              <w:rPr>
                <w:rFonts w:ascii="Arial" w:hAnsi="Arial" w:cs="Arial"/>
                <w:color w:val="000000"/>
                <w:kern w:val="0"/>
                <w:sz w:val="20"/>
                <w:szCs w:val="20"/>
              </w:rPr>
            </w:pPr>
            <w:r>
              <w:rPr>
                <w:rFonts w:hint="eastAsia" w:ascii="Arial" w:hAnsi="Arial" w:cs="Arial"/>
                <w:color w:val="000000"/>
                <w:kern w:val="0"/>
                <w:sz w:val="20"/>
                <w:szCs w:val="20"/>
                <w:lang w:val="en-US" w:eastAsia="zh-CN"/>
              </w:rPr>
              <w:t>26.88</w:t>
            </w: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288" w:hRule="atLeast"/>
          <w:jc w:val="center"/>
        </w:trPr>
        <w:tc>
          <w:tcPr>
            <w:tcW w:w="15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45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一般公共服务支出</w:t>
            </w:r>
          </w:p>
        </w:tc>
        <w:tc>
          <w:tcPr>
            <w:tcW w:w="23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143.44</w:t>
            </w:r>
          </w:p>
        </w:tc>
        <w:tc>
          <w:tcPr>
            <w:tcW w:w="29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116.56</w:t>
            </w:r>
          </w:p>
        </w:tc>
        <w:tc>
          <w:tcPr>
            <w:tcW w:w="31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26.88</w:t>
            </w:r>
          </w:p>
        </w:tc>
      </w:tr>
      <w:tr>
        <w:tblPrEx>
          <w:tblLayout w:type="fixed"/>
          <w:tblCellMar>
            <w:top w:w="0" w:type="dxa"/>
            <w:left w:w="108" w:type="dxa"/>
            <w:bottom w:w="0" w:type="dxa"/>
            <w:right w:w="108" w:type="dxa"/>
          </w:tblCellMar>
        </w:tblPrEx>
        <w:trPr>
          <w:trHeight w:val="288" w:hRule="atLeast"/>
          <w:jc w:val="center"/>
        </w:trPr>
        <w:tc>
          <w:tcPr>
            <w:tcW w:w="15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w:t>
            </w:r>
          </w:p>
        </w:tc>
        <w:tc>
          <w:tcPr>
            <w:tcW w:w="345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民主党派及工商联事务</w:t>
            </w:r>
          </w:p>
        </w:tc>
        <w:tc>
          <w:tcPr>
            <w:tcW w:w="23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143.44</w:t>
            </w:r>
          </w:p>
        </w:tc>
        <w:tc>
          <w:tcPr>
            <w:tcW w:w="29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116.56</w:t>
            </w:r>
          </w:p>
        </w:tc>
        <w:tc>
          <w:tcPr>
            <w:tcW w:w="31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26.88</w:t>
            </w:r>
          </w:p>
        </w:tc>
      </w:tr>
      <w:tr>
        <w:tblPrEx>
          <w:tblLayout w:type="fixed"/>
          <w:tblCellMar>
            <w:top w:w="0" w:type="dxa"/>
            <w:left w:w="108" w:type="dxa"/>
            <w:bottom w:w="0" w:type="dxa"/>
            <w:right w:w="108" w:type="dxa"/>
          </w:tblCellMar>
        </w:tblPrEx>
        <w:trPr>
          <w:trHeight w:val="288" w:hRule="atLeast"/>
          <w:jc w:val="center"/>
        </w:trPr>
        <w:tc>
          <w:tcPr>
            <w:tcW w:w="15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2012801</w:t>
            </w:r>
          </w:p>
        </w:tc>
        <w:tc>
          <w:tcPr>
            <w:tcW w:w="345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行政运行</w:t>
            </w:r>
          </w:p>
        </w:tc>
        <w:tc>
          <w:tcPr>
            <w:tcW w:w="23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116.56</w:t>
            </w:r>
          </w:p>
        </w:tc>
        <w:tc>
          <w:tcPr>
            <w:tcW w:w="29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116.56</w:t>
            </w:r>
          </w:p>
        </w:tc>
        <w:tc>
          <w:tcPr>
            <w:tcW w:w="31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2012804</w:t>
            </w:r>
          </w:p>
        </w:tc>
        <w:tc>
          <w:tcPr>
            <w:tcW w:w="345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参政议政</w:t>
            </w:r>
          </w:p>
        </w:tc>
        <w:tc>
          <w:tcPr>
            <w:tcW w:w="23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26.88</w:t>
            </w:r>
          </w:p>
        </w:tc>
        <w:tc>
          <w:tcPr>
            <w:tcW w:w="29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1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26.88</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40.91</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40.91</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行政事业单位离退休</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40.91</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40.91</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2080501</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归口管理的行政单位离退休</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25.45</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25.45</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15.46</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15.46</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17.00</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17.00</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2101101</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行政单位医疗</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6.66</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6.66</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公务员医疗补助</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10.34</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10.34</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11.41</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11.41</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11.41</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11.41</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11.01</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11.01</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34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购房补贴</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0.40</w:t>
            </w:r>
          </w:p>
        </w:tc>
        <w:tc>
          <w:tcPr>
            <w:tcW w:w="29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0.40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bl>
    <w:p>
      <w:pPr>
        <w:rPr>
          <w:rFonts w:hint="eastAsia"/>
        </w:rPr>
      </w:pPr>
    </w:p>
    <w:p>
      <w:pPr>
        <w:rPr>
          <w:rFonts w:hint="eastAsia"/>
        </w:rPr>
      </w:pPr>
      <w:r>
        <w:rPr>
          <w:rFonts w:hint="eastAsia"/>
          <w:lang w:eastAsia="zh-CN"/>
        </w:rPr>
        <w:t>注：本表反映部门本年度一般公共预算财政拨款实际支出情况。</w:t>
      </w:r>
    </w:p>
    <w:p>
      <w:pPr>
        <w:sectPr>
          <w:footerReference r:id="rId8" w:type="default"/>
          <w:footerReference r:id="rId9"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hint="eastAsia"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单位：万元</w:t>
      </w:r>
    </w:p>
    <w:tbl>
      <w:tblPr>
        <w:tblStyle w:val="6"/>
        <w:tblW w:w="9393" w:type="dxa"/>
        <w:tblInd w:w="93" w:type="dxa"/>
        <w:tblLayout w:type="fixed"/>
        <w:tblCellMar>
          <w:top w:w="0" w:type="dxa"/>
          <w:left w:w="108" w:type="dxa"/>
          <w:bottom w:w="0" w:type="dxa"/>
          <w:right w:w="108" w:type="dxa"/>
        </w:tblCellMar>
      </w:tblPr>
      <w:tblGrid>
        <w:gridCol w:w="1173"/>
        <w:gridCol w:w="2983"/>
        <w:gridCol w:w="831"/>
        <w:gridCol w:w="849"/>
        <w:gridCol w:w="2429"/>
        <w:gridCol w:w="1128"/>
      </w:tblGrid>
      <w:tr>
        <w:tblPrEx>
          <w:tblLayout w:type="fixed"/>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人员经费</w:t>
            </w:r>
          </w:p>
        </w:tc>
        <w:tc>
          <w:tcPr>
            <w:tcW w:w="440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w:t>
            </w:r>
          </w:p>
        </w:tc>
      </w:tr>
      <w:tr>
        <w:tblPrEx>
          <w:tblLayout w:type="fixed"/>
          <w:tblCellMar>
            <w:top w:w="0" w:type="dxa"/>
            <w:left w:w="108" w:type="dxa"/>
            <w:bottom w:w="0" w:type="dxa"/>
            <w:right w:w="108" w:type="dxa"/>
          </w:tblCellMar>
        </w:tblPrEx>
        <w:trPr>
          <w:trHeight w:val="312" w:hRule="atLeast"/>
        </w:trPr>
        <w:tc>
          <w:tcPr>
            <w:tcW w:w="1173"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支出经济分类科目编码</w:t>
            </w:r>
          </w:p>
        </w:tc>
        <w:tc>
          <w:tcPr>
            <w:tcW w:w="298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831" w:type="dxa"/>
            <w:tcBorders>
              <w:top w:val="nil"/>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242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12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金额</w:t>
            </w:r>
          </w:p>
        </w:tc>
      </w:tr>
      <w:tr>
        <w:tblPrEx>
          <w:tblLayout w:type="fixed"/>
          <w:tblCellMar>
            <w:top w:w="0" w:type="dxa"/>
            <w:left w:w="108" w:type="dxa"/>
            <w:bottom w:w="0" w:type="dxa"/>
            <w:right w:w="108" w:type="dxa"/>
          </w:tblCellMar>
        </w:tblPrEx>
        <w:trPr>
          <w:trHeight w:val="264"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工资福利支出</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135.14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商品和服务支出</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26.41 </w:t>
            </w:r>
          </w:p>
        </w:tc>
      </w:tr>
      <w:tr>
        <w:tblPrEx>
          <w:tblLayout w:type="fixed"/>
          <w:tblCellMar>
            <w:top w:w="0" w:type="dxa"/>
            <w:left w:w="108" w:type="dxa"/>
            <w:bottom w:w="0" w:type="dxa"/>
            <w:right w:w="108" w:type="dxa"/>
          </w:tblCellMar>
        </w:tblPrEx>
        <w:trPr>
          <w:trHeight w:val="264"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30101</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基本工资</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33.41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30201</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办公费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1.96 </w:t>
            </w:r>
          </w:p>
        </w:tc>
      </w:tr>
      <w:tr>
        <w:tblPrEx>
          <w:tblLayout w:type="fixed"/>
          <w:tblCellMar>
            <w:top w:w="0" w:type="dxa"/>
            <w:left w:w="108" w:type="dxa"/>
            <w:bottom w:w="0" w:type="dxa"/>
            <w:right w:w="108" w:type="dxa"/>
          </w:tblCellMar>
        </w:tblPrEx>
        <w:trPr>
          <w:trHeight w:val="264"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30102</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津贴补贴</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25.49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30202</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印刷费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0.54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30103</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奖金</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32.35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30203</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咨询费</w:t>
            </w:r>
          </w:p>
        </w:tc>
        <w:tc>
          <w:tcPr>
            <w:tcW w:w="1128"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30106</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伙食补助费</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30204</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手续费</w:t>
            </w:r>
          </w:p>
        </w:tc>
        <w:tc>
          <w:tcPr>
            <w:tcW w:w="1128"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30107</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绩效工资</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30205</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水费</w:t>
            </w:r>
          </w:p>
        </w:tc>
        <w:tc>
          <w:tcPr>
            <w:tcW w:w="1128"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30108</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15.46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30206</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电费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0.77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30109</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职业年金缴费</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30207</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邮电费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1.99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30110</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6.66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30208</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取暖费</w:t>
            </w:r>
          </w:p>
        </w:tc>
        <w:tc>
          <w:tcPr>
            <w:tcW w:w="1128"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30111</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10.34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30209</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物业管理费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2.74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30112</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30211</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差旅费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2.75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30113</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11.01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30212</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128"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30114</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医疗费</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30213</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维修（护）费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0.25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30199</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0.40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30214</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租赁费</w:t>
            </w:r>
          </w:p>
        </w:tc>
        <w:tc>
          <w:tcPr>
            <w:tcW w:w="1128"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对个人和家庭的补助</w:t>
            </w:r>
          </w:p>
        </w:tc>
        <w:tc>
          <w:tcPr>
            <w:tcW w:w="8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24.34 </w:t>
            </w: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30215</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会议费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0.20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30301</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离休费</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30216</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培训费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0.48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30302</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退休费</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30217</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公务接待费</w:t>
            </w:r>
          </w:p>
        </w:tc>
        <w:tc>
          <w:tcPr>
            <w:tcW w:w="11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0.27 </w:t>
            </w:r>
          </w:p>
        </w:tc>
      </w:tr>
      <w:tr>
        <w:tblPrEx>
          <w:tblLayout w:type="fixed"/>
          <w:tblCellMar>
            <w:top w:w="0" w:type="dxa"/>
            <w:left w:w="108" w:type="dxa"/>
            <w:bottom w:w="0" w:type="dxa"/>
            <w:right w:w="108" w:type="dxa"/>
          </w:tblCellMar>
        </w:tblPrEx>
        <w:trPr>
          <w:trHeight w:val="276" w:hRule="atLeast"/>
        </w:trPr>
        <w:tc>
          <w:tcPr>
            <w:tcW w:w="11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30303</w:t>
            </w:r>
          </w:p>
        </w:tc>
        <w:tc>
          <w:tcPr>
            <w:tcW w:w="298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退职（役）费</w:t>
            </w:r>
          </w:p>
        </w:tc>
        <w:tc>
          <w:tcPr>
            <w:tcW w:w="831"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30218</w:t>
            </w:r>
          </w:p>
        </w:tc>
        <w:tc>
          <w:tcPr>
            <w:tcW w:w="24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专用材料费</w:t>
            </w:r>
          </w:p>
        </w:tc>
        <w:tc>
          <w:tcPr>
            <w:tcW w:w="1128"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30304</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抚恤金</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19.56 </w:t>
            </w: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30224</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被装购置费</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30305</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生活补助</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4.00 </w:t>
            </w: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30225</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专用燃料费</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30306</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救济费</w:t>
            </w: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30226</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劳务费</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30307</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医疗费补助</w:t>
            </w: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30227</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委托业务费</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30308</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助学金</w:t>
            </w: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30228</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工会经费</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1.73 </w:t>
            </w: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30309</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奖励金</w:t>
            </w: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30229</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福利费</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30310</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30231</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30399</w:t>
            </w:r>
          </w:p>
        </w:tc>
        <w:tc>
          <w:tcPr>
            <w:tcW w:w="29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0.78 </w:t>
            </w: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30239</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其他交通费用</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7.95 </w:t>
            </w: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29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30240</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29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30299</w:t>
            </w:r>
          </w:p>
        </w:tc>
        <w:tc>
          <w:tcPr>
            <w:tcW w:w="24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4.79 </w:t>
            </w:r>
          </w:p>
        </w:tc>
      </w:tr>
      <w:tr>
        <w:tblPrEx>
          <w:tblLayout w:type="fixed"/>
          <w:tblCellMar>
            <w:top w:w="0" w:type="dxa"/>
            <w:left w:w="108" w:type="dxa"/>
            <w:bottom w:w="0" w:type="dxa"/>
            <w:right w:w="108" w:type="dxa"/>
          </w:tblCellMar>
        </w:tblPrEx>
        <w:trPr>
          <w:trHeight w:val="264" w:hRule="atLeast"/>
        </w:trPr>
        <w:tc>
          <w:tcPr>
            <w:tcW w:w="11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29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color w:val="000000"/>
                <w:kern w:val="0"/>
                <w:sz w:val="20"/>
                <w:szCs w:val="20"/>
                <w:u w:val="none"/>
                <w:lang w:val="en-US" w:eastAsia="zh-CN" w:bidi="ar"/>
              </w:rPr>
            </w:pPr>
          </w:p>
        </w:tc>
        <w:tc>
          <w:tcPr>
            <w:tcW w:w="24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41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人员经费合计</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159.48 </w:t>
            </w:r>
          </w:p>
        </w:tc>
        <w:tc>
          <w:tcPr>
            <w:tcW w:w="440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lang w:val="en-US"/>
              </w:rPr>
            </w:pPr>
            <w:r>
              <w:rPr>
                <w:rFonts w:hint="eastAsia" w:ascii="宋体" w:hAnsi="宋体" w:eastAsia="宋体" w:cs="宋体"/>
                <w:i w:val="0"/>
                <w:color w:val="000000"/>
                <w:kern w:val="0"/>
                <w:sz w:val="20"/>
                <w:szCs w:val="20"/>
                <w:u w:val="none"/>
                <w:lang w:val="en-US" w:eastAsia="zh-CN" w:bidi="ar"/>
              </w:rPr>
              <w:t>公用经费合计</w:t>
            </w:r>
            <w:r>
              <w:rPr>
                <w:rFonts w:hint="eastAsia" w:ascii="宋体" w:hAnsi="宋体" w:cs="宋体"/>
                <w:i w:val="0"/>
                <w:color w:val="000000"/>
                <w:kern w:val="0"/>
                <w:sz w:val="20"/>
                <w:szCs w:val="20"/>
                <w:u w:val="none"/>
                <w:lang w:val="en-US" w:eastAsia="zh-CN" w:bidi="ar"/>
              </w:rPr>
              <w:t>:  26.41</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lang w:eastAsia="zh-CN"/>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6"/>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0.32</w:t>
            </w:r>
          </w:p>
        </w:tc>
        <w:tc>
          <w:tcPr>
            <w:tcW w:w="1603" w:type="dxa"/>
            <w:tcBorders>
              <w:top w:val="nil"/>
              <w:left w:val="nil"/>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828" w:type="dxa"/>
            <w:tcBorders>
              <w:top w:val="nil"/>
              <w:left w:val="nil"/>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42" w:type="dxa"/>
            <w:tcBorders>
              <w:top w:val="nil"/>
              <w:left w:val="nil"/>
              <w:bottom w:val="single" w:color="auto" w:sz="4" w:space="0"/>
              <w:right w:val="single" w:color="auto" w:sz="4" w:space="0"/>
            </w:tcBorders>
            <w:vAlign w:val="top"/>
          </w:tcPr>
          <w:p>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42" w:type="dxa"/>
            <w:tcBorders>
              <w:top w:val="nil"/>
              <w:left w:val="nil"/>
              <w:bottom w:val="single" w:color="auto" w:sz="4" w:space="0"/>
              <w:right w:val="single" w:color="auto" w:sz="4" w:space="0"/>
            </w:tcBorders>
            <w:vAlign w:val="top"/>
          </w:tcPr>
          <w:p>
            <w:pPr>
              <w:widowControl/>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16" w:type="dxa"/>
            <w:tcBorders>
              <w:top w:val="nil"/>
              <w:left w:val="nil"/>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0.32</w:t>
            </w:r>
          </w:p>
        </w:tc>
        <w:tc>
          <w:tcPr>
            <w:tcW w:w="806" w:type="dxa"/>
            <w:tcBorders>
              <w:top w:val="nil"/>
              <w:left w:val="nil"/>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0.27</w:t>
            </w:r>
          </w:p>
        </w:tc>
        <w:tc>
          <w:tcPr>
            <w:tcW w:w="1560" w:type="dxa"/>
            <w:tcBorders>
              <w:top w:val="nil"/>
              <w:left w:val="nil"/>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806" w:type="dxa"/>
            <w:tcBorders>
              <w:top w:val="nil"/>
              <w:left w:val="nil"/>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398" w:type="dxa"/>
            <w:tcBorders>
              <w:top w:val="nil"/>
              <w:left w:val="nil"/>
              <w:bottom w:val="single" w:color="auto" w:sz="4" w:space="0"/>
              <w:right w:val="single" w:color="auto" w:sz="4" w:space="0"/>
            </w:tcBorders>
            <w:vAlign w:val="top"/>
          </w:tcPr>
          <w:p>
            <w:pPr>
              <w:widowControl/>
              <w:ind w:firstLine="400" w:firstLineChars="200"/>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c>
          <w:tcPr>
            <w:tcW w:w="1208"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c>
          <w:tcPr>
            <w:tcW w:w="1183" w:type="dxa"/>
            <w:tcBorders>
              <w:top w:val="nil"/>
              <w:left w:val="nil"/>
              <w:bottom w:val="single" w:color="auto" w:sz="4" w:space="0"/>
              <w:right w:val="single" w:color="auto" w:sz="4" w:space="0"/>
            </w:tcBorders>
            <w:vAlign w:val="top"/>
          </w:tcPr>
          <w:p>
            <w:pPr>
              <w:widowControl/>
              <w:ind w:firstLine="200" w:firstLineChars="100"/>
              <w:jc w:val="center"/>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0.27</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rPr>
      </w:pPr>
    </w:p>
    <w:p>
      <w:pPr>
        <w:rPr>
          <w:rFonts w:hint="eastAsia"/>
        </w:rPr>
      </w:pPr>
    </w:p>
    <w:tbl>
      <w:tblPr>
        <w:tblStyle w:val="6"/>
        <w:tblW w:w="12480" w:type="dxa"/>
        <w:jc w:val="center"/>
        <w:tblInd w:w="93"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lang w:eastAsia="zh-CN"/>
        </w:rPr>
      </w:pPr>
      <w:r>
        <w:rPr>
          <w:rFonts w:hint="eastAsia"/>
          <w:lang w:eastAsia="zh-CN"/>
        </w:rPr>
        <w:t>注：本表反映部门本年度政府性基金预算财政拨款收入支出及结转和结余情况。</w:t>
      </w:r>
    </w:p>
    <w:p>
      <w:pPr>
        <w:spacing w:line="560" w:lineRule="exact"/>
        <w:ind w:firstLine="420"/>
        <w:rPr>
          <w:rFonts w:hint="eastAsia"/>
          <w:lang w:eastAsia="zh-CN"/>
        </w:rPr>
      </w:pPr>
    </w:p>
    <w:p>
      <w:pPr>
        <w:spacing w:line="560" w:lineRule="exact"/>
        <w:ind w:firstLine="420"/>
        <w:rPr>
          <w:rFonts w:hint="eastAsia" w:eastAsia="仿宋_GB2312"/>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lang w:eastAsia="zh-CN"/>
        </w:rPr>
        <w:t>农工党柳州市委</w:t>
      </w:r>
      <w:r>
        <w:rPr>
          <w:rFonts w:hint="eastAsia" w:ascii="仿宋_GB2312" w:hAnsi="黑体" w:eastAsia="仿宋_GB2312"/>
          <w:b/>
          <w:sz w:val="32"/>
          <w:szCs w:val="32"/>
        </w:rPr>
        <w:t>没有</w:t>
      </w:r>
      <w:r>
        <w:rPr>
          <w:rFonts w:hint="eastAsia" w:ascii="仿宋_GB2312" w:hAnsi="黑体" w:eastAsia="仿宋_GB2312"/>
          <w:b/>
          <w:sz w:val="32"/>
          <w:szCs w:val="32"/>
          <w:lang w:eastAsia="zh-CN"/>
        </w:rPr>
        <w:t>政府性基金</w:t>
      </w:r>
      <w:r>
        <w:rPr>
          <w:rFonts w:hint="eastAsia" w:ascii="仿宋_GB2312" w:hAnsi="黑体" w:eastAsia="仿宋_GB2312"/>
          <w:b/>
          <w:sz w:val="32"/>
          <w:szCs w:val="32"/>
        </w:rPr>
        <w:t>收入，也没有</w:t>
      </w:r>
      <w:r>
        <w:rPr>
          <w:rFonts w:hint="eastAsia" w:ascii="仿宋_GB2312" w:hAnsi="黑体" w:eastAsia="仿宋_GB2312"/>
          <w:b/>
          <w:sz w:val="32"/>
          <w:szCs w:val="32"/>
          <w:lang w:eastAsia="zh-CN"/>
        </w:rPr>
        <w:t>政府性基金</w:t>
      </w:r>
      <w:r>
        <w:rPr>
          <w:rFonts w:hint="eastAsia" w:ascii="仿宋_GB2312" w:hAnsi="黑体" w:eastAsia="仿宋_GB2312"/>
          <w:b/>
          <w:sz w:val="32"/>
          <w:szCs w:val="32"/>
        </w:rPr>
        <w:t>安排的支出，故本表无数据</w:t>
      </w:r>
      <w:r>
        <w:rPr>
          <w:rFonts w:hint="eastAsia" w:ascii="仿宋_GB2312" w:hAnsi="黑体" w:eastAsia="仿宋_GB2312"/>
          <w:b/>
          <w:sz w:val="32"/>
          <w:szCs w:val="32"/>
          <w:lang w:eastAsia="zh-CN"/>
        </w:rPr>
        <w:t>。</w:t>
      </w:r>
    </w:p>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tabs>
          <w:tab w:val="left" w:pos="4909"/>
        </w:tabs>
        <w:jc w:val="left"/>
        <w:rPr>
          <w:lang w:val="en-US" w:eastAsia="zh-CN"/>
        </w:rPr>
      </w:pPr>
      <w:bookmarkStart w:id="0" w:name="_GoBack"/>
      <w:bookmarkEnd w:id="0"/>
    </w:p>
    <w:sectPr>
      <w:footerReference r:id="rId10"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- 16 -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94B5C00"/>
    <w:rsid w:val="0E9D54DA"/>
    <w:rsid w:val="14B365B2"/>
    <w:rsid w:val="26460DBA"/>
    <w:rsid w:val="2C4219FE"/>
    <w:rsid w:val="2E061E48"/>
    <w:rsid w:val="39A63F06"/>
    <w:rsid w:val="3B297461"/>
    <w:rsid w:val="3ED1439F"/>
    <w:rsid w:val="40286EFC"/>
    <w:rsid w:val="4C256E3D"/>
    <w:rsid w:val="4CB52F0F"/>
    <w:rsid w:val="532F1F9A"/>
    <w:rsid w:val="548256F4"/>
    <w:rsid w:val="62163194"/>
    <w:rsid w:val="63515128"/>
    <w:rsid w:val="7EA76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dcterms:modified xsi:type="dcterms:W3CDTF">2020-08-10T07:32:21Z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