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cs="ArialUnicodeMS"/>
          <w:kern w:val="0"/>
          <w:sz w:val="32"/>
          <w:szCs w:val="32"/>
        </w:rPr>
      </w:pPr>
    </w:p>
    <w:p>
      <w:pPr>
        <w:rPr>
          <w:rFonts w:hint="eastAsia" w:ascii="黑体" w:eastAsia="黑体" w:cs="ArialUnicodeMS"/>
          <w:kern w:val="0"/>
          <w:sz w:val="72"/>
          <w:szCs w:val="72"/>
        </w:rPr>
      </w:pPr>
    </w:p>
    <w:p>
      <w:pPr>
        <w:rPr>
          <w:rFonts w:hint="eastAsia" w:ascii="黑体" w:eastAsia="黑体" w:cs="ArialUnicodeMS"/>
          <w:kern w:val="0"/>
          <w:sz w:val="72"/>
          <w:szCs w:val="72"/>
        </w:rPr>
      </w:pPr>
    </w:p>
    <w:p>
      <w:pPr>
        <w:jc w:val="center"/>
        <w:rPr>
          <w:rFonts w:hint="eastAsia" w:ascii="黑体" w:hAnsi="黑体" w:eastAsia="黑体"/>
          <w:bCs/>
          <w:color w:val="000000"/>
          <w:sz w:val="52"/>
          <w:szCs w:val="52"/>
          <w:u w:val="none"/>
          <w:lang w:eastAsia="zh-CN"/>
        </w:rPr>
      </w:pPr>
      <w:r>
        <w:rPr>
          <w:rFonts w:hint="eastAsia" w:ascii="黑体" w:eastAsia="黑体" w:cs="ArialUnicodeMS"/>
          <w:kern w:val="0"/>
          <w:sz w:val="52"/>
          <w:szCs w:val="52"/>
          <w:lang w:eastAsia="zh-CN"/>
        </w:rPr>
        <w:t>柳州市</w:t>
      </w:r>
      <w:r>
        <w:rPr>
          <w:rFonts w:hint="eastAsia" w:ascii="黑体" w:hAnsi="黑体" w:eastAsia="黑体"/>
          <w:bCs/>
          <w:color w:val="000000"/>
          <w:sz w:val="52"/>
          <w:szCs w:val="52"/>
          <w:u w:val="none"/>
          <w:lang w:eastAsia="zh-CN"/>
        </w:rPr>
        <w:t>残疾人联合会</w:t>
      </w:r>
    </w:p>
    <w:p>
      <w:pPr>
        <w:jc w:val="center"/>
        <w:rPr>
          <w:rFonts w:hint="eastAsia" w:ascii="黑体" w:eastAsia="黑体" w:cs="ArialUnicodeMS"/>
          <w:kern w:val="0"/>
          <w:sz w:val="52"/>
          <w:szCs w:val="52"/>
        </w:rPr>
      </w:pPr>
      <w:r>
        <w:rPr>
          <w:rFonts w:hint="eastAsia" w:ascii="黑体" w:eastAsia="黑体"/>
          <w:kern w:val="0"/>
          <w:sz w:val="52"/>
          <w:szCs w:val="52"/>
          <w:lang w:val="en-US" w:eastAsia="zh-CN"/>
        </w:rPr>
        <w:t>2019</w:t>
      </w:r>
      <w:r>
        <w:rPr>
          <w:rFonts w:hint="eastAsia" w:ascii="黑体" w:eastAsia="黑体" w:cs="ArialUnicodeMS"/>
          <w:kern w:val="0"/>
          <w:sz w:val="52"/>
          <w:szCs w:val="52"/>
        </w:rPr>
        <w:t>年</w:t>
      </w:r>
      <w:r>
        <w:rPr>
          <w:rFonts w:hint="eastAsia" w:ascii="黑体" w:eastAsia="黑体" w:cs="ArialUnicodeMS"/>
          <w:kern w:val="0"/>
          <w:sz w:val="52"/>
          <w:szCs w:val="52"/>
          <w:lang w:eastAsia="zh-CN"/>
        </w:rPr>
        <w:t>度</w:t>
      </w:r>
      <w:r>
        <w:rPr>
          <w:rFonts w:hint="eastAsia" w:ascii="黑体" w:eastAsia="黑体" w:cs="ArialUnicodeMS"/>
          <w:kern w:val="0"/>
          <w:sz w:val="52"/>
          <w:szCs w:val="52"/>
        </w:rPr>
        <w:t>部门决算</w:t>
      </w:r>
    </w:p>
    <w:p>
      <w:pPr>
        <w:rPr>
          <w:rFonts w:hint="eastAsia" w:ascii="ArialUnicodeMS" w:eastAsia="ArialUnicodeMS" w:cs="ArialUnicodeMS"/>
          <w:kern w:val="0"/>
          <w:sz w:val="84"/>
          <w:szCs w:val="84"/>
        </w:rPr>
      </w:pPr>
    </w:p>
    <w:p>
      <w:pPr>
        <w:rPr>
          <w:rFonts w:hint="eastAsia" w:ascii="ArialUnicodeMS" w:eastAsia="ArialUnicodeMS" w:cs="ArialUnicodeMS"/>
          <w:kern w:val="0"/>
          <w:sz w:val="84"/>
          <w:szCs w:val="84"/>
          <w:lang w:eastAsia="zh-CN"/>
        </w:rPr>
      </w:pPr>
    </w:p>
    <w:p>
      <w:pPr>
        <w:rPr>
          <w:rFonts w:hint="eastAsia" w:ascii="ArialUnicodeMS" w:eastAsia="ArialUnicodeMS" w:cs="ArialUnicodeMS"/>
          <w:kern w:val="0"/>
          <w:sz w:val="84"/>
          <w:szCs w:val="84"/>
          <w:lang w:eastAsia="zh-CN"/>
        </w:rPr>
      </w:pPr>
    </w:p>
    <w:p>
      <w:pPr>
        <w:rPr>
          <w:rFonts w:hint="eastAsia" w:ascii="ArialUnicodeMS" w:eastAsia="ArialUnicodeMS" w:cs="ArialUnicodeMS"/>
          <w:kern w:val="0"/>
          <w:sz w:val="84"/>
          <w:szCs w:val="84"/>
          <w:lang w:eastAsia="zh-CN"/>
        </w:rPr>
      </w:pPr>
    </w:p>
    <w:p>
      <w:pPr>
        <w:rPr>
          <w:rFonts w:hint="eastAsia" w:ascii="ArialUnicodeMS" w:eastAsia="ArialUnicodeMS" w:cs="ArialUnicodeMS"/>
          <w:kern w:val="0"/>
          <w:sz w:val="84"/>
          <w:szCs w:val="84"/>
        </w:rPr>
      </w:pPr>
    </w:p>
    <w:p>
      <w:pPr>
        <w:rPr>
          <w:rFonts w:hint="eastAsia" w:ascii="ArialUnicodeMS" w:eastAsia="ArialUnicodeMS" w:cs="ArialUnicodeMS"/>
          <w:kern w:val="0"/>
          <w:sz w:val="84"/>
          <w:szCs w:val="84"/>
        </w:rPr>
      </w:pPr>
    </w:p>
    <w:p>
      <w:pPr>
        <w:rPr>
          <w:rFonts w:hint="eastAsia" w:ascii="ArialUnicodeMS" w:eastAsia="ArialUnicodeMS" w:cs="ArialUnicodeMS"/>
          <w:kern w:val="0"/>
          <w:sz w:val="84"/>
          <w:szCs w:val="84"/>
        </w:rPr>
      </w:pPr>
    </w:p>
    <w:p>
      <w:pPr>
        <w:jc w:val="center"/>
        <w:rPr>
          <w:rFonts w:hint="eastAsia" w:ascii="黑体" w:eastAsia="黑体" w:cs="黑体"/>
          <w:kern w:val="0"/>
          <w:sz w:val="44"/>
          <w:szCs w:val="44"/>
        </w:rPr>
      </w:pPr>
    </w:p>
    <w:p>
      <w:pPr>
        <w:ind w:firstLine="646"/>
        <w:jc w:val="center"/>
        <w:rPr>
          <w:rFonts w:hint="eastAsia" w:ascii="方正小标宋简体" w:eastAsia="方正小标宋简体"/>
          <w:b/>
          <w:sz w:val="44"/>
          <w:szCs w:val="44"/>
        </w:rPr>
      </w:pPr>
      <w:r>
        <w:rPr>
          <w:rFonts w:hint="eastAsia" w:ascii="方正小标宋简体" w:eastAsia="方正小标宋简体"/>
          <w:b/>
          <w:sz w:val="44"/>
          <w:szCs w:val="44"/>
        </w:rPr>
        <w:t>目    录</w:t>
      </w:r>
    </w:p>
    <w:p>
      <w:pPr>
        <w:ind w:firstLine="645"/>
        <w:rPr>
          <w:rFonts w:hint="eastAsia" w:ascii="仿宋_GB2312" w:eastAsia="仿宋_GB2312"/>
          <w:b/>
          <w:sz w:val="32"/>
          <w:szCs w:val="32"/>
        </w:rPr>
      </w:pPr>
    </w:p>
    <w:p>
      <w:pPr>
        <w:ind w:firstLine="645"/>
        <w:rPr>
          <w:rFonts w:hint="eastAsia"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柳州市残疾人联合会</w:t>
      </w:r>
      <w:r>
        <w:rPr>
          <w:rFonts w:hint="eastAsia" w:ascii="仿宋_GB2312" w:eastAsia="仿宋_GB2312"/>
          <w:b/>
          <w:sz w:val="32"/>
          <w:szCs w:val="32"/>
        </w:rPr>
        <w:t>概况</w:t>
      </w:r>
    </w:p>
    <w:p>
      <w:pPr>
        <w:ind w:firstLine="645"/>
        <w:rPr>
          <w:rFonts w:hint="eastAsia"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rPr>
      </w:pPr>
      <w:r>
        <w:rPr>
          <w:rFonts w:hint="eastAsia" w:ascii="仿宋_GB2312" w:eastAsia="仿宋_GB2312"/>
          <w:sz w:val="32"/>
          <w:szCs w:val="32"/>
        </w:rPr>
        <w:t>二、部门决算单位构成</w:t>
      </w:r>
    </w:p>
    <w:p>
      <w:pPr>
        <w:ind w:firstLine="645"/>
        <w:rPr>
          <w:rFonts w:hint="eastAsia"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柳州市残疾人联合会</w:t>
      </w:r>
      <w:r>
        <w:rPr>
          <w:rFonts w:hint="eastAsia" w:ascii="仿宋_GB2312" w:eastAsia="仿宋_GB2312"/>
          <w:b/>
          <w:sz w:val="32"/>
          <w:szCs w:val="32"/>
        </w:rPr>
        <w:t>201</w:t>
      </w:r>
      <w:r>
        <w:rPr>
          <w:rFonts w:hint="eastAsia" w:ascii="仿宋_GB2312" w:eastAsia="仿宋_GB2312"/>
          <w:b/>
          <w:sz w:val="32"/>
          <w:szCs w:val="32"/>
          <w:lang w:val="en-US" w:eastAsia="zh-CN"/>
        </w:rPr>
        <w:t>9</w:t>
      </w:r>
      <w:r>
        <w:rPr>
          <w:rFonts w:hint="eastAsia" w:ascii="仿宋_GB2312" w:eastAsia="仿宋_GB2312"/>
          <w:b/>
          <w:sz w:val="32"/>
          <w:szCs w:val="32"/>
        </w:rPr>
        <w:t>年部门决算报表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表二：收入决算表</w:t>
      </w:r>
    </w:p>
    <w:p>
      <w:pPr>
        <w:ind w:left="645"/>
        <w:rPr>
          <w:rFonts w:hint="eastAsia" w:ascii="仿宋_GB2312" w:eastAsia="仿宋_GB2312"/>
          <w:sz w:val="32"/>
          <w:szCs w:val="32"/>
        </w:rPr>
      </w:pPr>
      <w:r>
        <w:rPr>
          <w:rFonts w:hint="eastAsia" w:ascii="仿宋_GB2312" w:eastAsia="仿宋_GB2312"/>
          <w:sz w:val="32"/>
          <w:szCs w:val="32"/>
        </w:rPr>
        <w:t>表三：支出决算表</w:t>
      </w:r>
    </w:p>
    <w:p>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hint="eastAsia"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柳州市残疾人联合会</w:t>
      </w:r>
      <w:r>
        <w:rPr>
          <w:rFonts w:hint="eastAsia" w:ascii="仿宋_GB2312" w:eastAsia="仿宋_GB2312"/>
          <w:b/>
          <w:sz w:val="32"/>
          <w:szCs w:val="32"/>
        </w:rPr>
        <w:t>201</w:t>
      </w:r>
      <w:r>
        <w:rPr>
          <w:rFonts w:hint="eastAsia" w:ascii="仿宋_GB2312" w:eastAsia="仿宋_GB2312"/>
          <w:b/>
          <w:sz w:val="32"/>
          <w:szCs w:val="32"/>
          <w:lang w:val="en-US" w:eastAsia="zh-CN"/>
        </w:rPr>
        <w:t>9</w:t>
      </w:r>
      <w:r>
        <w:rPr>
          <w:rFonts w:hint="eastAsia" w:ascii="仿宋_GB2312" w:eastAsia="仿宋_GB2312"/>
          <w:b/>
          <w:sz w:val="32"/>
          <w:szCs w:val="32"/>
        </w:rPr>
        <w:t>年度部门决算情况说明</w:t>
      </w:r>
    </w:p>
    <w:p>
      <w:pPr>
        <w:ind w:firstLine="645"/>
        <w:rPr>
          <w:rFonts w:hint="eastAsia" w:ascii="仿宋_GB2312" w:eastAsia="仿宋_GB2312"/>
          <w:b/>
          <w:sz w:val="32"/>
          <w:szCs w:val="32"/>
        </w:rPr>
      </w:pP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val="en-US" w:eastAsia="zh-CN"/>
        </w:rPr>
        <w:t>收入</w:t>
      </w:r>
      <w:r>
        <w:rPr>
          <w:rFonts w:hint="eastAsia" w:ascii="仿宋_GB2312" w:eastAsia="仿宋_GB2312" w:cs="仿宋_GB2312"/>
          <w:kern w:val="0"/>
          <w:sz w:val="32"/>
          <w:szCs w:val="32"/>
        </w:rPr>
        <w:t>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val="en-US" w:eastAsia="zh-CN"/>
        </w:rPr>
        <w:t>支出</w:t>
      </w:r>
      <w:r>
        <w:rPr>
          <w:rFonts w:hint="eastAsia" w:ascii="仿宋_GB2312" w:eastAsia="仿宋_GB2312" w:cs="仿宋_GB2312"/>
          <w:kern w:val="0"/>
          <w:sz w:val="32"/>
          <w:szCs w:val="32"/>
        </w:rPr>
        <w:t>决算情况</w:t>
      </w:r>
    </w:p>
    <w:p>
      <w:pPr>
        <w:autoSpaceDE w:val="0"/>
        <w:autoSpaceDN w:val="0"/>
        <w:adjustRightInd w:val="0"/>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四、</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eastAsia="zh-CN"/>
        </w:rPr>
        <w:t>财政拨款收入支出决算情况</w:t>
      </w:r>
    </w:p>
    <w:p>
      <w:pPr>
        <w:autoSpaceDE w:val="0"/>
        <w:autoSpaceDN w:val="0"/>
        <w:adjustRightInd w:val="0"/>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五、</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eastAsia="zh-CN"/>
        </w:rPr>
        <w:t>一般公共预算财政拨款支出决算情况</w:t>
      </w:r>
    </w:p>
    <w:p>
      <w:pPr>
        <w:autoSpaceDE w:val="0"/>
        <w:autoSpaceDN w:val="0"/>
        <w:adjustRightInd w:val="0"/>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六、</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eastAsia="zh-CN"/>
        </w:rPr>
        <w:t>一般公共预算财政拨款基本支出决算情况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七、</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eastAsia="zh-CN"/>
        </w:rPr>
        <w:t>一般公共预算财政拨款“三公”经费支出决算情况</w:t>
      </w:r>
    </w:p>
    <w:p>
      <w:pPr>
        <w:autoSpaceDE w:val="0"/>
        <w:autoSpaceDN w:val="0"/>
        <w:adjustRightInd w:val="0"/>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kern w:val="0"/>
          <w:sz w:val="32"/>
          <w:szCs w:val="32"/>
          <w:lang w:eastAsia="zh-CN"/>
        </w:rPr>
        <w:t>八、</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hint="eastAsia" w:ascii="仿宋_GB2312" w:eastAsia="仿宋_GB2312" w:cs="仿宋_GB2312"/>
          <w:bCs/>
          <w:kern w:val="0"/>
          <w:sz w:val="32"/>
          <w:szCs w:val="32"/>
        </w:rPr>
        <w:t xml:space="preserve"> 年度政府性基金预算财政拨款收入支出决算情况</w:t>
      </w:r>
    </w:p>
    <w:p>
      <w:pPr>
        <w:autoSpaceDE w:val="0"/>
        <w:autoSpaceDN w:val="0"/>
        <w:adjustRightInd w:val="0"/>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eastAsia="zh-CN"/>
        </w:rPr>
        <w:t>九、</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hint="eastAsia" w:ascii="仿宋_GB2312" w:eastAsia="仿宋_GB2312" w:cs="仿宋_GB2312"/>
          <w:b w:val="0"/>
          <w:bCs w:val="0"/>
          <w:kern w:val="0"/>
          <w:sz w:val="32"/>
          <w:szCs w:val="32"/>
        </w:rPr>
      </w:pPr>
      <w:r>
        <w:rPr>
          <w:rFonts w:hint="eastAsia" w:ascii="仿宋_GB2312" w:eastAsia="仿宋_GB2312" w:cs="仿宋_GB2312"/>
          <w:bCs/>
          <w:kern w:val="0"/>
          <w:sz w:val="32"/>
          <w:szCs w:val="32"/>
          <w:lang w:eastAsia="zh-CN"/>
        </w:rPr>
        <w:t>十、</w:t>
      </w:r>
      <w:r>
        <w:rPr>
          <w:rFonts w:hint="eastAsia" w:ascii="仿宋_GB2312" w:eastAsia="仿宋_GB2312" w:cs="仿宋_GB2312"/>
          <w:bCs/>
          <w:kern w:val="0"/>
          <w:sz w:val="32"/>
          <w:szCs w:val="32"/>
        </w:rPr>
        <w:t>其他重要事项的情况说明</w:t>
      </w:r>
    </w:p>
    <w:p>
      <w:pPr>
        <w:ind w:firstLine="645"/>
        <w:rPr>
          <w:rFonts w:hint="eastAsia" w:ascii="仿宋_GB2312" w:eastAsia="仿宋_GB2312"/>
          <w:b/>
          <w:sz w:val="32"/>
          <w:szCs w:val="32"/>
          <w:lang w:eastAsia="zh-CN"/>
        </w:rPr>
      </w:pPr>
      <w:r>
        <w:rPr>
          <w:rFonts w:hint="eastAsia" w:ascii="仿宋_GB2312" w:eastAsia="仿宋_GB2312"/>
          <w:b/>
          <w:sz w:val="32"/>
          <w:szCs w:val="32"/>
        </w:rPr>
        <w:t>第</w:t>
      </w:r>
      <w:r>
        <w:rPr>
          <w:rFonts w:hint="eastAsia" w:ascii="仿宋_GB2312" w:eastAsia="仿宋_GB2312"/>
          <w:b/>
          <w:sz w:val="32"/>
          <w:szCs w:val="32"/>
          <w:lang w:eastAsia="zh-CN"/>
        </w:rPr>
        <w:t>四</w:t>
      </w:r>
      <w:r>
        <w:rPr>
          <w:rFonts w:hint="eastAsia" w:ascii="仿宋_GB2312" w:eastAsia="仿宋_GB2312"/>
          <w:b/>
          <w:sz w:val="32"/>
          <w:szCs w:val="32"/>
        </w:rPr>
        <w:t>部分：</w:t>
      </w:r>
      <w:r>
        <w:rPr>
          <w:rFonts w:hint="eastAsia" w:ascii="仿宋_GB2312" w:eastAsia="仿宋_GB2312"/>
          <w:b/>
          <w:sz w:val="32"/>
          <w:szCs w:val="32"/>
          <w:lang w:eastAsia="zh-CN"/>
        </w:rPr>
        <w:t>名词解释</w:t>
      </w:r>
    </w:p>
    <w:p>
      <w:pPr>
        <w:ind w:firstLine="646"/>
        <w:jc w:val="center"/>
        <w:rPr>
          <w:rFonts w:ascii="仿宋_GB2312" w:eastAsia="仿宋_GB2312"/>
          <w:b/>
          <w:sz w:val="32"/>
          <w:szCs w:val="32"/>
        </w:rPr>
      </w:pPr>
      <w:r>
        <w:rPr>
          <w:rFonts w:hint="eastAsia" w:ascii="仿宋_GB2312" w:eastAsia="仿宋_GB2312" w:cs="仿宋_GB2312"/>
          <w:b w:val="0"/>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rPr>
        <w:t>柳州市残疾人联合会</w:t>
      </w:r>
      <w:r>
        <w:rPr>
          <w:rFonts w:hint="eastAsia" w:ascii="仿宋_GB2312" w:eastAsia="仿宋_GB2312"/>
          <w:b/>
          <w:sz w:val="32"/>
          <w:szCs w:val="32"/>
        </w:rPr>
        <w:t>概况</w:t>
      </w:r>
    </w:p>
    <w:p>
      <w:pPr>
        <w:ind w:firstLine="646"/>
        <w:rPr>
          <w:rFonts w:hint="eastAsia" w:ascii="仿宋_GB2312" w:eastAsia="仿宋_GB2312"/>
          <w:sz w:val="32"/>
          <w:szCs w:val="32"/>
        </w:rPr>
      </w:pPr>
      <w:r>
        <w:rPr>
          <w:rFonts w:hint="eastAsia" w:ascii="仿宋_GB2312" w:eastAsia="仿宋_GB2312"/>
          <w:sz w:val="32"/>
          <w:szCs w:val="32"/>
        </w:rPr>
        <w:t>一、主要职能</w:t>
      </w:r>
    </w:p>
    <w:p>
      <w:pPr>
        <w:spacing w:line="500" w:lineRule="exact"/>
        <w:ind w:firstLine="645"/>
        <w:rPr>
          <w:rFonts w:ascii="仿宋_GB2312" w:eastAsia="仿宋_GB2312"/>
          <w:sz w:val="32"/>
          <w:szCs w:val="32"/>
        </w:rPr>
      </w:pPr>
      <w:r>
        <w:rPr>
          <w:rFonts w:hint="eastAsia" w:ascii="仿宋_GB2312" w:eastAsia="仿宋_GB2312"/>
          <w:sz w:val="32"/>
          <w:szCs w:val="32"/>
        </w:rPr>
        <w:t>(一)宣传贯彻《中华人民共和国残疾人保障法》，维护残疾人权益，听取残疾人意见，反映残疾人需求，全心全意为残疾人服务。</w:t>
      </w:r>
    </w:p>
    <w:p>
      <w:pPr>
        <w:spacing w:line="500" w:lineRule="exact"/>
        <w:ind w:firstLine="645"/>
        <w:rPr>
          <w:rFonts w:ascii="仿宋_GB2312" w:eastAsia="仿宋_GB2312"/>
          <w:sz w:val="32"/>
          <w:szCs w:val="32"/>
        </w:rPr>
      </w:pPr>
      <w:r>
        <w:rPr>
          <w:rFonts w:hint="eastAsia" w:ascii="仿宋_GB2312" w:eastAsia="仿宋_GB2312"/>
          <w:sz w:val="32"/>
          <w:szCs w:val="32"/>
        </w:rPr>
        <w:t>(二)团结、教育残疾人遵守法律，履行应尽的义务，发扬乐观进取精神，自尊、自信、自强、自立，为社会主义建设贡献力量。</w:t>
      </w:r>
    </w:p>
    <w:p>
      <w:pPr>
        <w:spacing w:line="500" w:lineRule="exact"/>
        <w:ind w:firstLine="645"/>
        <w:rPr>
          <w:rFonts w:ascii="仿宋_GB2312" w:eastAsia="仿宋_GB2312"/>
          <w:sz w:val="32"/>
          <w:szCs w:val="32"/>
        </w:rPr>
      </w:pPr>
      <w:r>
        <w:rPr>
          <w:rFonts w:hint="eastAsia" w:ascii="仿宋_GB2312" w:eastAsia="仿宋_GB2312"/>
          <w:sz w:val="32"/>
          <w:szCs w:val="32"/>
        </w:rPr>
        <w:t>(三)沟通政府、社会与残疾人之间的联系，宣传残疾人事业，动员社会理解、尊重、关心、帮助残疾人。</w:t>
      </w:r>
    </w:p>
    <w:p>
      <w:pPr>
        <w:spacing w:line="500" w:lineRule="exact"/>
        <w:ind w:firstLine="645"/>
        <w:rPr>
          <w:rFonts w:ascii="仿宋_GB2312" w:eastAsia="仿宋_GB2312"/>
          <w:sz w:val="32"/>
          <w:szCs w:val="32"/>
        </w:rPr>
      </w:pPr>
      <w:r>
        <w:rPr>
          <w:rFonts w:hint="eastAsia" w:ascii="仿宋_GB2312" w:eastAsia="仿宋_GB2312"/>
          <w:sz w:val="32"/>
          <w:szCs w:val="32"/>
        </w:rPr>
        <w:t>(四)开展和促进残疾人康复、教育、劳动就业、扶贫、维权、文化体育、社会保障和残疾预防等工作，改善残疾人参与社会生活的环境和条件。</w:t>
      </w:r>
    </w:p>
    <w:p>
      <w:pPr>
        <w:spacing w:line="500" w:lineRule="exact"/>
        <w:ind w:firstLine="645"/>
        <w:rPr>
          <w:rFonts w:ascii="仿宋_GB2312" w:eastAsia="仿宋_GB2312"/>
          <w:sz w:val="32"/>
          <w:szCs w:val="32"/>
        </w:rPr>
      </w:pPr>
      <w:r>
        <w:rPr>
          <w:rFonts w:hint="eastAsia" w:ascii="仿宋_GB2312" w:eastAsia="仿宋_GB2312"/>
          <w:sz w:val="32"/>
          <w:szCs w:val="32"/>
        </w:rPr>
        <w:t>(五)参与研究、制订和实施残疾人事业的法律、法规、政策、规划和计划，发挥综合、协调、咨询、服务作用，对有关领域的工作进行管理和指导。</w:t>
      </w:r>
    </w:p>
    <w:p>
      <w:pPr>
        <w:spacing w:line="500" w:lineRule="exact"/>
        <w:ind w:firstLine="645"/>
        <w:rPr>
          <w:rFonts w:ascii="仿宋_GB2312" w:eastAsia="仿宋_GB2312"/>
          <w:sz w:val="32"/>
          <w:szCs w:val="32"/>
        </w:rPr>
      </w:pPr>
      <w:r>
        <w:rPr>
          <w:rFonts w:hint="eastAsia" w:ascii="仿宋_GB2312" w:eastAsia="仿宋_GB2312"/>
          <w:sz w:val="32"/>
          <w:szCs w:val="32"/>
        </w:rPr>
        <w:t>(六)管理和指导各类残疾人群众组织，培养残疾人工作者，使残疾人在残疾人组织中更加活跃，残疾人组织在基层更加活跃，残疾人和残疾人组织在社会上更加活跃。</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(七)承担市人民政府及残疾人工作委员会的日常工作。</w:t>
      </w:r>
    </w:p>
    <w:p>
      <w:pPr>
        <w:ind w:firstLine="646"/>
        <w:rPr>
          <w:rFonts w:hint="eastAsia" w:ascii="仿宋_GB2312" w:eastAsia="仿宋_GB2312"/>
          <w:sz w:val="32"/>
          <w:szCs w:val="32"/>
        </w:rPr>
      </w:pPr>
      <w:r>
        <w:rPr>
          <w:rFonts w:hint="eastAsia" w:ascii="仿宋_GB2312" w:eastAsia="仿宋_GB2312"/>
          <w:sz w:val="32"/>
          <w:szCs w:val="32"/>
        </w:rPr>
        <w:t>二、部门决算单位构成</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柳州市残疾人联合会（本级）为参公事业单位，下属两个单位分别为柳州市残疾人劳动就业服务中心（差额拨款事业单位）和柳州市残疾人康复中心（全额拨款事业单位）。</w:t>
      </w:r>
    </w:p>
    <w:p>
      <w:pPr>
        <w:ind w:firstLine="645"/>
        <w:rPr>
          <w:rFonts w:hint="eastAsia" w:ascii="仿宋_GB2312" w:eastAsia="仿宋_GB2312"/>
          <w:sz w:val="32"/>
          <w:szCs w:val="32"/>
        </w:rPr>
      </w:pPr>
    </w:p>
    <w:p>
      <w:pPr>
        <w:jc w:val="center"/>
        <w:rPr>
          <w:rFonts w:hint="eastAsia" w:ascii="仿宋_GB2312" w:eastAsia="仿宋_GB2312"/>
          <w:b/>
          <w:sz w:val="32"/>
          <w:szCs w:val="32"/>
        </w:rPr>
      </w:pPr>
    </w:p>
    <w:p>
      <w:pPr>
        <w:jc w:val="left"/>
        <w:rPr>
          <w:rFonts w:hint="eastAsia" w:ascii="仿宋_GB2312" w:eastAsia="仿宋_GB2312"/>
          <w:sz w:val="32"/>
          <w:szCs w:val="32"/>
        </w:rPr>
      </w:pPr>
      <w:bookmarkStart w:id="0" w:name="_GoBack"/>
      <w:r>
        <w:rPr>
          <w:rFonts w:hint="eastAsia" w:ascii="仿宋_GB2312" w:eastAsia="仿宋_GB2312"/>
          <w:b/>
          <w:sz w:val="32"/>
          <w:szCs w:val="32"/>
        </w:rPr>
        <w:t>第二部分：</w:t>
      </w:r>
      <w:r>
        <w:rPr>
          <w:rFonts w:hint="eastAsia" w:ascii="仿宋_GB2312" w:hAnsi="黑体" w:eastAsia="仿宋_GB2312"/>
          <w:b/>
          <w:bCs/>
          <w:color w:val="000000"/>
          <w:sz w:val="32"/>
          <w:szCs w:val="32"/>
        </w:rPr>
        <w:t>柳州市残疾人联合会</w:t>
      </w:r>
      <w:r>
        <w:rPr>
          <w:rFonts w:hint="eastAsia" w:ascii="仿宋_GB2312" w:eastAsia="仿宋_GB2312"/>
          <w:b/>
          <w:sz w:val="32"/>
          <w:szCs w:val="32"/>
        </w:rPr>
        <w:t>201</w:t>
      </w:r>
      <w:r>
        <w:rPr>
          <w:rFonts w:hint="eastAsia" w:ascii="仿宋_GB2312" w:eastAsia="仿宋_GB2312"/>
          <w:b/>
          <w:sz w:val="32"/>
          <w:szCs w:val="32"/>
          <w:lang w:val="en-US" w:eastAsia="zh-CN"/>
        </w:rPr>
        <w:t>9</w:t>
      </w:r>
      <w:r>
        <w:rPr>
          <w:rFonts w:hint="eastAsia" w:ascii="仿宋_GB2312" w:eastAsia="仿宋_GB2312"/>
          <w:b/>
          <w:sz w:val="32"/>
          <w:szCs w:val="32"/>
        </w:rPr>
        <w:t>年部门决算报表</w:t>
      </w:r>
    </w:p>
    <w:bookmarkEnd w:id="0"/>
    <w:tbl>
      <w:tblPr>
        <w:tblStyle w:val="4"/>
        <w:tblpPr w:leftFromText="180" w:rightFromText="180" w:vertAnchor="text" w:horzAnchor="page" w:tblpX="1383" w:tblpY="301"/>
        <w:tblOverlap w:val="never"/>
        <w:tblW w:w="9140" w:type="dxa"/>
        <w:tblInd w:w="0" w:type="dxa"/>
        <w:shd w:val="clear" w:color="auto" w:fill="auto"/>
        <w:tblLayout w:type="fixed"/>
        <w:tblCellMar>
          <w:top w:w="0" w:type="dxa"/>
          <w:left w:w="0" w:type="dxa"/>
          <w:bottom w:w="0" w:type="dxa"/>
          <w:right w:w="0" w:type="dxa"/>
        </w:tblCellMar>
      </w:tblPr>
      <w:tblGrid>
        <w:gridCol w:w="2809"/>
        <w:gridCol w:w="1978"/>
        <w:gridCol w:w="571"/>
        <w:gridCol w:w="2349"/>
        <w:gridCol w:w="326"/>
        <w:gridCol w:w="1107"/>
      </w:tblGrid>
      <w:tr>
        <w:tblPrEx>
          <w:shd w:val="clear" w:color="auto" w:fill="auto"/>
          <w:tblCellMar>
            <w:top w:w="0" w:type="dxa"/>
            <w:left w:w="0" w:type="dxa"/>
            <w:bottom w:w="0" w:type="dxa"/>
            <w:right w:w="0" w:type="dxa"/>
          </w:tblCellMar>
        </w:tblPrEx>
        <w:trPr>
          <w:trHeight w:val="473" w:hRule="atLeast"/>
        </w:trPr>
        <w:tc>
          <w:tcPr>
            <w:tcW w:w="9140" w:type="dxa"/>
            <w:gridSpan w:val="6"/>
            <w:tcBorders>
              <w:top w:val="nil"/>
              <w:left w:val="nil"/>
              <w:bottom w:val="nil"/>
              <w:right w:val="nil"/>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方正小标宋简体" w:hAnsi="宋体" w:eastAsia="方正小标宋简体" w:cs="宋体"/>
                <w:kern w:val="0"/>
                <w:sz w:val="36"/>
                <w:szCs w:val="36"/>
                <w:lang w:val="en-US" w:eastAsia="zh-CN"/>
              </w:rPr>
              <w:t>表一：收入支出决算批复表</w:t>
            </w:r>
          </w:p>
        </w:tc>
      </w:tr>
      <w:tr>
        <w:tblPrEx>
          <w:tblCellMar>
            <w:top w:w="0" w:type="dxa"/>
            <w:left w:w="0" w:type="dxa"/>
            <w:bottom w:w="0" w:type="dxa"/>
            <w:right w:w="0" w:type="dxa"/>
          </w:tblCellMar>
        </w:tblPrEx>
        <w:trPr>
          <w:trHeight w:val="246" w:hRule="atLeast"/>
        </w:trPr>
        <w:tc>
          <w:tcPr>
            <w:tcW w:w="2809" w:type="dxa"/>
            <w:tcBorders>
              <w:top w:val="nil"/>
              <w:left w:val="nil"/>
              <w:bottom w:val="nil"/>
              <w:right w:val="nil"/>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1978" w:type="dxa"/>
            <w:tcBorders>
              <w:top w:val="nil"/>
              <w:left w:val="nil"/>
              <w:bottom w:val="nil"/>
              <w:right w:val="nil"/>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571" w:type="dxa"/>
            <w:tcBorders>
              <w:top w:val="nil"/>
              <w:left w:val="nil"/>
              <w:bottom w:val="nil"/>
              <w:right w:val="nil"/>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2349" w:type="dxa"/>
            <w:tcBorders>
              <w:top w:val="nil"/>
              <w:left w:val="nil"/>
              <w:bottom w:val="nil"/>
              <w:right w:val="nil"/>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326" w:type="dxa"/>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1107" w:type="dxa"/>
            <w:tcBorders>
              <w:top w:val="nil"/>
              <w:left w:val="nil"/>
              <w:bottom w:val="nil"/>
              <w:right w:val="nil"/>
            </w:tcBorders>
            <w:shd w:val="clear" w:color="auto" w:fill="FFFFFF"/>
            <w:noWrap/>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财决批复</w:t>
            </w:r>
            <w:r>
              <w:rPr>
                <w:rStyle w:val="7"/>
                <w:rFonts w:eastAsia="宋体"/>
                <w:lang w:val="en-US" w:eastAsia="zh-CN" w:bidi="ar"/>
              </w:rPr>
              <w:t>01</w:t>
            </w:r>
            <w:r>
              <w:rPr>
                <w:rStyle w:val="8"/>
                <w:lang w:val="en-US" w:eastAsia="zh-CN" w:bidi="ar"/>
              </w:rPr>
              <w:t>表</w:t>
            </w:r>
          </w:p>
        </w:tc>
      </w:tr>
      <w:tr>
        <w:tblPrEx>
          <w:tblCellMar>
            <w:top w:w="0" w:type="dxa"/>
            <w:left w:w="0" w:type="dxa"/>
            <w:bottom w:w="0" w:type="dxa"/>
            <w:right w:w="0" w:type="dxa"/>
          </w:tblCellMar>
        </w:tblPrEx>
        <w:trPr>
          <w:trHeight w:val="246" w:hRule="atLeast"/>
        </w:trPr>
        <w:tc>
          <w:tcPr>
            <w:tcW w:w="2809" w:type="dxa"/>
            <w:tcBorders>
              <w:top w:val="nil"/>
              <w:left w:val="nil"/>
              <w:bottom w:val="nil"/>
              <w:right w:val="nil"/>
            </w:tcBorders>
            <w:shd w:val="clear" w:color="auto" w:fill="FFFFFF"/>
            <w:noWrap/>
            <w:tcMar>
              <w:top w:w="12" w:type="dxa"/>
              <w:left w:w="12" w:type="dxa"/>
              <w:right w:w="12"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部门：柳州市残疾人联合会</w:t>
            </w:r>
          </w:p>
        </w:tc>
        <w:tc>
          <w:tcPr>
            <w:tcW w:w="1978" w:type="dxa"/>
            <w:tcBorders>
              <w:top w:val="nil"/>
              <w:left w:val="nil"/>
              <w:bottom w:val="nil"/>
              <w:right w:val="nil"/>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571" w:type="dxa"/>
            <w:tcBorders>
              <w:top w:val="nil"/>
              <w:left w:val="nil"/>
              <w:bottom w:val="nil"/>
              <w:right w:val="nil"/>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2349" w:type="dxa"/>
            <w:tcBorders>
              <w:top w:val="nil"/>
              <w:left w:val="nil"/>
              <w:bottom w:val="nil"/>
              <w:right w:val="nil"/>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326" w:type="dxa"/>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1107" w:type="dxa"/>
            <w:tcBorders>
              <w:top w:val="nil"/>
              <w:left w:val="nil"/>
              <w:bottom w:val="nil"/>
              <w:right w:val="nil"/>
            </w:tcBorders>
            <w:shd w:val="clear" w:color="auto" w:fill="FFFFFF"/>
            <w:noWrap/>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金额单位：万元</w:t>
            </w:r>
          </w:p>
        </w:tc>
      </w:tr>
      <w:tr>
        <w:tblPrEx>
          <w:tblCellMar>
            <w:top w:w="0" w:type="dxa"/>
            <w:left w:w="0" w:type="dxa"/>
            <w:bottom w:w="0" w:type="dxa"/>
            <w:right w:w="0" w:type="dxa"/>
          </w:tblCellMar>
        </w:tblPrEx>
        <w:trPr>
          <w:trHeight w:val="284" w:hRule="atLeast"/>
        </w:trPr>
        <w:tc>
          <w:tcPr>
            <w:tcW w:w="5358"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     入</w:t>
            </w:r>
          </w:p>
        </w:tc>
        <w:tc>
          <w:tcPr>
            <w:tcW w:w="3782"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     出</w:t>
            </w:r>
          </w:p>
        </w:tc>
      </w:tr>
      <w:tr>
        <w:tblPrEx>
          <w:tblCellMar>
            <w:top w:w="0" w:type="dxa"/>
            <w:left w:w="0" w:type="dxa"/>
            <w:bottom w:w="0" w:type="dxa"/>
            <w:right w:w="0" w:type="dxa"/>
          </w:tblCellMar>
        </w:tblPrEx>
        <w:trPr>
          <w:trHeight w:val="284" w:hRule="atLeast"/>
        </w:trPr>
        <w:tc>
          <w:tcPr>
            <w:tcW w:w="2809"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97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行次</w:t>
            </w:r>
          </w:p>
        </w:tc>
        <w:tc>
          <w:tcPr>
            <w:tcW w:w="571"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w:t>
            </w:r>
          </w:p>
        </w:tc>
        <w:tc>
          <w:tcPr>
            <w:tcW w:w="2349"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行次</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w:t>
            </w:r>
          </w:p>
        </w:tc>
      </w:tr>
      <w:tr>
        <w:tblPrEx>
          <w:tblCellMar>
            <w:top w:w="0" w:type="dxa"/>
            <w:left w:w="0" w:type="dxa"/>
            <w:bottom w:w="0" w:type="dxa"/>
            <w:right w:w="0" w:type="dxa"/>
          </w:tblCellMar>
        </w:tblPrEx>
        <w:trPr>
          <w:trHeight w:val="284" w:hRule="atLeast"/>
        </w:trPr>
        <w:tc>
          <w:tcPr>
            <w:tcW w:w="2809"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97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571"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349"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284" w:hRule="atLeast"/>
        </w:trPr>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一、一般公共预算财政拨款收入</w:t>
            </w: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5160.46 </w:t>
            </w:r>
          </w:p>
        </w:tc>
        <w:tc>
          <w:tcPr>
            <w:tcW w:w="23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一、一般公共服务支出</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r>
      <w:tr>
        <w:tblPrEx>
          <w:tblCellMar>
            <w:top w:w="0" w:type="dxa"/>
            <w:left w:w="0" w:type="dxa"/>
            <w:bottom w:w="0" w:type="dxa"/>
            <w:right w:w="0" w:type="dxa"/>
          </w:tblCellMar>
        </w:tblPrEx>
        <w:trPr>
          <w:trHeight w:val="284" w:hRule="atLeast"/>
        </w:trPr>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二、政府性基金预算财政拨款收入</w:t>
            </w: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63.00 </w:t>
            </w:r>
          </w:p>
        </w:tc>
        <w:tc>
          <w:tcPr>
            <w:tcW w:w="23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二、外交支出</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r>
      <w:tr>
        <w:tblPrEx>
          <w:tblCellMar>
            <w:top w:w="0" w:type="dxa"/>
            <w:left w:w="0" w:type="dxa"/>
            <w:bottom w:w="0" w:type="dxa"/>
            <w:right w:w="0" w:type="dxa"/>
          </w:tblCellMar>
        </w:tblPrEx>
        <w:trPr>
          <w:trHeight w:val="284" w:hRule="atLeast"/>
        </w:trPr>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三、上级补助收入</w:t>
            </w: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23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三、国防支出</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r>
      <w:tr>
        <w:tblPrEx>
          <w:tblCellMar>
            <w:top w:w="0" w:type="dxa"/>
            <w:left w:w="0" w:type="dxa"/>
            <w:bottom w:w="0" w:type="dxa"/>
            <w:right w:w="0" w:type="dxa"/>
          </w:tblCellMar>
        </w:tblPrEx>
        <w:trPr>
          <w:trHeight w:val="284" w:hRule="atLeast"/>
        </w:trPr>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四、事业收入</w:t>
            </w: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154.86 </w:t>
            </w:r>
          </w:p>
        </w:tc>
        <w:tc>
          <w:tcPr>
            <w:tcW w:w="23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四、公共安全支出</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r>
      <w:tr>
        <w:tblPrEx>
          <w:tblCellMar>
            <w:top w:w="0" w:type="dxa"/>
            <w:left w:w="0" w:type="dxa"/>
            <w:bottom w:w="0" w:type="dxa"/>
            <w:right w:w="0" w:type="dxa"/>
          </w:tblCellMar>
        </w:tblPrEx>
        <w:trPr>
          <w:trHeight w:val="284" w:hRule="atLeast"/>
        </w:trPr>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五、经营收入</w:t>
            </w: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23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五、教育支出</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r>
      <w:tr>
        <w:tblPrEx>
          <w:tblCellMar>
            <w:top w:w="0" w:type="dxa"/>
            <w:left w:w="0" w:type="dxa"/>
            <w:bottom w:w="0" w:type="dxa"/>
            <w:right w:w="0" w:type="dxa"/>
          </w:tblCellMar>
        </w:tblPrEx>
        <w:trPr>
          <w:trHeight w:val="284" w:hRule="atLeast"/>
        </w:trPr>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六、附属单位上缴收入</w:t>
            </w: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23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六、科学技术支出</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r>
      <w:tr>
        <w:tblPrEx>
          <w:tblCellMar>
            <w:top w:w="0" w:type="dxa"/>
            <w:left w:w="0" w:type="dxa"/>
            <w:bottom w:w="0" w:type="dxa"/>
            <w:right w:w="0" w:type="dxa"/>
          </w:tblCellMar>
        </w:tblPrEx>
        <w:trPr>
          <w:trHeight w:val="284" w:hRule="atLeast"/>
        </w:trPr>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七、其他收入</w:t>
            </w: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68.70 </w:t>
            </w:r>
          </w:p>
        </w:tc>
        <w:tc>
          <w:tcPr>
            <w:tcW w:w="23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七、文化旅游体育与传媒支出</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r>
      <w:tr>
        <w:tblPrEx>
          <w:tblCellMar>
            <w:top w:w="0" w:type="dxa"/>
            <w:left w:w="0" w:type="dxa"/>
            <w:bottom w:w="0" w:type="dxa"/>
            <w:right w:w="0" w:type="dxa"/>
          </w:tblCellMar>
        </w:tblPrEx>
        <w:trPr>
          <w:trHeight w:val="284" w:hRule="atLeast"/>
        </w:trPr>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4"/>
                <w:szCs w:val="24"/>
                <w:u w:val="none"/>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3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八、社会保障和就业支出</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5558.87 </w:t>
            </w:r>
          </w:p>
        </w:tc>
      </w:tr>
      <w:tr>
        <w:tblPrEx>
          <w:tblCellMar>
            <w:top w:w="0" w:type="dxa"/>
            <w:left w:w="0" w:type="dxa"/>
            <w:bottom w:w="0" w:type="dxa"/>
            <w:right w:w="0" w:type="dxa"/>
          </w:tblCellMar>
        </w:tblPrEx>
        <w:trPr>
          <w:trHeight w:val="284" w:hRule="atLeast"/>
        </w:trPr>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4"/>
                <w:szCs w:val="24"/>
                <w:u w:val="none"/>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3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九、卫生健康支出</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50.80 </w:t>
            </w:r>
          </w:p>
        </w:tc>
      </w:tr>
      <w:tr>
        <w:tblPrEx>
          <w:tblCellMar>
            <w:top w:w="0" w:type="dxa"/>
            <w:left w:w="0" w:type="dxa"/>
            <w:bottom w:w="0" w:type="dxa"/>
            <w:right w:w="0" w:type="dxa"/>
          </w:tblCellMar>
        </w:tblPrEx>
        <w:trPr>
          <w:trHeight w:val="284" w:hRule="atLeast"/>
        </w:trPr>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4"/>
                <w:szCs w:val="24"/>
                <w:u w:val="none"/>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3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十、节能环保支出</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r>
      <w:tr>
        <w:tblPrEx>
          <w:tblCellMar>
            <w:top w:w="0" w:type="dxa"/>
            <w:left w:w="0" w:type="dxa"/>
            <w:bottom w:w="0" w:type="dxa"/>
            <w:right w:w="0" w:type="dxa"/>
          </w:tblCellMar>
        </w:tblPrEx>
        <w:trPr>
          <w:trHeight w:val="284" w:hRule="atLeast"/>
        </w:trPr>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4"/>
                <w:szCs w:val="24"/>
                <w:u w:val="none"/>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3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十一、城乡社区支出</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r>
      <w:tr>
        <w:tblPrEx>
          <w:tblCellMar>
            <w:top w:w="0" w:type="dxa"/>
            <w:left w:w="0" w:type="dxa"/>
            <w:bottom w:w="0" w:type="dxa"/>
            <w:right w:w="0" w:type="dxa"/>
          </w:tblCellMar>
        </w:tblPrEx>
        <w:trPr>
          <w:trHeight w:val="284" w:hRule="atLeast"/>
        </w:trPr>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4"/>
                <w:szCs w:val="24"/>
                <w:u w:val="none"/>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3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十二、农林水支出</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r>
      <w:tr>
        <w:tblPrEx>
          <w:tblCellMar>
            <w:top w:w="0" w:type="dxa"/>
            <w:left w:w="0" w:type="dxa"/>
            <w:bottom w:w="0" w:type="dxa"/>
            <w:right w:w="0" w:type="dxa"/>
          </w:tblCellMar>
        </w:tblPrEx>
        <w:trPr>
          <w:trHeight w:val="284" w:hRule="atLeast"/>
        </w:trPr>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4"/>
                <w:szCs w:val="24"/>
                <w:u w:val="none"/>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3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十三、交通运输支出</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r>
      <w:tr>
        <w:tblPrEx>
          <w:tblCellMar>
            <w:top w:w="0" w:type="dxa"/>
            <w:left w:w="0" w:type="dxa"/>
            <w:bottom w:w="0" w:type="dxa"/>
            <w:right w:w="0" w:type="dxa"/>
          </w:tblCellMar>
        </w:tblPrEx>
        <w:trPr>
          <w:trHeight w:val="284" w:hRule="atLeast"/>
        </w:trPr>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4"/>
                <w:szCs w:val="24"/>
                <w:u w:val="none"/>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3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十四、资源勘探信息等支出</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r>
      <w:tr>
        <w:tblPrEx>
          <w:tblCellMar>
            <w:top w:w="0" w:type="dxa"/>
            <w:left w:w="0" w:type="dxa"/>
            <w:bottom w:w="0" w:type="dxa"/>
            <w:right w:w="0" w:type="dxa"/>
          </w:tblCellMar>
        </w:tblPrEx>
        <w:trPr>
          <w:trHeight w:val="284" w:hRule="atLeast"/>
        </w:trPr>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4"/>
                <w:szCs w:val="24"/>
                <w:u w:val="none"/>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3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十五、商业服务业等支出</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r>
      <w:tr>
        <w:tblPrEx>
          <w:tblCellMar>
            <w:top w:w="0" w:type="dxa"/>
            <w:left w:w="0" w:type="dxa"/>
            <w:bottom w:w="0" w:type="dxa"/>
            <w:right w:w="0" w:type="dxa"/>
          </w:tblCellMar>
        </w:tblPrEx>
        <w:trPr>
          <w:trHeight w:val="284" w:hRule="atLeast"/>
        </w:trPr>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4"/>
                <w:szCs w:val="24"/>
                <w:u w:val="none"/>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3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十六、金融支出</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r>
      <w:tr>
        <w:tblPrEx>
          <w:tblCellMar>
            <w:top w:w="0" w:type="dxa"/>
            <w:left w:w="0" w:type="dxa"/>
            <w:bottom w:w="0" w:type="dxa"/>
            <w:right w:w="0" w:type="dxa"/>
          </w:tblCellMar>
        </w:tblPrEx>
        <w:trPr>
          <w:trHeight w:val="284" w:hRule="atLeast"/>
        </w:trPr>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4"/>
                <w:szCs w:val="24"/>
                <w:u w:val="none"/>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3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十七、援助其他地区支出</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r>
      <w:tr>
        <w:tblPrEx>
          <w:tblCellMar>
            <w:top w:w="0" w:type="dxa"/>
            <w:left w:w="0" w:type="dxa"/>
            <w:bottom w:w="0" w:type="dxa"/>
            <w:right w:w="0" w:type="dxa"/>
          </w:tblCellMar>
        </w:tblPrEx>
        <w:trPr>
          <w:trHeight w:val="284" w:hRule="atLeast"/>
        </w:trPr>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4"/>
                <w:szCs w:val="24"/>
                <w:u w:val="none"/>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3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十八、自然资源海洋气象等支出</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r>
      <w:tr>
        <w:tblPrEx>
          <w:tblCellMar>
            <w:top w:w="0" w:type="dxa"/>
            <w:left w:w="0" w:type="dxa"/>
            <w:bottom w:w="0" w:type="dxa"/>
            <w:right w:w="0" w:type="dxa"/>
          </w:tblCellMar>
        </w:tblPrEx>
        <w:trPr>
          <w:trHeight w:val="284" w:hRule="atLeast"/>
        </w:trPr>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4"/>
                <w:szCs w:val="24"/>
                <w:u w:val="none"/>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3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十九、住房保障支出</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39.49 </w:t>
            </w:r>
          </w:p>
        </w:tc>
      </w:tr>
      <w:tr>
        <w:tblPrEx>
          <w:tblCellMar>
            <w:top w:w="0" w:type="dxa"/>
            <w:left w:w="0" w:type="dxa"/>
            <w:bottom w:w="0" w:type="dxa"/>
            <w:right w:w="0" w:type="dxa"/>
          </w:tblCellMar>
        </w:tblPrEx>
        <w:trPr>
          <w:trHeight w:val="284" w:hRule="atLeast"/>
        </w:trPr>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4"/>
                <w:szCs w:val="24"/>
                <w:u w:val="none"/>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3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二十、粮油物资储备支出</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r>
      <w:tr>
        <w:tblPrEx>
          <w:tblCellMar>
            <w:top w:w="0" w:type="dxa"/>
            <w:left w:w="0" w:type="dxa"/>
            <w:bottom w:w="0" w:type="dxa"/>
            <w:right w:w="0" w:type="dxa"/>
          </w:tblCellMar>
        </w:tblPrEx>
        <w:trPr>
          <w:trHeight w:val="284" w:hRule="atLeast"/>
        </w:trPr>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4"/>
                <w:szCs w:val="24"/>
                <w:u w:val="none"/>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3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二十一、灾害防治及应急管理支出</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r>
      <w:tr>
        <w:tblPrEx>
          <w:tblCellMar>
            <w:top w:w="0" w:type="dxa"/>
            <w:left w:w="0" w:type="dxa"/>
            <w:bottom w:w="0" w:type="dxa"/>
            <w:right w:w="0" w:type="dxa"/>
          </w:tblCellMar>
        </w:tblPrEx>
        <w:trPr>
          <w:trHeight w:val="284" w:hRule="atLeast"/>
        </w:trPr>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4"/>
                <w:szCs w:val="24"/>
                <w:u w:val="none"/>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3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二十二、其他支出</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63.00 </w:t>
            </w:r>
          </w:p>
        </w:tc>
      </w:tr>
      <w:tr>
        <w:tblPrEx>
          <w:tblCellMar>
            <w:top w:w="0" w:type="dxa"/>
            <w:left w:w="0" w:type="dxa"/>
            <w:bottom w:w="0" w:type="dxa"/>
            <w:right w:w="0" w:type="dxa"/>
          </w:tblCellMar>
        </w:tblPrEx>
        <w:trPr>
          <w:trHeight w:val="284" w:hRule="atLeast"/>
        </w:trPr>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4"/>
                <w:szCs w:val="24"/>
                <w:u w:val="none"/>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3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二十三、债务还本支出</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r>
      <w:tr>
        <w:tblPrEx>
          <w:tblCellMar>
            <w:top w:w="0" w:type="dxa"/>
            <w:left w:w="0" w:type="dxa"/>
            <w:bottom w:w="0" w:type="dxa"/>
            <w:right w:w="0" w:type="dxa"/>
          </w:tblCellMar>
        </w:tblPrEx>
        <w:trPr>
          <w:trHeight w:val="284" w:hRule="atLeast"/>
        </w:trPr>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4"/>
                <w:szCs w:val="24"/>
                <w:u w:val="none"/>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3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二十四、债务付息支出</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r>
      <w:tr>
        <w:tblPrEx>
          <w:tblCellMar>
            <w:top w:w="0" w:type="dxa"/>
            <w:left w:w="0" w:type="dxa"/>
            <w:bottom w:w="0" w:type="dxa"/>
            <w:right w:w="0" w:type="dxa"/>
          </w:tblCellMar>
        </w:tblPrEx>
        <w:trPr>
          <w:trHeight w:val="284" w:hRule="atLeast"/>
        </w:trPr>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本年收入合计</w:t>
            </w: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5447.02 </w:t>
            </w:r>
          </w:p>
        </w:tc>
        <w:tc>
          <w:tcPr>
            <w:tcW w:w="23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本年支出合计</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5712.16 </w:t>
            </w:r>
          </w:p>
        </w:tc>
      </w:tr>
      <w:tr>
        <w:tblPrEx>
          <w:tblCellMar>
            <w:top w:w="0" w:type="dxa"/>
            <w:left w:w="0" w:type="dxa"/>
            <w:bottom w:w="0" w:type="dxa"/>
            <w:right w:w="0" w:type="dxa"/>
          </w:tblCellMar>
        </w:tblPrEx>
        <w:trPr>
          <w:trHeight w:val="284" w:hRule="atLeast"/>
        </w:trPr>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用事业基金弥补收支差额</w:t>
            </w: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23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结余分配</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r>
      <w:tr>
        <w:tblPrEx>
          <w:tblCellMar>
            <w:top w:w="0" w:type="dxa"/>
            <w:left w:w="0" w:type="dxa"/>
            <w:bottom w:w="0" w:type="dxa"/>
            <w:right w:w="0" w:type="dxa"/>
          </w:tblCellMar>
        </w:tblPrEx>
        <w:trPr>
          <w:trHeight w:val="284" w:hRule="atLeast"/>
        </w:trPr>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1603.52 </w:t>
            </w:r>
          </w:p>
        </w:tc>
        <w:tc>
          <w:tcPr>
            <w:tcW w:w="23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1338.38 </w:t>
            </w:r>
          </w:p>
        </w:tc>
      </w:tr>
      <w:tr>
        <w:tblPrEx>
          <w:tblCellMar>
            <w:top w:w="0" w:type="dxa"/>
            <w:left w:w="0" w:type="dxa"/>
            <w:bottom w:w="0" w:type="dxa"/>
            <w:right w:w="0" w:type="dxa"/>
          </w:tblCellMar>
        </w:tblPrEx>
        <w:trPr>
          <w:trHeight w:val="284" w:hRule="atLeast"/>
        </w:trPr>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4"/>
                <w:szCs w:val="24"/>
                <w:u w:val="none"/>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3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4"/>
                <w:szCs w:val="24"/>
                <w:u w:val="none"/>
              </w:rPr>
            </w:pP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4" w:hRule="atLeast"/>
        </w:trPr>
        <w:tc>
          <w:tcPr>
            <w:tcW w:w="2809"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总计</w:t>
            </w: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7050.54 </w:t>
            </w:r>
          </w:p>
        </w:tc>
        <w:tc>
          <w:tcPr>
            <w:tcW w:w="2349"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总计</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7050.54 </w:t>
            </w:r>
          </w:p>
        </w:tc>
      </w:tr>
      <w:tr>
        <w:tblPrEx>
          <w:tblCellMar>
            <w:top w:w="0" w:type="dxa"/>
            <w:left w:w="0" w:type="dxa"/>
            <w:bottom w:w="0" w:type="dxa"/>
            <w:right w:w="0" w:type="dxa"/>
          </w:tblCellMar>
        </w:tblPrEx>
        <w:trPr>
          <w:trHeight w:val="480" w:hRule="atLeast"/>
        </w:trPr>
        <w:tc>
          <w:tcPr>
            <w:tcW w:w="2809"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注：1.本表依据《收入支出决算总表》（财决01</w:t>
            </w:r>
            <w:r>
              <w:rPr>
                <w:rStyle w:val="8"/>
                <w:lang w:val="en-US" w:eastAsia="zh-CN" w:bidi="ar"/>
              </w:rPr>
              <w:t>表）进行批复。</w:t>
            </w:r>
          </w:p>
        </w:tc>
        <w:tc>
          <w:tcPr>
            <w:tcW w:w="1978" w:type="dxa"/>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571" w:type="dxa"/>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2349" w:type="dxa"/>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326" w:type="dxa"/>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1107" w:type="dxa"/>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73" w:hRule="atLeast"/>
        </w:trPr>
        <w:tc>
          <w:tcPr>
            <w:tcW w:w="2809"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2.本表以“万元”为金额单位（保留两位小数）。</w:t>
            </w:r>
          </w:p>
        </w:tc>
        <w:tc>
          <w:tcPr>
            <w:tcW w:w="1978" w:type="dxa"/>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571" w:type="dxa"/>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2349" w:type="dxa"/>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326" w:type="dxa"/>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1107" w:type="dxa"/>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r>
    </w:tbl>
    <w:p>
      <w:pPr>
        <w:jc w:val="center"/>
      </w:pPr>
    </w:p>
    <w:p>
      <w:pPr>
        <w:jc w:val="center"/>
      </w:pPr>
    </w:p>
    <w:p>
      <w:pPr>
        <w:jc w:val="left"/>
        <w:rPr>
          <w:rFonts w:hint="eastAsia" w:ascii="仿宋_GB2312" w:eastAsia="仿宋_GB2312"/>
          <w:b/>
          <w:sz w:val="32"/>
          <w:szCs w:val="32"/>
        </w:rPr>
      </w:pPr>
    </w:p>
    <w:p>
      <w:pPr>
        <w:spacing w:line="560" w:lineRule="exact"/>
        <w:jc w:val="left"/>
        <w:rPr>
          <w:rFonts w:hint="eastAsia" w:ascii="仿宋_GB2312" w:eastAsia="仿宋_GB2312"/>
          <w:b/>
          <w:spacing w:val="-20"/>
          <w:sz w:val="32"/>
          <w:szCs w:val="32"/>
        </w:rPr>
      </w:pPr>
    </w:p>
    <w:p>
      <w:pPr>
        <w:spacing w:line="560" w:lineRule="exact"/>
        <w:jc w:val="left"/>
        <w:rPr>
          <w:rFonts w:hint="eastAsia" w:ascii="仿宋_GB2312" w:eastAsia="仿宋_GB2312"/>
          <w:b/>
          <w:spacing w:val="-20"/>
          <w:sz w:val="32"/>
          <w:szCs w:val="32"/>
        </w:rPr>
      </w:pPr>
    </w:p>
    <w:p>
      <w:pPr>
        <w:spacing w:line="560" w:lineRule="exact"/>
        <w:jc w:val="left"/>
        <w:rPr>
          <w:rFonts w:hint="eastAsia" w:ascii="仿宋_GB2312" w:eastAsia="仿宋_GB2312"/>
          <w:b/>
          <w:spacing w:val="-20"/>
          <w:sz w:val="32"/>
          <w:szCs w:val="32"/>
        </w:rPr>
      </w:pPr>
    </w:p>
    <w:p>
      <w:pPr>
        <w:spacing w:line="560" w:lineRule="exact"/>
        <w:jc w:val="left"/>
        <w:rPr>
          <w:rFonts w:hint="eastAsia" w:ascii="仿宋_GB2312" w:eastAsia="仿宋_GB2312"/>
          <w:b/>
          <w:spacing w:val="-20"/>
          <w:sz w:val="32"/>
          <w:szCs w:val="32"/>
        </w:rPr>
      </w:pPr>
    </w:p>
    <w:p>
      <w:pPr>
        <w:spacing w:line="560" w:lineRule="exact"/>
        <w:jc w:val="center"/>
        <w:rPr>
          <w:rFonts w:hint="eastAsia" w:ascii="仿宋_GB2312" w:eastAsia="仿宋_GB2312"/>
          <w:b/>
          <w:spacing w:val="-20"/>
          <w:sz w:val="32"/>
          <w:szCs w:val="32"/>
        </w:rPr>
      </w:pPr>
    </w:p>
    <w:p>
      <w:pPr>
        <w:spacing w:line="560" w:lineRule="exact"/>
        <w:jc w:val="center"/>
        <w:rPr>
          <w:rFonts w:hint="eastAsia" w:ascii="仿宋_GB2312" w:eastAsia="仿宋_GB2312"/>
          <w:b/>
          <w:spacing w:val="-20"/>
          <w:sz w:val="32"/>
          <w:szCs w:val="32"/>
        </w:rPr>
      </w:pPr>
    </w:p>
    <w:p>
      <w:pPr>
        <w:spacing w:line="560" w:lineRule="exact"/>
        <w:jc w:val="center"/>
        <w:rPr>
          <w:rFonts w:hint="eastAsia" w:ascii="仿宋_GB2312" w:eastAsia="仿宋_GB2312"/>
          <w:b/>
          <w:spacing w:val="-20"/>
          <w:sz w:val="32"/>
          <w:szCs w:val="32"/>
        </w:rPr>
      </w:pPr>
    </w:p>
    <w:p>
      <w:pPr>
        <w:spacing w:line="560" w:lineRule="exact"/>
        <w:jc w:val="center"/>
        <w:rPr>
          <w:rFonts w:hint="eastAsia" w:ascii="仿宋_GB2312" w:eastAsia="仿宋_GB2312"/>
          <w:b/>
          <w:spacing w:val="-20"/>
          <w:sz w:val="32"/>
          <w:szCs w:val="32"/>
        </w:rPr>
      </w:pPr>
    </w:p>
    <w:p>
      <w:pPr>
        <w:spacing w:line="560" w:lineRule="exact"/>
        <w:jc w:val="center"/>
        <w:rPr>
          <w:rFonts w:hint="eastAsia" w:ascii="仿宋_GB2312" w:eastAsia="仿宋_GB2312"/>
          <w:b/>
          <w:spacing w:val="-20"/>
          <w:sz w:val="32"/>
          <w:szCs w:val="32"/>
        </w:rPr>
      </w:pPr>
    </w:p>
    <w:p>
      <w:pPr>
        <w:spacing w:line="560" w:lineRule="exact"/>
        <w:jc w:val="center"/>
        <w:rPr>
          <w:rFonts w:hint="eastAsia" w:ascii="仿宋_GB2312" w:eastAsia="仿宋_GB2312"/>
          <w:b/>
          <w:spacing w:val="-20"/>
          <w:sz w:val="32"/>
          <w:szCs w:val="32"/>
        </w:rPr>
      </w:pPr>
    </w:p>
    <w:p>
      <w:pPr>
        <w:ind w:left="645"/>
        <w:rPr>
          <w:rFonts w:hint="eastAsia" w:ascii="仿宋_GB2312" w:eastAsia="仿宋_GB2312"/>
          <w:sz w:val="32"/>
          <w:szCs w:val="32"/>
        </w:rPr>
        <w:sectPr>
          <w:headerReference r:id="rId3" w:type="default"/>
          <w:footerReference r:id="rId4" w:type="default"/>
          <w:pgSz w:w="11906" w:h="16838"/>
          <w:pgMar w:top="1383" w:right="1797" w:bottom="1440" w:left="1797" w:header="851" w:footer="992" w:gutter="0"/>
          <w:pgNumType w:fmt="numberInDash"/>
          <w:cols w:space="720" w:num="1"/>
          <w:docGrid w:type="lines" w:linePitch="312" w:charSpace="0"/>
        </w:sectPr>
      </w:pPr>
    </w:p>
    <w:tbl>
      <w:tblPr>
        <w:tblStyle w:val="4"/>
        <w:tblW w:w="9012" w:type="dxa"/>
        <w:tblInd w:w="0" w:type="dxa"/>
        <w:shd w:val="clear" w:color="auto" w:fill="auto"/>
        <w:tblLayout w:type="autofit"/>
        <w:tblCellMar>
          <w:top w:w="0" w:type="dxa"/>
          <w:left w:w="0" w:type="dxa"/>
          <w:bottom w:w="0" w:type="dxa"/>
          <w:right w:w="0" w:type="dxa"/>
        </w:tblCellMar>
      </w:tblPr>
      <w:tblGrid>
        <w:gridCol w:w="5351"/>
        <w:gridCol w:w="233"/>
        <w:gridCol w:w="233"/>
        <w:gridCol w:w="3279"/>
        <w:gridCol w:w="790"/>
        <w:gridCol w:w="790"/>
        <w:gridCol w:w="407"/>
        <w:gridCol w:w="598"/>
        <w:gridCol w:w="407"/>
        <w:gridCol w:w="407"/>
        <w:gridCol w:w="1487"/>
      </w:tblGrid>
      <w:tr>
        <w:tblPrEx>
          <w:shd w:val="clear" w:color="auto" w:fill="auto"/>
          <w:tblCellMar>
            <w:top w:w="0" w:type="dxa"/>
            <w:left w:w="0" w:type="dxa"/>
            <w:bottom w:w="0" w:type="dxa"/>
            <w:right w:w="0" w:type="dxa"/>
          </w:tblCellMar>
        </w:tblPrEx>
        <w:trPr>
          <w:trHeight w:val="205" w:hRule="atLeast"/>
        </w:trPr>
        <w:tc>
          <w:tcPr>
            <w:tcW w:w="3132" w:type="dxa"/>
            <w:tcBorders>
              <w:top w:val="nil"/>
              <w:left w:val="nil"/>
              <w:bottom w:val="nil"/>
              <w:right w:val="nil"/>
            </w:tcBorders>
            <w:shd w:val="clear" w:color="auto" w:fill="auto"/>
            <w:noWrap/>
            <w:tcMar>
              <w:top w:w="12" w:type="dxa"/>
              <w:left w:w="12" w:type="dxa"/>
              <w:right w:w="12" w:type="dxa"/>
            </w:tcMar>
            <w:vAlign w:val="center"/>
          </w:tcPr>
          <w:p>
            <w:pPr>
              <w:jc w:val="left"/>
              <w:rPr>
                <w:rFonts w:hint="eastAsia" w:ascii="黑体" w:hAnsi="宋体" w:eastAsia="黑体" w:cs="黑体"/>
                <w:i w:val="0"/>
                <w:color w:val="000000"/>
                <w:sz w:val="24"/>
                <w:szCs w:val="24"/>
                <w:u w:val="none"/>
              </w:rPr>
            </w:pPr>
          </w:p>
        </w:tc>
        <w:tc>
          <w:tcPr>
            <w:tcW w:w="189" w:type="dxa"/>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211" w:type="dxa"/>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1920" w:type="dxa"/>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463" w:type="dxa"/>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463" w:type="dxa"/>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441" w:type="dxa"/>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441" w:type="dxa"/>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441" w:type="dxa"/>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441" w:type="dxa"/>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870" w:type="dxa"/>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02" w:hRule="atLeast"/>
        </w:trPr>
        <w:tc>
          <w:tcPr>
            <w:tcW w:w="0" w:type="auto"/>
            <w:gridSpan w:val="11"/>
            <w:tcBorders>
              <w:top w:val="nil"/>
              <w:left w:val="nil"/>
              <w:bottom w:val="nil"/>
              <w:right w:val="nil"/>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方正小标宋简体" w:hAnsi="宋体" w:eastAsia="方正小标宋简体" w:cs="宋体"/>
                <w:kern w:val="0"/>
                <w:sz w:val="36"/>
                <w:szCs w:val="36"/>
                <w:lang w:val="en-US" w:eastAsia="zh-CN"/>
              </w:rPr>
              <w:t>表二：收入决算批复表</w:t>
            </w:r>
          </w:p>
        </w:tc>
      </w:tr>
      <w:tr>
        <w:tblPrEx>
          <w:tblCellMar>
            <w:top w:w="0" w:type="dxa"/>
            <w:left w:w="0" w:type="dxa"/>
            <w:bottom w:w="0" w:type="dxa"/>
            <w:right w:w="0" w:type="dxa"/>
          </w:tblCellMar>
        </w:tblPrEx>
        <w:trPr>
          <w:trHeight w:val="402" w:hRule="atLeast"/>
        </w:trPr>
        <w:tc>
          <w:tcPr>
            <w:tcW w:w="0" w:type="auto"/>
            <w:tcBorders>
              <w:top w:val="nil"/>
              <w:left w:val="nil"/>
              <w:bottom w:val="nil"/>
              <w:right w:val="nil"/>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财决批复02表</w:t>
            </w:r>
          </w:p>
        </w:tc>
      </w:tr>
      <w:tr>
        <w:tblPrEx>
          <w:tblCellMar>
            <w:top w:w="0" w:type="dxa"/>
            <w:left w:w="0" w:type="dxa"/>
            <w:bottom w:w="0" w:type="dxa"/>
            <w:right w:w="0" w:type="dxa"/>
          </w:tblCellMar>
        </w:tblPrEx>
        <w:trPr>
          <w:trHeight w:val="402" w:hRule="atLeast"/>
        </w:trPr>
        <w:tc>
          <w:tcPr>
            <w:tcW w:w="0" w:type="auto"/>
            <w:tcBorders>
              <w:top w:val="nil"/>
              <w:left w:val="nil"/>
              <w:bottom w:val="nil"/>
              <w:right w:val="nil"/>
            </w:tcBorders>
            <w:shd w:val="clear" w:color="auto" w:fill="FFFFFF"/>
            <w:noWrap/>
            <w:tcMar>
              <w:top w:w="12" w:type="dxa"/>
              <w:left w:w="12" w:type="dxa"/>
              <w:right w:w="12"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部门：柳州市残疾人联合会</w:t>
            </w:r>
          </w:p>
        </w:tc>
        <w:tc>
          <w:tcPr>
            <w:tcW w:w="0" w:type="auto"/>
            <w:tcBorders>
              <w:top w:val="nil"/>
              <w:left w:val="nil"/>
              <w:bottom w:val="nil"/>
              <w:right w:val="nil"/>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金额单位：万元</w:t>
            </w:r>
          </w:p>
        </w:tc>
      </w:tr>
      <w:tr>
        <w:tblPrEx>
          <w:tblCellMar>
            <w:top w:w="0" w:type="dxa"/>
            <w:left w:w="0" w:type="dxa"/>
            <w:bottom w:w="0" w:type="dxa"/>
            <w:right w:w="0" w:type="dxa"/>
          </w:tblCellMar>
        </w:tblPrEx>
        <w:trPr>
          <w:trHeight w:val="802" w:hRule="atLeast"/>
        </w:trPr>
        <w:tc>
          <w:tcPr>
            <w:tcW w:w="3532"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科目编码</w:t>
            </w:r>
          </w:p>
        </w:tc>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本年收入合计</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财政拨款收入</w:t>
            </w:r>
          </w:p>
        </w:tc>
        <w:tc>
          <w:tcPr>
            <w:tcW w:w="44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上级补助收入</w:t>
            </w:r>
          </w:p>
        </w:tc>
        <w:tc>
          <w:tcPr>
            <w:tcW w:w="44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事业收入</w:t>
            </w:r>
          </w:p>
        </w:tc>
        <w:tc>
          <w:tcPr>
            <w:tcW w:w="44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经营收入</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附属单位</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上缴收入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其他收入</w:t>
            </w:r>
          </w:p>
        </w:tc>
      </w:tr>
      <w:tr>
        <w:tblPrEx>
          <w:tblCellMar>
            <w:top w:w="0" w:type="dxa"/>
            <w:left w:w="0" w:type="dxa"/>
            <w:bottom w:w="0" w:type="dxa"/>
            <w:right w:w="0" w:type="dxa"/>
          </w:tblCellMar>
        </w:tblPrEx>
        <w:trPr>
          <w:trHeight w:val="31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类</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r>
      <w:tr>
        <w:tblPrEx>
          <w:tblCellMar>
            <w:top w:w="0" w:type="dxa"/>
            <w:left w:w="0" w:type="dxa"/>
            <w:bottom w:w="0" w:type="dxa"/>
            <w:right w:w="0" w:type="dxa"/>
          </w:tblCellMar>
        </w:tblPrEx>
        <w:trPr>
          <w:trHeight w:val="4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5,447.02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5,223.46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154.86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68.70</w:t>
            </w:r>
          </w:p>
        </w:tc>
      </w:tr>
      <w:tr>
        <w:tblPrEx>
          <w:tblCellMar>
            <w:top w:w="0" w:type="dxa"/>
            <w:left w:w="0" w:type="dxa"/>
            <w:bottom w:w="0" w:type="dxa"/>
            <w:right w:w="0" w:type="dxa"/>
          </w:tblCellMar>
        </w:tblPrEx>
        <w:trPr>
          <w:trHeight w:val="4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5,293.72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5,070.17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154.86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68.70</w:t>
            </w:r>
          </w:p>
        </w:tc>
      </w:tr>
      <w:tr>
        <w:tblPrEx>
          <w:tblCellMar>
            <w:top w:w="0" w:type="dxa"/>
            <w:left w:w="0" w:type="dxa"/>
            <w:bottom w:w="0" w:type="dxa"/>
            <w:right w:w="0" w:type="dxa"/>
          </w:tblCellMar>
        </w:tblPrEx>
        <w:trPr>
          <w:trHeight w:val="317"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行政事业单位离退休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17"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归口管理的行政单位离退休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17"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事业单位离退休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残疾人事业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5,227.12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5,003.56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154.86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68.70</w:t>
            </w:r>
          </w:p>
        </w:tc>
      </w:tr>
      <w:tr>
        <w:tblPrEx>
          <w:tblCellMar>
            <w:top w:w="0" w:type="dxa"/>
            <w:left w:w="0" w:type="dxa"/>
            <w:bottom w:w="0" w:type="dxa"/>
            <w:right w:w="0" w:type="dxa"/>
          </w:tblCellMar>
        </w:tblPrEx>
        <w:trPr>
          <w:trHeight w:val="317"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残疾人康复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2,902.52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2,747.56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154.86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w:t>
            </w:r>
          </w:p>
        </w:tc>
      </w:tr>
      <w:tr>
        <w:tblPrEx>
          <w:tblCellMar>
            <w:top w:w="0" w:type="dxa"/>
            <w:left w:w="0" w:type="dxa"/>
            <w:bottom w:w="0" w:type="dxa"/>
            <w:right w:w="0" w:type="dxa"/>
          </w:tblCellMar>
        </w:tblPrEx>
        <w:trPr>
          <w:trHeight w:val="317"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残疾人就业和扶贫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17"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残疾人体育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340.37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340.37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其他残疾人事业支出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1,605.77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1,537.18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68.59</w:t>
            </w:r>
          </w:p>
        </w:tc>
      </w:tr>
      <w:tr>
        <w:tblPrEx>
          <w:tblCellMar>
            <w:top w:w="0" w:type="dxa"/>
            <w:left w:w="0" w:type="dxa"/>
            <w:bottom w:w="0" w:type="dxa"/>
            <w:right w:w="0" w:type="dxa"/>
          </w:tblCellMar>
        </w:tblPrEx>
        <w:trPr>
          <w:trHeight w:val="317"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17"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公共卫生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86"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2100409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重大公共卫生专项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17"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17"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17"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17"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17"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其他行政事业单位医疗支出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17"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17"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17"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17"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购房补贴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17"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17"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彩票公益金安排的支出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2296006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用于残疾人事业的彩票公益金支出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8" w:hRule="atLeast"/>
        </w:trPr>
        <w:tc>
          <w:tcPr>
            <w:tcW w:w="0" w:type="auto"/>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注：1.本表依据《收入决算表》（财决0</w:t>
            </w:r>
            <w:r>
              <w:rPr>
                <w:rStyle w:val="8"/>
                <w:lang w:val="en-US" w:eastAsia="zh-CN" w:bidi="ar"/>
              </w:rPr>
              <w:t>3表）进行批复。</w:t>
            </w: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26" w:hRule="atLeast"/>
        </w:trPr>
        <w:tc>
          <w:tcPr>
            <w:tcW w:w="0" w:type="auto"/>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r>
              <w:rPr>
                <w:rStyle w:val="8"/>
                <w:lang w:val="en-US" w:eastAsia="zh-CN" w:bidi="ar"/>
              </w:rPr>
              <w:t>2.本表含政府性基金预算财政拨款。</w:t>
            </w: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26" w:hRule="atLeast"/>
        </w:trPr>
        <w:tc>
          <w:tcPr>
            <w:tcW w:w="0" w:type="auto"/>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3</w:t>
            </w:r>
            <w:r>
              <w:rPr>
                <w:rStyle w:val="8"/>
                <w:lang w:val="en-US" w:eastAsia="zh-CN" w:bidi="ar"/>
              </w:rPr>
              <w:t>.本表批复到项级科目。</w:t>
            </w: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02" w:hRule="atLeast"/>
        </w:trPr>
        <w:tc>
          <w:tcPr>
            <w:tcW w:w="0" w:type="auto"/>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r>
              <w:rPr>
                <w:rStyle w:val="8"/>
                <w:lang w:val="en-US" w:eastAsia="zh-CN" w:bidi="ar"/>
              </w:rPr>
              <w:t>4.本表以“万元”为金额单位（保留两位小数）。</w:t>
            </w: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bl>
    <w:p>
      <w:pPr>
        <w:ind w:left="645"/>
        <w:rPr>
          <w:rFonts w:hint="eastAsia" w:ascii="仿宋_GB2312" w:eastAsia="仿宋_GB2312"/>
          <w:sz w:val="32"/>
          <w:szCs w:val="32"/>
        </w:rPr>
      </w:pPr>
    </w:p>
    <w:p>
      <w:pPr>
        <w:ind w:left="645"/>
        <w:rPr>
          <w:rFonts w:hint="eastAsia" w:ascii="仿宋_GB2312" w:eastAsia="仿宋_GB2312"/>
          <w:sz w:val="32"/>
          <w:szCs w:val="32"/>
        </w:rPr>
      </w:pPr>
    </w:p>
    <w:tbl>
      <w:tblPr>
        <w:tblStyle w:val="4"/>
        <w:tblW w:w="12013" w:type="dxa"/>
        <w:tblInd w:w="0" w:type="dxa"/>
        <w:shd w:val="clear" w:color="auto" w:fill="auto"/>
        <w:tblLayout w:type="autofit"/>
        <w:tblCellMar>
          <w:top w:w="0" w:type="dxa"/>
          <w:left w:w="0" w:type="dxa"/>
          <w:bottom w:w="0" w:type="dxa"/>
          <w:right w:w="0" w:type="dxa"/>
        </w:tblCellMar>
      </w:tblPr>
      <w:tblGrid>
        <w:gridCol w:w="4664"/>
        <w:gridCol w:w="335"/>
        <w:gridCol w:w="335"/>
        <w:gridCol w:w="2860"/>
        <w:gridCol w:w="898"/>
        <w:gridCol w:w="898"/>
        <w:gridCol w:w="898"/>
        <w:gridCol w:w="898"/>
        <w:gridCol w:w="898"/>
        <w:gridCol w:w="1298"/>
      </w:tblGrid>
      <w:tr>
        <w:tblPrEx>
          <w:shd w:val="clear" w:color="auto" w:fill="auto"/>
          <w:tblCellMar>
            <w:top w:w="0" w:type="dxa"/>
            <w:left w:w="0" w:type="dxa"/>
            <w:bottom w:w="0" w:type="dxa"/>
            <w:right w:w="0" w:type="dxa"/>
          </w:tblCellMar>
        </w:tblPrEx>
        <w:trPr>
          <w:trHeight w:val="312" w:hRule="atLeast"/>
        </w:trPr>
        <w:tc>
          <w:tcPr>
            <w:tcW w:w="435" w:type="dxa"/>
            <w:tcBorders>
              <w:top w:val="nil"/>
              <w:left w:val="nil"/>
              <w:bottom w:val="nil"/>
              <w:right w:val="nil"/>
            </w:tcBorders>
            <w:shd w:val="clear" w:color="auto" w:fill="auto"/>
            <w:noWrap/>
            <w:tcMar>
              <w:top w:w="12" w:type="dxa"/>
              <w:left w:w="12" w:type="dxa"/>
              <w:right w:w="12" w:type="dxa"/>
            </w:tcMar>
            <w:vAlign w:val="center"/>
          </w:tcPr>
          <w:p>
            <w:pPr>
              <w:jc w:val="left"/>
              <w:rPr>
                <w:rFonts w:hint="eastAsia" w:ascii="黑体" w:hAnsi="宋体" w:eastAsia="黑体" w:cs="黑体"/>
                <w:i w:val="0"/>
                <w:color w:val="000000"/>
                <w:sz w:val="24"/>
                <w:szCs w:val="24"/>
                <w:u w:val="none"/>
              </w:rPr>
            </w:pPr>
          </w:p>
        </w:tc>
        <w:tc>
          <w:tcPr>
            <w:tcW w:w="435" w:type="dxa"/>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435" w:type="dxa"/>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3660" w:type="dxa"/>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1176" w:type="dxa"/>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1176" w:type="dxa"/>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1176" w:type="dxa"/>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1176" w:type="dxa"/>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1176" w:type="dxa"/>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1176" w:type="dxa"/>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56" w:hRule="atLeast"/>
        </w:trPr>
        <w:tc>
          <w:tcPr>
            <w:tcW w:w="0" w:type="auto"/>
            <w:gridSpan w:val="10"/>
            <w:tcBorders>
              <w:top w:val="nil"/>
              <w:left w:val="nil"/>
              <w:bottom w:val="nil"/>
              <w:right w:val="nil"/>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方正小标宋简体" w:hAnsi="宋体" w:eastAsia="方正小标宋简体" w:cs="宋体"/>
                <w:kern w:val="0"/>
                <w:sz w:val="36"/>
                <w:szCs w:val="36"/>
                <w:lang w:val="en-US" w:eastAsia="zh-CN"/>
              </w:rPr>
              <w:t>表三：支出决算批复表</w:t>
            </w:r>
          </w:p>
        </w:tc>
      </w:tr>
      <w:tr>
        <w:tblPrEx>
          <w:tblCellMar>
            <w:top w:w="0" w:type="dxa"/>
            <w:left w:w="0" w:type="dxa"/>
            <w:bottom w:w="0" w:type="dxa"/>
            <w:right w:w="0" w:type="dxa"/>
          </w:tblCellMar>
        </w:tblPrEx>
        <w:trPr>
          <w:trHeight w:val="312" w:hRule="atLeast"/>
        </w:trPr>
        <w:tc>
          <w:tcPr>
            <w:tcW w:w="0" w:type="auto"/>
            <w:tcBorders>
              <w:top w:val="nil"/>
              <w:left w:val="nil"/>
              <w:bottom w:val="nil"/>
              <w:right w:val="nil"/>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财决批复03表</w:t>
            </w:r>
          </w:p>
        </w:tc>
      </w:tr>
      <w:tr>
        <w:tblPrEx>
          <w:tblCellMar>
            <w:top w:w="0" w:type="dxa"/>
            <w:left w:w="0" w:type="dxa"/>
            <w:bottom w:w="0" w:type="dxa"/>
            <w:right w:w="0" w:type="dxa"/>
          </w:tblCellMar>
        </w:tblPrEx>
        <w:trPr>
          <w:trHeight w:val="312" w:hRule="atLeast"/>
        </w:trPr>
        <w:tc>
          <w:tcPr>
            <w:tcW w:w="0" w:type="auto"/>
            <w:tcBorders>
              <w:top w:val="nil"/>
              <w:left w:val="nil"/>
              <w:bottom w:val="nil"/>
              <w:right w:val="nil"/>
            </w:tcBorders>
            <w:shd w:val="clear" w:color="auto" w:fill="FFFFFF"/>
            <w:noWrap/>
            <w:tcMar>
              <w:top w:w="12" w:type="dxa"/>
              <w:left w:w="12" w:type="dxa"/>
              <w:right w:w="12"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部门：柳州市残疾人联合会</w:t>
            </w:r>
          </w:p>
        </w:tc>
        <w:tc>
          <w:tcPr>
            <w:tcW w:w="0" w:type="auto"/>
            <w:tcBorders>
              <w:top w:val="nil"/>
              <w:left w:val="nil"/>
              <w:bottom w:val="nil"/>
              <w:right w:val="nil"/>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金额单位：万元</w:t>
            </w:r>
          </w:p>
        </w:tc>
      </w:tr>
      <w:tr>
        <w:tblPrEx>
          <w:tblCellMar>
            <w:top w:w="0" w:type="dxa"/>
            <w:left w:w="0" w:type="dxa"/>
            <w:bottom w:w="0" w:type="dxa"/>
            <w:right w:w="0" w:type="dxa"/>
          </w:tblCellMar>
        </w:tblPrEx>
        <w:trPr>
          <w:trHeight w:val="799" w:hRule="atLeast"/>
        </w:trPr>
        <w:tc>
          <w:tcPr>
            <w:tcW w:w="1305"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科目编码</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11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本年支出合计</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基本支出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上缴上级支出</w:t>
            </w:r>
          </w:p>
        </w:tc>
        <w:tc>
          <w:tcPr>
            <w:tcW w:w="11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经营支出</w:t>
            </w:r>
          </w:p>
        </w:tc>
        <w:tc>
          <w:tcPr>
            <w:tcW w:w="11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对附属单位补助支出</w:t>
            </w:r>
          </w:p>
        </w:tc>
      </w:tr>
      <w:tr>
        <w:tblPrEx>
          <w:tblCellMar>
            <w:top w:w="0" w:type="dxa"/>
            <w:left w:w="0" w:type="dxa"/>
            <w:bottom w:w="0" w:type="dxa"/>
            <w:right w:w="0" w:type="dxa"/>
          </w:tblCellMar>
        </w:tblPrEx>
        <w:trPr>
          <w:trHeight w:val="4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类</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CellMar>
            <w:top w:w="0" w:type="dxa"/>
            <w:left w:w="0" w:type="dxa"/>
            <w:bottom w:w="0" w:type="dxa"/>
            <w:right w:w="0"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5712.16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578.78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5133.38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5,558.87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493.49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5,065.38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行政事业单位离退休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归口管理的行政单位离退休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事业单位离退休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残疾人事业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5,492.26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426.88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5,065.38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残疾人康复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2,998.20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2,916.60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残疾人就业和扶贫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残疾人体育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263.31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263.31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其他残疾人事业支出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1,857.93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1,773.61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公共卫生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2100409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重大公共卫生专项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其他行政事业单位医疗支出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购房补贴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彩票公益金安排的支出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2296006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用于残疾人事业的彩票公益金支出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12" w:hRule="atLeast"/>
        </w:trPr>
        <w:tc>
          <w:tcPr>
            <w:tcW w:w="0" w:type="auto"/>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注：1.本表依据《支出决算表》（财决04</w:t>
            </w:r>
            <w:r>
              <w:rPr>
                <w:rStyle w:val="9"/>
                <w:lang w:val="en-US" w:eastAsia="zh-CN" w:bidi="ar"/>
              </w:rPr>
              <w:t>表）进行批复。</w:t>
            </w:r>
          </w:p>
        </w:tc>
        <w:tc>
          <w:tcPr>
            <w:tcW w:w="0" w:type="auto"/>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0" w:type="auto"/>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r>
              <w:rPr>
                <w:rStyle w:val="9"/>
                <w:lang w:val="en-US" w:eastAsia="zh-CN" w:bidi="ar"/>
              </w:rPr>
              <w:t>2.本表含政府性基金预算财政拨款。</w:t>
            </w:r>
          </w:p>
        </w:tc>
        <w:tc>
          <w:tcPr>
            <w:tcW w:w="0" w:type="auto"/>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0" w:type="auto"/>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3</w:t>
            </w:r>
            <w:r>
              <w:rPr>
                <w:rStyle w:val="9"/>
                <w:lang w:val="en-US" w:eastAsia="zh-CN" w:bidi="ar"/>
              </w:rPr>
              <w:t>.本表批复到项级科目。</w:t>
            </w:r>
          </w:p>
        </w:tc>
        <w:tc>
          <w:tcPr>
            <w:tcW w:w="0" w:type="auto"/>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0" w:type="auto"/>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r>
              <w:rPr>
                <w:rStyle w:val="9"/>
                <w:lang w:val="en-US" w:eastAsia="zh-CN" w:bidi="ar"/>
              </w:rPr>
              <w:t>4.本表以“万元”为金额单位（保留两位小数）。</w:t>
            </w:r>
          </w:p>
        </w:tc>
        <w:tc>
          <w:tcPr>
            <w:tcW w:w="0" w:type="auto"/>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r>
    </w:tbl>
    <w:p>
      <w:pPr>
        <w:bidi w:val="0"/>
        <w:rPr>
          <w:rFonts w:hint="eastAsia" w:ascii="仿宋_GB2312" w:eastAsia="仿宋_GB2312"/>
          <w:sz w:val="32"/>
          <w:szCs w:val="32"/>
          <w:lang w:val="en-US" w:eastAsia="zh-CN"/>
        </w:rPr>
      </w:pPr>
    </w:p>
    <w:p>
      <w:pPr>
        <w:bidi w:val="0"/>
        <w:rPr>
          <w:rFonts w:hint="eastAsia" w:ascii="仿宋_GB2312" w:eastAsia="仿宋_GB2312"/>
          <w:sz w:val="32"/>
          <w:szCs w:val="32"/>
          <w:lang w:val="en-US" w:eastAsia="zh-CN"/>
        </w:rPr>
      </w:pPr>
    </w:p>
    <w:p>
      <w:pPr>
        <w:bidi w:val="0"/>
        <w:rPr>
          <w:rFonts w:hint="eastAsia" w:ascii="仿宋_GB2312" w:eastAsia="仿宋_GB2312"/>
          <w:sz w:val="32"/>
          <w:szCs w:val="32"/>
          <w:lang w:val="en-US" w:eastAsia="zh-CN"/>
        </w:rPr>
      </w:pPr>
    </w:p>
    <w:p>
      <w:pPr>
        <w:bidi w:val="0"/>
        <w:rPr>
          <w:rFonts w:hint="eastAsia" w:ascii="仿宋_GB2312" w:eastAsia="仿宋_GB2312"/>
          <w:sz w:val="32"/>
          <w:szCs w:val="32"/>
          <w:lang w:val="en-US" w:eastAsia="zh-CN"/>
        </w:rPr>
      </w:pPr>
    </w:p>
    <w:p>
      <w:pPr>
        <w:bidi w:val="0"/>
        <w:rPr>
          <w:rFonts w:hint="eastAsia" w:ascii="仿宋_GB2312" w:eastAsia="仿宋_GB2312"/>
          <w:sz w:val="32"/>
          <w:szCs w:val="32"/>
          <w:lang w:val="en-US" w:eastAsia="zh-CN"/>
        </w:rPr>
      </w:pPr>
    </w:p>
    <w:p>
      <w:pPr>
        <w:bidi w:val="0"/>
        <w:rPr>
          <w:rFonts w:hint="eastAsia" w:ascii="仿宋_GB2312" w:eastAsia="仿宋_GB2312"/>
          <w:sz w:val="32"/>
          <w:szCs w:val="32"/>
          <w:lang w:val="en-US" w:eastAsia="zh-CN"/>
        </w:rPr>
      </w:pPr>
    </w:p>
    <w:p>
      <w:pPr>
        <w:bidi w:val="0"/>
        <w:rPr>
          <w:rFonts w:hint="eastAsia" w:ascii="仿宋_GB2312" w:eastAsia="仿宋_GB2312"/>
          <w:sz w:val="32"/>
          <w:szCs w:val="32"/>
          <w:lang w:val="en-US" w:eastAsia="zh-CN"/>
        </w:rPr>
      </w:pPr>
    </w:p>
    <w:p>
      <w:pPr>
        <w:bidi w:val="0"/>
        <w:rPr>
          <w:rFonts w:hint="eastAsia" w:ascii="仿宋_GB2312" w:eastAsia="仿宋_GB2312"/>
          <w:sz w:val="32"/>
          <w:szCs w:val="32"/>
          <w:lang w:val="en-US" w:eastAsia="zh-CN"/>
        </w:rPr>
      </w:pPr>
    </w:p>
    <w:p>
      <w:pPr>
        <w:bidi w:val="0"/>
        <w:rPr>
          <w:rFonts w:hint="eastAsia" w:ascii="仿宋_GB2312" w:eastAsia="仿宋_GB2312"/>
          <w:sz w:val="32"/>
          <w:szCs w:val="32"/>
          <w:lang w:val="en-US" w:eastAsia="zh-CN"/>
        </w:rPr>
      </w:pPr>
    </w:p>
    <w:p>
      <w:pPr>
        <w:bidi w:val="0"/>
        <w:rPr>
          <w:rFonts w:hint="eastAsia" w:ascii="仿宋_GB2312" w:eastAsia="仿宋_GB2312"/>
          <w:sz w:val="32"/>
          <w:szCs w:val="32"/>
          <w:lang w:val="en-US" w:eastAsia="zh-CN"/>
        </w:rPr>
      </w:pPr>
    </w:p>
    <w:tbl>
      <w:tblPr>
        <w:tblStyle w:val="4"/>
        <w:tblW w:w="12888" w:type="dxa"/>
        <w:tblInd w:w="0" w:type="dxa"/>
        <w:shd w:val="clear" w:color="auto" w:fill="auto"/>
        <w:tblLayout w:type="autofit"/>
        <w:tblCellMar>
          <w:top w:w="0" w:type="dxa"/>
          <w:left w:w="0" w:type="dxa"/>
          <w:bottom w:w="0" w:type="dxa"/>
          <w:right w:w="0" w:type="dxa"/>
        </w:tblCellMar>
      </w:tblPr>
      <w:tblGrid>
        <w:gridCol w:w="6263"/>
        <w:gridCol w:w="378"/>
        <w:gridCol w:w="918"/>
        <w:gridCol w:w="2780"/>
        <w:gridCol w:w="334"/>
        <w:gridCol w:w="1197"/>
        <w:gridCol w:w="1002"/>
        <w:gridCol w:w="1110"/>
      </w:tblGrid>
      <w:tr>
        <w:tblPrEx>
          <w:shd w:val="clear" w:color="auto" w:fill="auto"/>
          <w:tblCellMar>
            <w:top w:w="0" w:type="dxa"/>
            <w:left w:w="0" w:type="dxa"/>
            <w:bottom w:w="0" w:type="dxa"/>
            <w:right w:w="0" w:type="dxa"/>
          </w:tblCellMar>
        </w:tblPrEx>
        <w:trPr>
          <w:trHeight w:val="312" w:hRule="atLeast"/>
        </w:trPr>
        <w:tc>
          <w:tcPr>
            <w:tcW w:w="3060" w:type="dxa"/>
            <w:tcBorders>
              <w:top w:val="nil"/>
              <w:left w:val="nil"/>
              <w:bottom w:val="nil"/>
              <w:right w:val="nil"/>
            </w:tcBorders>
            <w:shd w:val="clear" w:color="auto" w:fill="auto"/>
            <w:noWrap/>
            <w:tcMar>
              <w:top w:w="12" w:type="dxa"/>
              <w:left w:w="12" w:type="dxa"/>
              <w:right w:w="12" w:type="dxa"/>
            </w:tcMar>
            <w:vAlign w:val="center"/>
          </w:tcPr>
          <w:p>
            <w:pPr>
              <w:jc w:val="left"/>
              <w:rPr>
                <w:rFonts w:hint="eastAsia" w:ascii="黑体" w:hAnsi="宋体" w:eastAsia="黑体" w:cs="黑体"/>
                <w:i w:val="0"/>
                <w:color w:val="000000"/>
                <w:sz w:val="24"/>
                <w:szCs w:val="24"/>
                <w:u w:val="none"/>
              </w:rPr>
            </w:pPr>
          </w:p>
        </w:tc>
        <w:tc>
          <w:tcPr>
            <w:tcW w:w="480" w:type="dxa"/>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1176" w:type="dxa"/>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3576" w:type="dxa"/>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420" w:type="dxa"/>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1536" w:type="dxa"/>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1284" w:type="dxa"/>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1356" w:type="dxa"/>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60" w:hRule="atLeast"/>
        </w:trPr>
        <w:tc>
          <w:tcPr>
            <w:tcW w:w="0" w:type="auto"/>
            <w:gridSpan w:val="8"/>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方正小标宋简体" w:hAnsi="宋体" w:eastAsia="方正小标宋简体" w:cs="宋体"/>
                <w:kern w:val="0"/>
                <w:sz w:val="36"/>
                <w:szCs w:val="36"/>
                <w:lang w:val="en-US" w:eastAsia="zh-CN"/>
              </w:rPr>
              <w:t>表四：财政拨款收入支出决算总表</w:t>
            </w:r>
          </w:p>
        </w:tc>
      </w:tr>
      <w:tr>
        <w:tblPrEx>
          <w:tblCellMar>
            <w:top w:w="0" w:type="dxa"/>
            <w:left w:w="0" w:type="dxa"/>
            <w:bottom w:w="0" w:type="dxa"/>
            <w:right w:w="0" w:type="dxa"/>
          </w:tblCellMar>
        </w:tblPrEx>
        <w:trPr>
          <w:trHeight w:val="199" w:hRule="atLeast"/>
        </w:trPr>
        <w:tc>
          <w:tcPr>
            <w:tcW w:w="0" w:type="auto"/>
            <w:tcBorders>
              <w:top w:val="nil"/>
              <w:left w:val="nil"/>
              <w:bottom w:val="nil"/>
              <w:right w:val="nil"/>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财决批复04表</w:t>
            </w:r>
          </w:p>
        </w:tc>
      </w:tr>
      <w:tr>
        <w:tblPrEx>
          <w:tblCellMar>
            <w:top w:w="0" w:type="dxa"/>
            <w:left w:w="0" w:type="dxa"/>
            <w:bottom w:w="0" w:type="dxa"/>
            <w:right w:w="0" w:type="dxa"/>
          </w:tblCellMar>
        </w:tblPrEx>
        <w:trPr>
          <w:trHeight w:val="300" w:hRule="atLeast"/>
        </w:trPr>
        <w:tc>
          <w:tcPr>
            <w:tcW w:w="0" w:type="auto"/>
            <w:tcBorders>
              <w:top w:val="nil"/>
              <w:left w:val="nil"/>
              <w:bottom w:val="nil"/>
              <w:right w:val="nil"/>
            </w:tcBorders>
            <w:shd w:val="clear" w:color="auto" w:fill="FFFFFF"/>
            <w:noWrap/>
            <w:tcMar>
              <w:top w:w="12" w:type="dxa"/>
              <w:left w:w="12" w:type="dxa"/>
              <w:right w:w="12"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部门：柳州市残疾人联合会</w:t>
            </w:r>
          </w:p>
        </w:tc>
        <w:tc>
          <w:tcPr>
            <w:tcW w:w="0" w:type="auto"/>
            <w:tcBorders>
              <w:top w:val="nil"/>
              <w:left w:val="nil"/>
              <w:bottom w:val="nil"/>
              <w:right w:val="nil"/>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360" w:hRule="atLeast"/>
        </w:trPr>
        <w:tc>
          <w:tcPr>
            <w:tcW w:w="0" w:type="auto"/>
            <w:gridSpan w:val="3"/>
            <w:tcBorders>
              <w:top w:val="single" w:color="000000" w:sz="8" w:space="0"/>
              <w:left w:val="single" w:color="000000" w:sz="8"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  入</w:t>
            </w:r>
          </w:p>
        </w:tc>
        <w:tc>
          <w:tcPr>
            <w:tcW w:w="0" w:type="auto"/>
            <w:gridSpan w:val="5"/>
            <w:tcBorders>
              <w:top w:val="single" w:color="000000" w:sz="8"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  出</w:t>
            </w:r>
          </w:p>
        </w:tc>
      </w:tr>
      <w:tr>
        <w:tblPrEx>
          <w:tblCellMar>
            <w:top w:w="0" w:type="dxa"/>
            <w:left w:w="0" w:type="dxa"/>
            <w:bottom w:w="0" w:type="dxa"/>
            <w:right w:w="0" w:type="dxa"/>
          </w:tblCellMar>
        </w:tblPrEx>
        <w:trPr>
          <w:trHeight w:val="1000" w:hRule="atLeast"/>
        </w:trPr>
        <w:tc>
          <w:tcPr>
            <w:tcW w:w="0" w:type="auto"/>
            <w:tcBorders>
              <w:top w:val="single" w:color="000000" w:sz="4" w:space="0"/>
              <w:left w:val="single" w:color="000000" w:sz="8"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2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一般公共预算财政拨款</w:t>
            </w:r>
          </w:p>
        </w:tc>
        <w:tc>
          <w:tcPr>
            <w:tcW w:w="1356" w:type="dxa"/>
            <w:tcBorders>
              <w:top w:val="single" w:color="000000" w:sz="4" w:space="0"/>
              <w:left w:val="single" w:color="000000" w:sz="4" w:space="0"/>
              <w:bottom w:val="single" w:color="000000" w:sz="4"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政府性基金预算财政拨款</w:t>
            </w:r>
          </w:p>
        </w:tc>
      </w:tr>
      <w:tr>
        <w:tblPrEx>
          <w:tblCellMar>
            <w:top w:w="0" w:type="dxa"/>
            <w:left w:w="0" w:type="dxa"/>
            <w:bottom w:w="0" w:type="dxa"/>
            <w:right w:w="0" w:type="dxa"/>
          </w:tblCellMar>
        </w:tblPrEx>
        <w:trPr>
          <w:trHeight w:val="289" w:hRule="atLeast"/>
        </w:trPr>
        <w:tc>
          <w:tcPr>
            <w:tcW w:w="0" w:type="auto"/>
            <w:tcBorders>
              <w:top w:val="single" w:color="000000" w:sz="4" w:space="0"/>
              <w:left w:val="single" w:color="000000" w:sz="8"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5160.46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nil"/>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nil"/>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nil"/>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nil"/>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nil"/>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nil"/>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nil"/>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nil"/>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nil"/>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nil"/>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nil"/>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nil"/>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nil"/>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nil"/>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nil"/>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5330.67</w:t>
            </w:r>
          </w:p>
        </w:tc>
        <w:tc>
          <w:tcPr>
            <w:tcW w:w="0" w:type="auto"/>
            <w:tcBorders>
              <w:top w:val="single" w:color="000000" w:sz="4" w:space="0"/>
              <w:left w:val="single" w:color="000000" w:sz="4" w:space="0"/>
              <w:bottom w:val="single" w:color="000000" w:sz="4" w:space="0"/>
              <w:right w:val="nil"/>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5330.67</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nil"/>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50.8</w:t>
            </w:r>
          </w:p>
        </w:tc>
        <w:tc>
          <w:tcPr>
            <w:tcW w:w="0" w:type="auto"/>
            <w:tcBorders>
              <w:top w:val="single" w:color="000000" w:sz="4" w:space="0"/>
              <w:left w:val="single" w:color="000000" w:sz="4" w:space="0"/>
              <w:bottom w:val="single" w:color="000000" w:sz="4" w:space="0"/>
              <w:right w:val="nil"/>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50.8</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nil"/>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nil"/>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nil"/>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nil"/>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nil"/>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nil"/>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nil"/>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nil"/>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nil"/>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nil"/>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nil"/>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nil"/>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nil"/>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nil"/>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nil"/>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nil"/>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nil"/>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nil"/>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nil"/>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39.49</w:t>
            </w:r>
          </w:p>
        </w:tc>
        <w:tc>
          <w:tcPr>
            <w:tcW w:w="0" w:type="auto"/>
            <w:tcBorders>
              <w:top w:val="single" w:color="000000" w:sz="4" w:space="0"/>
              <w:left w:val="single" w:color="000000" w:sz="4" w:space="0"/>
              <w:bottom w:val="single" w:color="000000" w:sz="4" w:space="0"/>
              <w:right w:val="nil"/>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39.49</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nil"/>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nil"/>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nil"/>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nil"/>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nil"/>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0" w:type="auto"/>
            <w:tcBorders>
              <w:top w:val="single" w:color="000000" w:sz="4" w:space="0"/>
              <w:left w:val="single" w:color="000000" w:sz="4" w:space="0"/>
              <w:bottom w:val="single" w:color="000000" w:sz="4" w:space="0"/>
              <w:right w:val="nil"/>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63.00 </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二十三、债务还本支出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nil"/>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nil"/>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0" w:type="auto"/>
            <w:tcBorders>
              <w:top w:val="single" w:color="000000" w:sz="4" w:space="0"/>
              <w:left w:val="nil"/>
              <w:bottom w:val="single" w:color="000000" w:sz="4" w:space="0"/>
              <w:right w:val="nil"/>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nil"/>
              <w:bottom w:val="single" w:color="000000" w:sz="4"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5223.46 </w:t>
            </w:r>
          </w:p>
        </w:tc>
        <w:tc>
          <w:tcPr>
            <w:tcW w:w="0" w:type="auto"/>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5483.97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5420.97</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63.00 </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1201.89 </w:t>
            </w:r>
          </w:p>
        </w:tc>
        <w:tc>
          <w:tcPr>
            <w:tcW w:w="0" w:type="auto"/>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941.39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941.39</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1201.89 </w:t>
            </w:r>
          </w:p>
        </w:tc>
        <w:tc>
          <w:tcPr>
            <w:tcW w:w="0" w:type="auto"/>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0" w:type="auto"/>
            <w:tcBorders>
              <w:top w:val="single" w:color="000000" w:sz="4" w:space="0"/>
              <w:left w:val="nil"/>
              <w:bottom w:val="single" w:color="000000" w:sz="4" w:space="0"/>
              <w:right w:val="nil"/>
            </w:tcBorders>
            <w:shd w:val="clear" w:color="auto" w:fill="FFFFFF"/>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8"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8" w:space="0"/>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二、政府性基金预算财政拨款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0" w:type="auto"/>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nil"/>
              <w:right w:val="nil"/>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0" w:type="auto"/>
            <w:tcBorders>
              <w:top w:val="single" w:color="000000" w:sz="4" w:space="0"/>
              <w:left w:val="nil"/>
              <w:bottom w:val="nil"/>
              <w:right w:val="nil"/>
            </w:tcBorders>
            <w:shd w:val="clear" w:color="auto" w:fill="FFFFFF"/>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nil"/>
              <w:bottom w:val="nil"/>
              <w:right w:val="single" w:color="000000" w:sz="8"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8" w:space="0"/>
              <w:bottom w:val="single" w:color="000000" w:sz="8" w:space="0"/>
              <w:right w:val="nil"/>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8"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8"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6425.36 </w:t>
            </w:r>
          </w:p>
        </w:tc>
        <w:tc>
          <w:tcPr>
            <w:tcW w:w="0" w:type="auto"/>
            <w:tcBorders>
              <w:top w:val="single" w:color="000000" w:sz="4" w:space="0"/>
              <w:left w:val="single" w:color="000000" w:sz="4" w:space="0"/>
              <w:bottom w:val="single" w:color="000000" w:sz="8" w:space="0"/>
              <w:right w:val="nil"/>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8"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0" w:type="auto"/>
            <w:tcBorders>
              <w:top w:val="single" w:color="000000" w:sz="4" w:space="0"/>
              <w:left w:val="nil"/>
              <w:bottom w:val="single" w:color="000000" w:sz="8" w:space="0"/>
              <w:right w:val="nil"/>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6425.36</w:t>
            </w:r>
          </w:p>
        </w:tc>
        <w:tc>
          <w:tcPr>
            <w:tcW w:w="0" w:type="auto"/>
            <w:tcBorders>
              <w:top w:val="single" w:color="000000" w:sz="4" w:space="0"/>
              <w:left w:val="single" w:color="000000" w:sz="4" w:space="0"/>
              <w:bottom w:val="single" w:color="000000" w:sz="8"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6362.36</w:t>
            </w:r>
          </w:p>
        </w:tc>
        <w:tc>
          <w:tcPr>
            <w:tcW w:w="0" w:type="auto"/>
            <w:tcBorders>
              <w:top w:val="single" w:color="000000" w:sz="4" w:space="0"/>
              <w:left w:val="nil"/>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63.00 </w:t>
            </w:r>
          </w:p>
        </w:tc>
      </w:tr>
      <w:tr>
        <w:tblPrEx>
          <w:tblCellMar>
            <w:top w:w="0" w:type="dxa"/>
            <w:left w:w="0" w:type="dxa"/>
            <w:bottom w:w="0" w:type="dxa"/>
            <w:right w:w="0" w:type="dxa"/>
          </w:tblCellMar>
        </w:tblPrEx>
        <w:trPr>
          <w:trHeight w:val="360" w:hRule="atLeast"/>
        </w:trPr>
        <w:tc>
          <w:tcPr>
            <w:tcW w:w="0" w:type="auto"/>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注：1.本表依据《财政拨款收入支出决算总表》（财决01-1表）进行批复。</w:t>
            </w:r>
          </w:p>
        </w:tc>
        <w:tc>
          <w:tcPr>
            <w:tcW w:w="0" w:type="auto"/>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60" w:hRule="atLeast"/>
        </w:trPr>
        <w:tc>
          <w:tcPr>
            <w:tcW w:w="0" w:type="auto"/>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2.本表以“万元”为金额单位（保留两位小数）。</w:t>
            </w:r>
          </w:p>
        </w:tc>
        <w:tc>
          <w:tcPr>
            <w:tcW w:w="0" w:type="auto"/>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r>
    </w:tbl>
    <w:p>
      <w:pPr>
        <w:bidi w:val="0"/>
        <w:rPr>
          <w:rFonts w:hint="eastAsia" w:ascii="仿宋_GB2312" w:eastAsia="仿宋_GB2312"/>
          <w:sz w:val="32"/>
          <w:szCs w:val="32"/>
          <w:lang w:val="en-US" w:eastAsia="zh-CN"/>
        </w:rPr>
      </w:pPr>
    </w:p>
    <w:p>
      <w:pPr>
        <w:keepNext w:val="0"/>
        <w:keepLines w:val="0"/>
        <w:widowControl/>
        <w:suppressLineNumbers w:val="0"/>
        <w:jc w:val="center"/>
        <w:textAlignment w:val="center"/>
        <w:rPr>
          <w:rFonts w:hint="eastAsia" w:ascii="方正小标宋简体" w:hAnsi="宋体" w:eastAsia="方正小标宋简体" w:cs="宋体"/>
          <w:kern w:val="0"/>
          <w:sz w:val="36"/>
          <w:szCs w:val="36"/>
        </w:rPr>
      </w:pPr>
    </w:p>
    <w:tbl>
      <w:tblPr>
        <w:tblStyle w:val="4"/>
        <w:tblW w:w="11880" w:type="dxa"/>
        <w:tblInd w:w="0" w:type="dxa"/>
        <w:shd w:val="clear" w:color="auto" w:fill="auto"/>
        <w:tblLayout w:type="autofit"/>
        <w:tblCellMar>
          <w:top w:w="0" w:type="dxa"/>
          <w:left w:w="0" w:type="dxa"/>
          <w:bottom w:w="0" w:type="dxa"/>
          <w:right w:w="0" w:type="dxa"/>
        </w:tblCellMar>
      </w:tblPr>
      <w:tblGrid>
        <w:gridCol w:w="3623"/>
        <w:gridCol w:w="174"/>
        <w:gridCol w:w="174"/>
        <w:gridCol w:w="2574"/>
        <w:gridCol w:w="624"/>
        <w:gridCol w:w="324"/>
        <w:gridCol w:w="624"/>
        <w:gridCol w:w="624"/>
        <w:gridCol w:w="474"/>
        <w:gridCol w:w="624"/>
        <w:gridCol w:w="624"/>
        <w:gridCol w:w="474"/>
        <w:gridCol w:w="624"/>
        <w:gridCol w:w="474"/>
        <w:gridCol w:w="399"/>
        <w:gridCol w:w="474"/>
        <w:gridCol w:w="1074"/>
      </w:tblGrid>
      <w:tr>
        <w:tblPrEx>
          <w:shd w:val="clear" w:color="auto" w:fill="auto"/>
          <w:tblCellMar>
            <w:top w:w="0" w:type="dxa"/>
            <w:left w:w="0" w:type="dxa"/>
            <w:bottom w:w="0" w:type="dxa"/>
            <w:right w:w="0" w:type="dxa"/>
          </w:tblCellMar>
        </w:tblPrEx>
        <w:trPr>
          <w:trHeight w:val="312" w:hRule="atLeast"/>
        </w:trPr>
        <w:tc>
          <w:tcPr>
            <w:tcW w:w="11880" w:type="dxa"/>
            <w:gridSpan w:val="17"/>
            <w:tcBorders>
              <w:top w:val="nil"/>
              <w:left w:val="nil"/>
              <w:bottom w:val="nil"/>
              <w:right w:val="nil"/>
            </w:tcBorders>
            <w:shd w:val="clear" w:color="auto" w:fill="auto"/>
            <w:noWrap/>
            <w:tcMar>
              <w:top w:w="12" w:type="dxa"/>
              <w:left w:w="12" w:type="dxa"/>
              <w:right w:w="12" w:type="dxa"/>
            </w:tcMar>
            <w:vAlign w:val="bottom"/>
          </w:tcPr>
          <w:p>
            <w:pPr>
              <w:keepNext w:val="0"/>
              <w:keepLines w:val="0"/>
              <w:widowControl/>
              <w:suppressLineNumbers w:val="0"/>
              <w:jc w:val="center"/>
              <w:textAlignment w:val="center"/>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lang w:val="en-US" w:eastAsia="zh-CN"/>
              </w:rPr>
              <w:t>表五：一般公共预算财政拨款收入支出决算表</w:t>
            </w:r>
          </w:p>
        </w:tc>
      </w:tr>
      <w:tr>
        <w:tblPrEx>
          <w:tblCellMar>
            <w:top w:w="0" w:type="dxa"/>
            <w:left w:w="0" w:type="dxa"/>
            <w:bottom w:w="0" w:type="dxa"/>
            <w:right w:w="0" w:type="dxa"/>
          </w:tblCellMar>
        </w:tblPrEx>
        <w:trPr>
          <w:trHeight w:val="450" w:hRule="atLeast"/>
        </w:trPr>
        <w:tc>
          <w:tcPr>
            <w:tcW w:w="0" w:type="auto"/>
            <w:tcBorders>
              <w:top w:val="nil"/>
              <w:left w:val="nil"/>
              <w:bottom w:val="nil"/>
              <w:right w:val="nil"/>
            </w:tcBorders>
            <w:shd w:val="clear" w:color="auto" w:fill="auto"/>
            <w:noWrap/>
            <w:tcMar>
              <w:top w:w="12" w:type="dxa"/>
              <w:left w:w="12" w:type="dxa"/>
              <w:right w:w="12" w:type="dxa"/>
            </w:tcMar>
            <w:vAlign w:val="bottom"/>
          </w:tcPr>
          <w:p>
            <w:pPr>
              <w:rPr>
                <w:rFonts w:hint="eastAsia" w:ascii="Arial" w:hAnsi="Arial" w:eastAsia="宋体" w:cs="Arial"/>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eastAsia="宋体" w:cs="Arial"/>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eastAsia="宋体" w:cs="Arial"/>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eastAsia="宋体" w:cs="Arial"/>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eastAsia="宋体" w:cs="Arial"/>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eastAsia="宋体" w:cs="Arial"/>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eastAsia="宋体" w:cs="Arial"/>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eastAsia="宋体" w:cs="Arial"/>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eastAsia="宋体" w:cs="Arial"/>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eastAsia="宋体" w:cs="Arial"/>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eastAsia="宋体" w:cs="Arial"/>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eastAsia="宋体" w:cs="Arial"/>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eastAsia="宋体" w:cs="Arial"/>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eastAsia="宋体" w:cs="Arial"/>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eastAsia="宋体" w:cs="Arial"/>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eastAsia="宋体" w:cs="Arial"/>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财决批复05表</w:t>
            </w:r>
          </w:p>
        </w:tc>
      </w:tr>
      <w:tr>
        <w:tblPrEx>
          <w:tblCellMar>
            <w:top w:w="0" w:type="dxa"/>
            <w:left w:w="0" w:type="dxa"/>
            <w:bottom w:w="0" w:type="dxa"/>
            <w:right w:w="0" w:type="dxa"/>
          </w:tblCellMar>
        </w:tblPrEx>
        <w:trPr>
          <w:trHeight w:val="327" w:hRule="atLeast"/>
        </w:trPr>
        <w:tc>
          <w:tcPr>
            <w:tcW w:w="0" w:type="auto"/>
            <w:tcBorders>
              <w:top w:val="nil"/>
              <w:left w:val="nil"/>
              <w:bottom w:val="nil"/>
              <w:right w:val="nil"/>
            </w:tcBorders>
            <w:shd w:val="clear" w:color="auto" w:fill="FFFFFF"/>
            <w:noWrap/>
            <w:tcMar>
              <w:top w:w="12" w:type="dxa"/>
              <w:left w:w="12" w:type="dxa"/>
              <w:right w:w="12"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部门：柳州市残疾人联合会</w:t>
            </w:r>
          </w:p>
        </w:tc>
        <w:tc>
          <w:tcPr>
            <w:tcW w:w="0" w:type="auto"/>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eastAsia="宋体" w:cs="Arial"/>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eastAsia="宋体" w:cs="Arial"/>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eastAsia="宋体" w:cs="Arial"/>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eastAsia="宋体" w:cs="Arial"/>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eastAsia="宋体" w:cs="Arial"/>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eastAsia="宋体" w:cs="Arial"/>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eastAsia="宋体" w:cs="Arial"/>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eastAsia="宋体" w:cs="Arial"/>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eastAsia="宋体" w:cs="Arial"/>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jc w:val="cente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eastAsia="宋体" w:cs="Arial"/>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eastAsia="宋体" w:cs="Arial"/>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eastAsia="宋体" w:cs="Arial"/>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eastAsia="宋体" w:cs="Arial"/>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eastAsia="宋体" w:cs="Arial"/>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600" w:hRule="atLeast"/>
        </w:trPr>
        <w:tc>
          <w:tcPr>
            <w:tcW w:w="1356" w:type="dxa"/>
            <w:gridSpan w:val="3"/>
            <w:vMerge w:val="restart"/>
            <w:tcBorders>
              <w:top w:val="single" w:color="000000" w:sz="8"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1788" w:type="dxa"/>
            <w:vMerge w:val="restart"/>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0" w:type="auto"/>
            <w:gridSpan w:val="3"/>
            <w:tcBorders>
              <w:top w:val="single" w:color="000000" w:sz="8"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2016" w:type="dxa"/>
            <w:gridSpan w:val="3"/>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w:t>
            </w:r>
          </w:p>
        </w:tc>
        <w:tc>
          <w:tcPr>
            <w:tcW w:w="0" w:type="auto"/>
            <w:gridSpan w:val="3"/>
            <w:tcBorders>
              <w:top w:val="single" w:color="000000" w:sz="8"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c>
          <w:tcPr>
            <w:tcW w:w="0" w:type="auto"/>
            <w:gridSpan w:val="4"/>
            <w:tcBorders>
              <w:top w:val="single" w:color="000000" w:sz="8" w:space="0"/>
              <w:left w:val="single" w:color="000000" w:sz="4" w:space="0"/>
              <w:bottom w:val="single" w:color="000000" w:sz="4"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r>
      <w:tr>
        <w:tblPrEx>
          <w:tblCellMar>
            <w:top w:w="0" w:type="dxa"/>
            <w:left w:w="0" w:type="dxa"/>
            <w:bottom w:w="0" w:type="dxa"/>
            <w:right w:w="0" w:type="dxa"/>
          </w:tblCellMar>
        </w:tblPrEx>
        <w:trPr>
          <w:trHeight w:val="600" w:hRule="atLeast"/>
        </w:trPr>
        <w:tc>
          <w:tcPr>
            <w:tcW w:w="1356" w:type="dxa"/>
            <w:gridSpan w:val="3"/>
            <w:vMerge w:val="continue"/>
            <w:tcBorders>
              <w:top w:val="single" w:color="000000" w:sz="8"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788" w:type="dxa"/>
            <w:vMerge w:val="continue"/>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基本支出结转</w:t>
            </w:r>
          </w:p>
        </w:tc>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项目支出结转和结余</w:t>
            </w:r>
          </w:p>
        </w:tc>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支出</w:t>
            </w:r>
          </w:p>
        </w:tc>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支出</w:t>
            </w:r>
          </w:p>
        </w:tc>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支出</w:t>
            </w:r>
          </w:p>
        </w:tc>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支出</w:t>
            </w:r>
          </w:p>
        </w:tc>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基本支出结转</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项目支出结转和结余</w:t>
            </w:r>
          </w:p>
        </w:tc>
      </w:tr>
      <w:tr>
        <w:tblPrEx>
          <w:tblCellMar>
            <w:top w:w="0" w:type="dxa"/>
            <w:left w:w="0" w:type="dxa"/>
            <w:bottom w:w="0" w:type="dxa"/>
            <w:right w:w="0" w:type="dxa"/>
          </w:tblCellMar>
        </w:tblPrEx>
        <w:trPr>
          <w:trHeight w:val="1065" w:hRule="atLeast"/>
        </w:trPr>
        <w:tc>
          <w:tcPr>
            <w:tcW w:w="1356" w:type="dxa"/>
            <w:gridSpan w:val="3"/>
            <w:vMerge w:val="continue"/>
            <w:tcBorders>
              <w:top w:val="single" w:color="000000" w:sz="8"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788" w:type="dxa"/>
            <w:vMerge w:val="continue"/>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项目支出结转</w:t>
            </w:r>
          </w:p>
        </w:tc>
        <w:tc>
          <w:tcPr>
            <w:tcW w:w="672" w:type="dxa"/>
            <w:tcBorders>
              <w:top w:val="single" w:color="000000" w:sz="4" w:space="0"/>
              <w:left w:val="single" w:color="000000" w:sz="4" w:space="0"/>
              <w:bottom w:val="single" w:color="000000" w:sz="4"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项目支出结余</w:t>
            </w:r>
          </w:p>
        </w:tc>
      </w:tr>
      <w:tr>
        <w:tblPrEx>
          <w:tblCellMar>
            <w:top w:w="0" w:type="dxa"/>
            <w:left w:w="0" w:type="dxa"/>
            <w:bottom w:w="0" w:type="dxa"/>
            <w:right w:w="0" w:type="dxa"/>
          </w:tblCellMar>
        </w:tblPrEx>
        <w:trPr>
          <w:trHeight w:val="402" w:hRule="atLeast"/>
        </w:trPr>
        <w:tc>
          <w:tcPr>
            <w:tcW w:w="468" w:type="dxa"/>
            <w:vMerge w:val="restart"/>
            <w:tcBorders>
              <w:top w:val="nil"/>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类</w:t>
            </w:r>
          </w:p>
        </w:tc>
        <w:tc>
          <w:tcPr>
            <w:tcW w:w="420" w:type="dxa"/>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款</w:t>
            </w:r>
          </w:p>
        </w:tc>
        <w:tc>
          <w:tcPr>
            <w:tcW w:w="468" w:type="dxa"/>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78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0" w:type="auto"/>
            <w:tcBorders>
              <w:top w:val="nil"/>
              <w:left w:val="nil"/>
              <w:bottom w:val="single" w:color="000000" w:sz="4"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r>
      <w:tr>
        <w:tblPrEx>
          <w:tblCellMar>
            <w:top w:w="0" w:type="dxa"/>
            <w:left w:w="0" w:type="dxa"/>
            <w:bottom w:w="0" w:type="dxa"/>
            <w:right w:w="0" w:type="dxa"/>
          </w:tblCellMar>
        </w:tblPrEx>
        <w:trPr>
          <w:trHeight w:val="480" w:hRule="atLeast"/>
        </w:trPr>
        <w:tc>
          <w:tcPr>
            <w:tcW w:w="468" w:type="dxa"/>
            <w:vMerge w:val="continue"/>
            <w:tcBorders>
              <w:top w:val="nil"/>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20"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68"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78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1,201.89</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1,201.89</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5,160.46</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605.50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4,554.97</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5,420.97</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578.78</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4,842.19</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941.39</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26.72</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914.67</w:t>
            </w:r>
          </w:p>
        </w:tc>
        <w:tc>
          <w:tcPr>
            <w:tcW w:w="0" w:type="auto"/>
            <w:tcBorders>
              <w:top w:val="nil"/>
              <w:left w:val="nil"/>
              <w:bottom w:val="single" w:color="000000" w:sz="4"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1,201.89</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1,201.89</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5,070.17</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520.20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4,549.97</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5,330.67</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493.49</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4,837.19</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941.39</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26.72</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914.67</w:t>
            </w:r>
          </w:p>
        </w:tc>
        <w:tc>
          <w:tcPr>
            <w:tcW w:w="0" w:type="auto"/>
            <w:tcBorders>
              <w:top w:val="nil"/>
              <w:left w:val="nil"/>
              <w:bottom w:val="single" w:color="000000" w:sz="4"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12"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行政事业单位离退休</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66.61</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66.61</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66.61</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66.61</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12"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2080501</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归口管理的行政单位离退休</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16.47</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16.47</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16.47</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16.47</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12"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2080502</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事业单位离退休</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1.47</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1.47</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1.47</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1.47</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12"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48.67</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48.67</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48.67</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48.67</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12"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20811</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残疾人事业</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1,201.89</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1,201.89</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5,003.56</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453.60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4,549.97</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5,264.07</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426.88</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4,837.19</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941.39</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26.72</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914.67</w:t>
            </w:r>
          </w:p>
        </w:tc>
        <w:tc>
          <w:tcPr>
            <w:tcW w:w="0" w:type="auto"/>
            <w:tcBorders>
              <w:top w:val="nil"/>
              <w:left w:val="nil"/>
              <w:bottom w:val="single" w:color="000000" w:sz="4"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12"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2081101</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260.96</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260.96</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260.96</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260.96</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12"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2081104</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残疾人康复</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2,747.56</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85.19</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2,662.37</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2,778.37</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81.61</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2,696.76</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99.19</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3.58</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95.61</w:t>
            </w:r>
          </w:p>
        </w:tc>
        <w:tc>
          <w:tcPr>
            <w:tcW w:w="0" w:type="auto"/>
            <w:tcBorders>
              <w:top w:val="nil"/>
              <w:left w:val="nil"/>
              <w:bottom w:val="single" w:color="000000" w:sz="4"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12"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2081105</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残疾人就业和扶贫</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0.02</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0.02</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117.50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117.50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111.86</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111.86</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5.66</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5.66</w:t>
            </w:r>
          </w:p>
        </w:tc>
        <w:tc>
          <w:tcPr>
            <w:tcW w:w="0" w:type="auto"/>
            <w:tcBorders>
              <w:top w:val="nil"/>
              <w:left w:val="nil"/>
              <w:bottom w:val="single" w:color="000000" w:sz="4"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12"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2081106</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残疾人体育</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111.16</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111.16</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340.37</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340.37</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263.25</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263.25</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188.28</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188.28</w:t>
            </w:r>
          </w:p>
        </w:tc>
        <w:tc>
          <w:tcPr>
            <w:tcW w:w="0" w:type="auto"/>
            <w:tcBorders>
              <w:top w:val="nil"/>
              <w:left w:val="nil"/>
              <w:bottom w:val="single" w:color="000000" w:sz="4"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12"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2081199</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其他残疾人事业支出</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960.71</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960.71</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1,537.18</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107.45</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1,429.73</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1,849.63</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84.32</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1,765.31</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648.26</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23.13</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625.13</w:t>
            </w:r>
          </w:p>
        </w:tc>
        <w:tc>
          <w:tcPr>
            <w:tcW w:w="0" w:type="auto"/>
            <w:tcBorders>
              <w:top w:val="nil"/>
              <w:left w:val="nil"/>
              <w:bottom w:val="single" w:color="000000" w:sz="4"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12"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50.80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45.80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50.80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45.80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12"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公共卫生</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12"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2100409</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重大公共卫生专项</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12"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行政事业单位医疗</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45.80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45.80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45.80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45.80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12"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2101101</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行政单位医疗</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10.37</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10.37</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10.37</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10.37</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12"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2101102</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事业单位医疗</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9.03</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9.03</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9.03</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9.03</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12"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2101103</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26.26</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26.26</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26.26</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26.26</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12"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2101199</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其他行政事业单位医疗支出</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0.14</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0.14</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0.14</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0.14</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12"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住房保障支出</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39.49</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39.49</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39.49</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39.49</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12"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住房改革支出</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39.49</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39.49</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39.49</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39.49</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12"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34.23</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34.23</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34.23</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34.23</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27" w:hRule="atLeast"/>
        </w:trPr>
        <w:tc>
          <w:tcPr>
            <w:tcW w:w="0" w:type="auto"/>
            <w:gridSpan w:val="3"/>
            <w:tcBorders>
              <w:top w:val="nil"/>
              <w:left w:val="single" w:color="000000" w:sz="4" w:space="0"/>
              <w:bottom w:val="single" w:color="000000" w:sz="8"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2210203</w:t>
            </w:r>
          </w:p>
        </w:tc>
        <w:tc>
          <w:tcPr>
            <w:tcW w:w="0" w:type="auto"/>
            <w:tcBorders>
              <w:top w:val="nil"/>
              <w:left w:val="nil"/>
              <w:bottom w:val="single" w:color="000000" w:sz="8"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购房补贴</w:t>
            </w:r>
          </w:p>
        </w:tc>
        <w:tc>
          <w:tcPr>
            <w:tcW w:w="0" w:type="auto"/>
            <w:tcBorders>
              <w:top w:val="nil"/>
              <w:left w:val="nil"/>
              <w:bottom w:val="single" w:color="000000" w:sz="8"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8"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8"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8"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5.26</w:t>
            </w:r>
          </w:p>
        </w:tc>
        <w:tc>
          <w:tcPr>
            <w:tcW w:w="0" w:type="auto"/>
            <w:tcBorders>
              <w:top w:val="nil"/>
              <w:left w:val="nil"/>
              <w:bottom w:val="single" w:color="000000" w:sz="8"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5.26</w:t>
            </w:r>
          </w:p>
        </w:tc>
        <w:tc>
          <w:tcPr>
            <w:tcW w:w="0" w:type="auto"/>
            <w:tcBorders>
              <w:top w:val="nil"/>
              <w:left w:val="nil"/>
              <w:bottom w:val="single" w:color="000000" w:sz="8"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8"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5.26</w:t>
            </w:r>
          </w:p>
        </w:tc>
        <w:tc>
          <w:tcPr>
            <w:tcW w:w="0" w:type="auto"/>
            <w:tcBorders>
              <w:top w:val="nil"/>
              <w:left w:val="nil"/>
              <w:bottom w:val="single" w:color="000000" w:sz="8"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5.26</w:t>
            </w:r>
          </w:p>
        </w:tc>
        <w:tc>
          <w:tcPr>
            <w:tcW w:w="0" w:type="auto"/>
            <w:tcBorders>
              <w:top w:val="nil"/>
              <w:left w:val="nil"/>
              <w:bottom w:val="single" w:color="000000" w:sz="8"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8"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8"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8"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02" w:hRule="atLeast"/>
        </w:trPr>
        <w:tc>
          <w:tcPr>
            <w:tcW w:w="0" w:type="auto"/>
            <w:gridSpan w:val="17"/>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注：1.本表依据《一般公共预算财政拨款收入支出决算表》（财决07表）进行批复。</w:t>
            </w:r>
          </w:p>
        </w:tc>
      </w:tr>
      <w:tr>
        <w:tblPrEx>
          <w:tblCellMar>
            <w:top w:w="0" w:type="dxa"/>
            <w:left w:w="0" w:type="dxa"/>
            <w:bottom w:w="0" w:type="dxa"/>
            <w:right w:w="0" w:type="dxa"/>
          </w:tblCellMar>
        </w:tblPrEx>
        <w:trPr>
          <w:trHeight w:val="402" w:hRule="atLeast"/>
        </w:trPr>
        <w:tc>
          <w:tcPr>
            <w:tcW w:w="0" w:type="auto"/>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2.本表批复到项级科目。</w:t>
            </w: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02" w:hRule="atLeast"/>
        </w:trPr>
        <w:tc>
          <w:tcPr>
            <w:tcW w:w="0" w:type="auto"/>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3.本表以“万元”为金额单位（保留两位小数）。</w:t>
            </w: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r>
    </w:tbl>
    <w:p>
      <w:pPr>
        <w:rPr>
          <w:rFonts w:hint="eastAsia" w:ascii="仿宋_GB2312" w:eastAsia="仿宋_GB2312"/>
          <w:sz w:val="32"/>
          <w:szCs w:val="32"/>
        </w:rPr>
        <w:sectPr>
          <w:type w:val="continuous"/>
          <w:pgSz w:w="16838" w:h="11906" w:orient="landscape"/>
          <w:pgMar w:top="1797" w:right="1440" w:bottom="1797" w:left="1440" w:header="851" w:footer="992" w:gutter="0"/>
          <w:pgNumType w:fmt="numberInDash"/>
          <w:cols w:space="720" w:num="1"/>
          <w:docGrid w:type="lines" w:linePitch="312" w:charSpace="0"/>
        </w:sectPr>
      </w:pPr>
    </w:p>
    <w:p>
      <w:pPr>
        <w:rPr>
          <w:rFonts w:hint="eastAsia" w:ascii="仿宋_GB2312" w:eastAsia="仿宋_GB2312"/>
          <w:sz w:val="32"/>
          <w:szCs w:val="32"/>
        </w:rPr>
      </w:pPr>
    </w:p>
    <w:tbl>
      <w:tblPr>
        <w:tblStyle w:val="4"/>
        <w:tblW w:w="13657" w:type="dxa"/>
        <w:tblInd w:w="0" w:type="dxa"/>
        <w:shd w:val="clear" w:color="auto" w:fill="auto"/>
        <w:tblLayout w:type="autofit"/>
        <w:tblCellMar>
          <w:top w:w="0" w:type="dxa"/>
          <w:left w:w="0" w:type="dxa"/>
          <w:bottom w:w="0" w:type="dxa"/>
          <w:right w:w="0" w:type="dxa"/>
        </w:tblCellMar>
      </w:tblPr>
      <w:tblGrid>
        <w:gridCol w:w="2570"/>
        <w:gridCol w:w="2676"/>
        <w:gridCol w:w="608"/>
        <w:gridCol w:w="466"/>
        <w:gridCol w:w="1792"/>
        <w:gridCol w:w="510"/>
        <w:gridCol w:w="466"/>
        <w:gridCol w:w="3384"/>
        <w:gridCol w:w="1510"/>
      </w:tblGrid>
      <w:tr>
        <w:tblPrEx>
          <w:shd w:val="clear" w:color="auto" w:fill="auto"/>
          <w:tblCellMar>
            <w:top w:w="0" w:type="dxa"/>
            <w:left w:w="0" w:type="dxa"/>
            <w:bottom w:w="0" w:type="dxa"/>
            <w:right w:w="0" w:type="dxa"/>
          </w:tblCellMar>
        </w:tblPrEx>
        <w:trPr>
          <w:trHeight w:val="456" w:hRule="atLeast"/>
        </w:trPr>
        <w:tc>
          <w:tcPr>
            <w:tcW w:w="13665" w:type="dxa"/>
            <w:gridSpan w:val="9"/>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方正小标宋简体" w:hAnsi="宋体" w:eastAsia="方正小标宋简体" w:cs="宋体"/>
                <w:kern w:val="0"/>
                <w:sz w:val="36"/>
                <w:szCs w:val="36"/>
                <w:lang w:val="en-US" w:eastAsia="zh-CN"/>
              </w:rPr>
              <w:t>表六：一般公共预算财政拨款基本支出决算批复表</w:t>
            </w:r>
          </w:p>
        </w:tc>
      </w:tr>
      <w:tr>
        <w:tblPrEx>
          <w:tblCellMar>
            <w:top w:w="0" w:type="dxa"/>
            <w:left w:w="0" w:type="dxa"/>
            <w:bottom w:w="0" w:type="dxa"/>
            <w:right w:w="0" w:type="dxa"/>
          </w:tblCellMar>
        </w:tblPrEx>
        <w:trPr>
          <w:trHeight w:val="405" w:hRule="atLeast"/>
        </w:trPr>
        <w:tc>
          <w:tcPr>
            <w:tcW w:w="732" w:type="dxa"/>
            <w:tcBorders>
              <w:top w:val="nil"/>
              <w:left w:val="nil"/>
              <w:bottom w:val="nil"/>
              <w:right w:val="nil"/>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3132" w:type="dxa"/>
            <w:tcBorders>
              <w:top w:val="nil"/>
              <w:left w:val="nil"/>
              <w:bottom w:val="nil"/>
              <w:right w:val="nil"/>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52" w:type="dxa"/>
            <w:tcBorders>
              <w:top w:val="nil"/>
              <w:left w:val="nil"/>
              <w:bottom w:val="nil"/>
              <w:right w:val="nil"/>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816" w:type="dxa"/>
            <w:tcBorders>
              <w:top w:val="nil"/>
              <w:left w:val="nil"/>
              <w:bottom w:val="nil"/>
              <w:right w:val="nil"/>
            </w:tcBorders>
            <w:shd w:val="clear" w:color="auto" w:fill="FFFFFF"/>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2232" w:type="dxa"/>
            <w:tcBorders>
              <w:top w:val="nil"/>
              <w:left w:val="nil"/>
              <w:bottom w:val="nil"/>
              <w:right w:val="nil"/>
            </w:tcBorders>
            <w:shd w:val="clear" w:color="auto" w:fill="FFFFFF"/>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795" w:type="dxa"/>
            <w:tcBorders>
              <w:top w:val="nil"/>
              <w:left w:val="nil"/>
              <w:bottom w:val="nil"/>
              <w:right w:val="nil"/>
            </w:tcBorders>
            <w:shd w:val="clear" w:color="auto" w:fill="FFFFFF"/>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792" w:type="dxa"/>
            <w:tcBorders>
              <w:top w:val="nil"/>
              <w:left w:val="nil"/>
              <w:bottom w:val="nil"/>
              <w:right w:val="nil"/>
            </w:tcBorders>
            <w:shd w:val="clear" w:color="auto" w:fill="FFFFFF"/>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3264" w:type="dxa"/>
            <w:tcBorders>
              <w:top w:val="nil"/>
              <w:left w:val="nil"/>
              <w:bottom w:val="nil"/>
              <w:right w:val="nil"/>
            </w:tcBorders>
            <w:shd w:val="clear" w:color="auto" w:fill="FFFFFF"/>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财决批复06表</w:t>
            </w:r>
          </w:p>
        </w:tc>
      </w:tr>
      <w:tr>
        <w:tblPrEx>
          <w:tblCellMar>
            <w:top w:w="0" w:type="dxa"/>
            <w:left w:w="0" w:type="dxa"/>
            <w:bottom w:w="0" w:type="dxa"/>
            <w:right w:w="0" w:type="dxa"/>
          </w:tblCellMar>
        </w:tblPrEx>
        <w:trPr>
          <w:trHeight w:val="300" w:hRule="atLeast"/>
        </w:trPr>
        <w:tc>
          <w:tcPr>
            <w:tcW w:w="0" w:type="auto"/>
            <w:tcBorders>
              <w:top w:val="nil"/>
              <w:left w:val="nil"/>
              <w:bottom w:val="nil"/>
              <w:right w:val="nil"/>
            </w:tcBorders>
            <w:shd w:val="clear" w:color="auto" w:fill="FFFFFF"/>
            <w:noWrap/>
            <w:tcMar>
              <w:top w:w="12" w:type="dxa"/>
              <w:left w:w="12" w:type="dxa"/>
              <w:right w:w="12"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部门：柳州市残疾人联合会</w:t>
            </w: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Arial" w:hAnsi="Arial" w:eastAsia="宋体" w:cs="Arial"/>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default" w:ascii="Arial" w:hAnsi="Arial" w:eastAsia="宋体" w:cs="Arial"/>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default" w:ascii="Arial" w:hAnsi="Arial" w:eastAsia="宋体" w:cs="Arial"/>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default" w:ascii="Arial" w:hAnsi="Arial" w:eastAsia="宋体" w:cs="Arial"/>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default" w:ascii="Arial" w:hAnsi="Arial" w:eastAsia="宋体" w:cs="Arial"/>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default" w:ascii="Arial" w:hAnsi="Arial" w:eastAsia="宋体" w:cs="Arial"/>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default" w:ascii="Arial" w:hAnsi="Arial" w:eastAsia="宋体" w:cs="Arial"/>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金额单位：万元</w:t>
            </w:r>
          </w:p>
        </w:tc>
      </w:tr>
      <w:tr>
        <w:tblPrEx>
          <w:tblCellMar>
            <w:top w:w="0" w:type="dxa"/>
            <w:left w:w="0" w:type="dxa"/>
            <w:bottom w:w="0" w:type="dxa"/>
            <w:right w:w="0" w:type="dxa"/>
          </w:tblCellMar>
        </w:tblPrEx>
        <w:trPr>
          <w:trHeight w:val="495" w:hRule="atLeast"/>
        </w:trPr>
        <w:tc>
          <w:tcPr>
            <w:tcW w:w="732" w:type="dxa"/>
            <w:tcBorders>
              <w:top w:val="single" w:color="000000" w:sz="8"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3132" w:type="dxa"/>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152" w:type="dxa"/>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816" w:type="dxa"/>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232" w:type="dxa"/>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795" w:type="dxa"/>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792" w:type="dxa"/>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3264" w:type="dxa"/>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750" w:type="dxa"/>
            <w:tcBorders>
              <w:top w:val="single" w:color="000000" w:sz="8" w:space="0"/>
              <w:left w:val="single" w:color="000000" w:sz="4" w:space="0"/>
              <w:bottom w:val="single" w:color="000000" w:sz="4"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282"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工资福利支出</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474.10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商品和服务支出</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债务利息及费用支出</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2"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基本工资</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办公费</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国内债务付息</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2"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津贴补贴</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印刷费</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国外债务付息</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2"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奖金</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咨询费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资本性支出</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w:t>
            </w:r>
          </w:p>
        </w:tc>
      </w:tr>
      <w:tr>
        <w:tblPrEx>
          <w:tblCellMar>
            <w:top w:w="0" w:type="dxa"/>
            <w:left w:w="0" w:type="dxa"/>
            <w:bottom w:w="0" w:type="dxa"/>
            <w:right w:w="0" w:type="dxa"/>
          </w:tblCellMar>
        </w:tblPrEx>
        <w:trPr>
          <w:trHeight w:val="282"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伙食补助费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手续费</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2"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绩效工资</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水费</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办公设备购置</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w:t>
            </w:r>
          </w:p>
        </w:tc>
      </w:tr>
      <w:tr>
        <w:tblPrEx>
          <w:tblCellMar>
            <w:top w:w="0" w:type="dxa"/>
            <w:left w:w="0" w:type="dxa"/>
            <w:bottom w:w="0" w:type="dxa"/>
            <w:right w:w="0" w:type="dxa"/>
          </w:tblCellMar>
        </w:tblPrEx>
        <w:trPr>
          <w:trHeight w:val="282"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电费</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专用设备购置</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2"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职业年金缴费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邮电费</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2"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取暖费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大型修缮</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2"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物业管理费</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2"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差旅费</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物资储备</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2"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土地补偿</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2"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维修（护）费</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安置补助</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2"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租赁费</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2"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会议费</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拆迁补偿</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2"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离休费</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培训费</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0" w:type="auto"/>
            <w:tcBorders>
              <w:top w:val="nil"/>
              <w:left w:val="nil"/>
              <w:bottom w:val="single" w:color="000000" w:sz="4" w:space="0"/>
              <w:right w:val="single" w:color="000000" w:sz="8"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2"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退休费</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公务接待费</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2"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退职（役）费</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专用材料费</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2"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抚恤金</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被装购置费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无形资产购置</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2"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生活补助</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专用燃料费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2"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救济费</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劳务费</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2"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委托业务费</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赠与</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2"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助学金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工会经费</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2"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奖励金</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福利费</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2"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2"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其他对个人和家庭的补助</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其他交通费用</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2"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2"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2"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2" w:hRule="atLeast"/>
        </w:trPr>
        <w:tc>
          <w:tcPr>
            <w:tcW w:w="0" w:type="auto"/>
            <w:gridSpan w:val="2"/>
            <w:tcBorders>
              <w:top w:val="single" w:color="000000" w:sz="4" w:space="0"/>
              <w:left w:val="single" w:color="000000" w:sz="8" w:space="0"/>
              <w:bottom w:val="single" w:color="000000" w:sz="8"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人员经费合计</w:t>
            </w:r>
          </w:p>
        </w:tc>
        <w:tc>
          <w:tcPr>
            <w:tcW w:w="0" w:type="auto"/>
            <w:tcBorders>
              <w:top w:val="single" w:color="000000" w:sz="4" w:space="0"/>
              <w:left w:val="single" w:color="000000" w:sz="4" w:space="0"/>
              <w:bottom w:val="single" w:color="000000" w:sz="8"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513.91</w:t>
            </w:r>
          </w:p>
        </w:tc>
        <w:tc>
          <w:tcPr>
            <w:tcW w:w="0" w:type="auto"/>
            <w:gridSpan w:val="5"/>
            <w:tcBorders>
              <w:top w:val="single" w:color="000000" w:sz="4" w:space="0"/>
              <w:left w:val="single" w:color="000000" w:sz="4" w:space="0"/>
              <w:bottom w:val="single" w:color="000000" w:sz="8"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公用经费合计</w:t>
            </w:r>
          </w:p>
        </w:tc>
        <w:tc>
          <w:tcPr>
            <w:tcW w:w="0" w:type="auto"/>
            <w:tcBorders>
              <w:top w:val="single" w:color="000000" w:sz="4" w:space="0"/>
              <w:left w:val="single" w:color="000000" w:sz="4"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64.87</w:t>
            </w:r>
          </w:p>
        </w:tc>
      </w:tr>
      <w:tr>
        <w:tblPrEx>
          <w:tblCellMar>
            <w:top w:w="0" w:type="dxa"/>
            <w:left w:w="0" w:type="dxa"/>
            <w:bottom w:w="0" w:type="dxa"/>
            <w:right w:w="0" w:type="dxa"/>
          </w:tblCellMar>
        </w:tblPrEx>
        <w:trPr>
          <w:trHeight w:val="390" w:hRule="atLeast"/>
        </w:trPr>
        <w:tc>
          <w:tcPr>
            <w:tcW w:w="0" w:type="auto"/>
            <w:gridSpan w:val="9"/>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注：1.本表依据《一般公共预算财政拨款基本支出决算明细表》（财决08-1表）进行批复。</w:t>
            </w:r>
          </w:p>
        </w:tc>
      </w:tr>
      <w:tr>
        <w:tblPrEx>
          <w:tblCellMar>
            <w:top w:w="0" w:type="dxa"/>
            <w:left w:w="0" w:type="dxa"/>
            <w:bottom w:w="0" w:type="dxa"/>
            <w:right w:w="0" w:type="dxa"/>
          </w:tblCellMar>
        </w:tblPrEx>
        <w:trPr>
          <w:trHeight w:val="390" w:hRule="atLeast"/>
        </w:trPr>
        <w:tc>
          <w:tcPr>
            <w:tcW w:w="0" w:type="auto"/>
            <w:gridSpan w:val="9"/>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2.本表以“万元”为金额单位（保留两位小数）。</w:t>
            </w:r>
          </w:p>
        </w:tc>
      </w:tr>
    </w:tbl>
    <w:p>
      <w:pPr>
        <w:rPr>
          <w:rFonts w:hint="eastAsia" w:ascii="仿宋_GB2312" w:eastAsia="仿宋_GB2312"/>
          <w:sz w:val="32"/>
          <w:szCs w:val="32"/>
        </w:rPr>
      </w:pPr>
    </w:p>
    <w:p>
      <w:pPr>
        <w:jc w:val="center"/>
        <w:rPr>
          <w:rFonts w:hint="eastAsia" w:ascii="方正小标宋简体" w:hAnsi="宋体" w:eastAsia="方正小标宋简体" w:cs="宋体"/>
          <w:kern w:val="0"/>
          <w:sz w:val="36"/>
          <w:szCs w:val="36"/>
        </w:rPr>
      </w:pPr>
    </w:p>
    <w:p>
      <w:pPr>
        <w:jc w:val="center"/>
        <w:rPr>
          <w:rFonts w:hint="eastAsia" w:ascii="方正小标宋简体" w:hAnsi="宋体" w:eastAsia="方正小标宋简体" w:cs="宋体"/>
          <w:kern w:val="0"/>
          <w:sz w:val="36"/>
          <w:szCs w:val="36"/>
        </w:rPr>
      </w:pPr>
    </w:p>
    <w:p>
      <w:pPr>
        <w:jc w:val="center"/>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w:t>
      </w:r>
      <w:r>
        <w:rPr>
          <w:rFonts w:ascii="方正小标宋简体" w:hAnsi="宋体" w:eastAsia="方正小标宋简体" w:cs="宋体"/>
          <w:kern w:val="0"/>
          <w:sz w:val="36"/>
          <w:szCs w:val="36"/>
        </w:rPr>
        <w:t>三公</w:t>
      </w:r>
      <w:r>
        <w:rPr>
          <w:rFonts w:hint="eastAsia" w:ascii="方正小标宋简体" w:hAnsi="宋体" w:eastAsia="方正小标宋简体" w:cs="宋体"/>
          <w:kern w:val="0"/>
          <w:sz w:val="36"/>
          <w:szCs w:val="36"/>
        </w:rPr>
        <w:t>”</w:t>
      </w:r>
      <w:r>
        <w:rPr>
          <w:rFonts w:ascii="方正小标宋简体" w:hAnsi="宋体" w:eastAsia="方正小标宋简体" w:cs="宋体"/>
          <w:kern w:val="0"/>
          <w:sz w:val="36"/>
          <w:szCs w:val="36"/>
        </w:rPr>
        <w:t>经费</w:t>
      </w:r>
      <w:r>
        <w:rPr>
          <w:rFonts w:hint="eastAsia" w:ascii="方正小标宋简体" w:hAnsi="宋体" w:eastAsia="方正小标宋简体" w:cs="宋体"/>
          <w:kern w:val="0"/>
          <w:sz w:val="36"/>
          <w:szCs w:val="36"/>
        </w:rPr>
        <w:t>支出决算表</w:t>
      </w:r>
    </w:p>
    <w:p>
      <w:pPr>
        <w:rPr>
          <w:rFonts w:hint="eastAsia"/>
        </w:rPr>
      </w:pPr>
    </w:p>
    <w:p>
      <w:pPr>
        <w:jc w:val="right"/>
        <w:rPr>
          <w:rFonts w:hint="eastAsia"/>
        </w:rPr>
      </w:pPr>
      <w:r>
        <w:rPr>
          <w:rFonts w:hint="eastAsia"/>
        </w:rPr>
        <w:t>单位：万元</w:t>
      </w:r>
    </w:p>
    <w:tbl>
      <w:tblPr>
        <w:tblStyle w:val="4"/>
        <w:tblW w:w="13921" w:type="dxa"/>
        <w:jc w:val="center"/>
        <w:tblLayout w:type="fixed"/>
        <w:tblCellMar>
          <w:top w:w="0" w:type="dxa"/>
          <w:left w:w="108" w:type="dxa"/>
          <w:bottom w:w="0" w:type="dxa"/>
          <w:right w:w="108" w:type="dxa"/>
        </w:tblCellMar>
      </w:tblPr>
      <w:tblGrid>
        <w:gridCol w:w="829"/>
        <w:gridCol w:w="1603"/>
        <w:gridCol w:w="828"/>
        <w:gridCol w:w="1242"/>
        <w:gridCol w:w="1242"/>
        <w:gridCol w:w="1216"/>
        <w:gridCol w:w="806"/>
        <w:gridCol w:w="1560"/>
        <w:gridCol w:w="806"/>
        <w:gridCol w:w="1398"/>
        <w:gridCol w:w="1208"/>
        <w:gridCol w:w="1183"/>
      </w:tblGrid>
      <w:tr>
        <w:tblPrEx>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lang w:eastAsia="zh-CN"/>
              </w:rPr>
              <w:t>201</w:t>
            </w:r>
            <w:r>
              <w:rPr>
                <w:rFonts w:hint="eastAsia" w:ascii="宋体" w:hAnsi="宋体" w:cs="Arial"/>
                <w:kern w:val="0"/>
                <w:sz w:val="22"/>
                <w:szCs w:val="22"/>
                <w:lang w:val="en-US" w:eastAsia="zh-CN"/>
              </w:rPr>
              <w:t>9</w:t>
            </w:r>
            <w:r>
              <w:rPr>
                <w:rFonts w:hint="eastAsia" w:ascii="宋体" w:hAnsi="宋体" w:cs="Arial"/>
                <w:kern w:val="0"/>
                <w:sz w:val="22"/>
                <w:szCs w:val="22"/>
              </w:rPr>
              <w:t>年度预算数</w:t>
            </w:r>
          </w:p>
        </w:tc>
        <w:tc>
          <w:tcPr>
            <w:tcW w:w="6961"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lang w:eastAsia="zh-CN"/>
              </w:rPr>
              <w:t>201</w:t>
            </w:r>
            <w:r>
              <w:rPr>
                <w:rFonts w:hint="eastAsia" w:ascii="宋体" w:hAnsi="宋体" w:cs="Arial"/>
                <w:kern w:val="0"/>
                <w:sz w:val="22"/>
                <w:szCs w:val="22"/>
                <w:lang w:val="en-US" w:eastAsia="zh-CN"/>
              </w:rPr>
              <w:t>9</w:t>
            </w:r>
            <w:r>
              <w:rPr>
                <w:rFonts w:hint="eastAsia" w:ascii="宋体" w:hAnsi="宋体" w:cs="Arial"/>
                <w:kern w:val="0"/>
                <w:sz w:val="22"/>
                <w:szCs w:val="22"/>
              </w:rPr>
              <w:t>年度决算数</w:t>
            </w:r>
          </w:p>
        </w:tc>
      </w:tr>
      <w:tr>
        <w:tblPrEx>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60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3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216"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c>
          <w:tcPr>
            <w:tcW w:w="80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60"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4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18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r>
      <w:tr>
        <w:tblPrEx>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0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2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216"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60"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39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0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18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600" w:hRule="atLeast"/>
          <w:jc w:val="center"/>
        </w:trPr>
        <w:tc>
          <w:tcPr>
            <w:tcW w:w="829" w:type="dxa"/>
            <w:tcBorders>
              <w:top w:val="nil"/>
              <w:left w:val="single" w:color="auto" w:sz="4" w:space="0"/>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03"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828"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42"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42"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16"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806"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56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806"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398"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08"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83"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564" w:hRule="atLeast"/>
          <w:jc w:val="center"/>
        </w:trPr>
        <w:tc>
          <w:tcPr>
            <w:tcW w:w="829" w:type="dxa"/>
            <w:tcBorders>
              <w:top w:val="nil"/>
              <w:left w:val="single" w:color="auto" w:sz="4" w:space="0"/>
              <w:bottom w:val="nil"/>
              <w:right w:val="single" w:color="auto" w:sz="4" w:space="0"/>
            </w:tcBorders>
            <w:vAlign w:val="top"/>
          </w:tcPr>
          <w:p>
            <w:pPr>
              <w:widowControl/>
              <w:ind w:firstLine="200" w:firstLineChars="100"/>
              <w:jc w:val="center"/>
              <w:rPr>
                <w:rFonts w:ascii="Arial" w:hAnsi="Arial" w:cs="Arial"/>
                <w:color w:val="000000"/>
                <w:kern w:val="0"/>
                <w:sz w:val="20"/>
                <w:szCs w:val="20"/>
              </w:rPr>
            </w:pPr>
            <w:r>
              <w:rPr>
                <w:rFonts w:hint="eastAsia" w:ascii="Arial" w:hAnsi="Arial" w:cs="Arial"/>
                <w:color w:val="000000"/>
                <w:kern w:val="0"/>
                <w:sz w:val="20"/>
                <w:szCs w:val="20"/>
                <w:lang w:val="en-US" w:eastAsia="zh-CN"/>
              </w:rPr>
              <w:t>3.02</w:t>
            </w:r>
          </w:p>
        </w:tc>
        <w:tc>
          <w:tcPr>
            <w:tcW w:w="1603" w:type="dxa"/>
            <w:tcBorders>
              <w:top w:val="nil"/>
              <w:left w:val="nil"/>
              <w:bottom w:val="nil"/>
              <w:right w:val="single" w:color="auto" w:sz="4" w:space="0"/>
            </w:tcBorders>
            <w:vAlign w:val="top"/>
          </w:tcPr>
          <w:p>
            <w:pPr>
              <w:widowControl/>
              <w:ind w:firstLine="200" w:firstLineChars="100"/>
              <w:jc w:val="center"/>
              <w:rPr>
                <w:rFonts w:ascii="Arial" w:hAnsi="Arial" w:cs="Arial"/>
                <w:color w:val="000000"/>
                <w:kern w:val="0"/>
                <w:sz w:val="20"/>
                <w:szCs w:val="20"/>
              </w:rPr>
            </w:pPr>
          </w:p>
        </w:tc>
        <w:tc>
          <w:tcPr>
            <w:tcW w:w="828" w:type="dxa"/>
            <w:tcBorders>
              <w:top w:val="nil"/>
              <w:left w:val="nil"/>
              <w:bottom w:val="nil"/>
              <w:right w:val="single" w:color="auto" w:sz="4" w:space="0"/>
            </w:tcBorders>
            <w:vAlign w:val="top"/>
          </w:tcPr>
          <w:p>
            <w:pPr>
              <w:widowControl/>
              <w:ind w:firstLine="200" w:firstLineChars="100"/>
              <w:jc w:val="center"/>
              <w:rPr>
                <w:rFonts w:hint="eastAsia"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2</w:t>
            </w:r>
          </w:p>
        </w:tc>
        <w:tc>
          <w:tcPr>
            <w:tcW w:w="1242" w:type="dxa"/>
            <w:tcBorders>
              <w:top w:val="nil"/>
              <w:left w:val="nil"/>
              <w:bottom w:val="nil"/>
              <w:right w:val="single" w:color="auto" w:sz="4" w:space="0"/>
            </w:tcBorders>
            <w:vAlign w:val="top"/>
          </w:tcPr>
          <w:p>
            <w:pPr>
              <w:widowControl/>
              <w:jc w:val="center"/>
              <w:rPr>
                <w:rFonts w:hint="eastAsia" w:ascii="Arial" w:hAnsi="Arial" w:eastAsia="宋体" w:cs="Arial"/>
                <w:color w:val="000000"/>
                <w:kern w:val="0"/>
                <w:sz w:val="20"/>
                <w:szCs w:val="20"/>
                <w:lang w:val="en-US" w:eastAsia="zh-CN"/>
              </w:rPr>
            </w:pPr>
          </w:p>
        </w:tc>
        <w:tc>
          <w:tcPr>
            <w:tcW w:w="1242" w:type="dxa"/>
            <w:tcBorders>
              <w:top w:val="nil"/>
              <w:left w:val="nil"/>
              <w:bottom w:val="nil"/>
              <w:right w:val="single" w:color="auto" w:sz="4" w:space="0"/>
            </w:tcBorders>
            <w:vAlign w:val="top"/>
          </w:tcPr>
          <w:p>
            <w:pPr>
              <w:widowControl/>
              <w:jc w:val="center"/>
              <w:rPr>
                <w:rFonts w:hint="eastAsia"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2</w:t>
            </w:r>
          </w:p>
        </w:tc>
        <w:tc>
          <w:tcPr>
            <w:tcW w:w="1216" w:type="dxa"/>
            <w:tcBorders>
              <w:top w:val="nil"/>
              <w:left w:val="nil"/>
              <w:bottom w:val="nil"/>
              <w:right w:val="single" w:color="auto" w:sz="4" w:space="0"/>
            </w:tcBorders>
            <w:vAlign w:val="top"/>
          </w:tcPr>
          <w:p>
            <w:pPr>
              <w:widowControl/>
              <w:ind w:firstLine="200" w:firstLineChars="100"/>
              <w:jc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1.02</w:t>
            </w:r>
          </w:p>
        </w:tc>
        <w:tc>
          <w:tcPr>
            <w:tcW w:w="806" w:type="dxa"/>
            <w:tcBorders>
              <w:top w:val="nil"/>
              <w:left w:val="nil"/>
              <w:bottom w:val="nil"/>
              <w:right w:val="single" w:color="auto" w:sz="4" w:space="0"/>
            </w:tcBorders>
            <w:vAlign w:val="top"/>
          </w:tcPr>
          <w:p>
            <w:pPr>
              <w:widowControl/>
              <w:ind w:firstLine="200" w:firstLineChars="100"/>
              <w:jc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2.15</w:t>
            </w:r>
          </w:p>
        </w:tc>
        <w:tc>
          <w:tcPr>
            <w:tcW w:w="1560" w:type="dxa"/>
            <w:tcBorders>
              <w:top w:val="nil"/>
              <w:left w:val="nil"/>
              <w:bottom w:val="nil"/>
              <w:right w:val="single" w:color="auto" w:sz="4" w:space="0"/>
            </w:tcBorders>
            <w:vAlign w:val="top"/>
          </w:tcPr>
          <w:p>
            <w:pPr>
              <w:widowControl/>
              <w:ind w:firstLine="200" w:firstLineChars="100"/>
              <w:jc w:val="center"/>
              <w:rPr>
                <w:rFonts w:ascii="Arial" w:hAnsi="Arial" w:cs="Arial"/>
                <w:color w:val="000000"/>
                <w:kern w:val="0"/>
                <w:sz w:val="20"/>
                <w:szCs w:val="20"/>
              </w:rPr>
            </w:pPr>
          </w:p>
        </w:tc>
        <w:tc>
          <w:tcPr>
            <w:tcW w:w="806" w:type="dxa"/>
            <w:tcBorders>
              <w:top w:val="nil"/>
              <w:left w:val="nil"/>
              <w:bottom w:val="nil"/>
              <w:right w:val="single" w:color="auto" w:sz="4" w:space="0"/>
            </w:tcBorders>
            <w:vAlign w:val="top"/>
          </w:tcPr>
          <w:p>
            <w:pPr>
              <w:widowControl/>
              <w:ind w:firstLine="200" w:firstLineChars="100"/>
              <w:jc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1.29</w:t>
            </w:r>
          </w:p>
        </w:tc>
        <w:tc>
          <w:tcPr>
            <w:tcW w:w="1398" w:type="dxa"/>
            <w:tcBorders>
              <w:top w:val="nil"/>
              <w:left w:val="nil"/>
              <w:bottom w:val="nil"/>
              <w:right w:val="single" w:color="auto" w:sz="4" w:space="0"/>
            </w:tcBorders>
            <w:vAlign w:val="top"/>
          </w:tcPr>
          <w:p>
            <w:pPr>
              <w:widowControl/>
              <w:ind w:firstLine="400" w:firstLineChars="200"/>
              <w:jc w:val="center"/>
              <w:rPr>
                <w:rFonts w:ascii="Arial" w:hAnsi="Arial" w:cs="Arial"/>
                <w:color w:val="000000"/>
                <w:kern w:val="0"/>
                <w:sz w:val="20"/>
                <w:szCs w:val="20"/>
              </w:rPr>
            </w:pPr>
          </w:p>
        </w:tc>
        <w:tc>
          <w:tcPr>
            <w:tcW w:w="1208" w:type="dxa"/>
            <w:tcBorders>
              <w:top w:val="nil"/>
              <w:left w:val="nil"/>
              <w:bottom w:val="nil"/>
              <w:right w:val="single" w:color="auto" w:sz="4" w:space="0"/>
            </w:tcBorders>
            <w:vAlign w:val="top"/>
          </w:tcPr>
          <w:p>
            <w:pPr>
              <w:widowControl/>
              <w:jc w:val="center"/>
              <w:rPr>
                <w:rFonts w:ascii="Arial" w:hAnsi="Arial" w:cs="Arial"/>
                <w:color w:val="000000"/>
                <w:kern w:val="0"/>
                <w:sz w:val="20"/>
                <w:szCs w:val="20"/>
              </w:rPr>
            </w:pPr>
            <w:r>
              <w:rPr>
                <w:rFonts w:hint="eastAsia" w:ascii="Arial" w:hAnsi="Arial" w:cs="Arial"/>
                <w:color w:val="000000"/>
                <w:kern w:val="0"/>
                <w:sz w:val="20"/>
                <w:szCs w:val="20"/>
                <w:lang w:val="en-US" w:eastAsia="zh-CN"/>
              </w:rPr>
              <w:t>1.29</w:t>
            </w:r>
          </w:p>
        </w:tc>
        <w:tc>
          <w:tcPr>
            <w:tcW w:w="1183" w:type="dxa"/>
            <w:tcBorders>
              <w:top w:val="nil"/>
              <w:left w:val="nil"/>
              <w:bottom w:val="nil"/>
              <w:right w:val="single" w:color="auto" w:sz="4" w:space="0"/>
            </w:tcBorders>
            <w:vAlign w:val="top"/>
          </w:tcPr>
          <w:p>
            <w:pPr>
              <w:widowControl/>
              <w:ind w:firstLine="200" w:firstLineChars="100"/>
              <w:jc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0.86</w:t>
            </w:r>
          </w:p>
        </w:tc>
      </w:tr>
    </w:tbl>
    <w:p>
      <w:pPr>
        <w:sectPr>
          <w:type w:val="continuous"/>
          <w:pgSz w:w="16838" w:h="11906" w:orient="landscape"/>
          <w:pgMar w:top="1797" w:right="1440" w:bottom="1797" w:left="1440" w:header="851" w:footer="992" w:gutter="0"/>
          <w:pgNumType w:fmt="numberInDash"/>
          <w:cols w:space="720" w:num="1"/>
          <w:docGrid w:type="lines" w:linePitch="312" w:charSpace="0"/>
        </w:sectPr>
      </w:pPr>
      <w:r>
        <w:rPr>
          <w:rFonts w:hint="eastAsia"/>
          <w:lang w:eastAsia="zh-CN"/>
        </w:rPr>
        <w:t>注：本表反映部门本年度“三公”经费支出预决算情况。其中，</w:t>
      </w:r>
      <w:r>
        <w:rPr>
          <w:rFonts w:hint="eastAsia"/>
          <w:lang w:val="en-US" w:eastAsia="zh-CN"/>
        </w:rPr>
        <w:t>2019年度预算数为“三公”经费年初预算数，决算数是包括当年一般公共预算财政拨款和以前年度结转资金安排的实际支出。</w:t>
      </w:r>
    </w:p>
    <w:p>
      <w:pPr>
        <w:bidi w:val="0"/>
        <w:rPr>
          <w:rFonts w:hint="eastAsia"/>
          <w:lang w:val="en-US" w:eastAsia="zh-CN"/>
        </w:rPr>
      </w:pPr>
    </w:p>
    <w:tbl>
      <w:tblPr>
        <w:tblStyle w:val="4"/>
        <w:tblW w:w="12714" w:type="dxa"/>
        <w:tblInd w:w="0" w:type="dxa"/>
        <w:shd w:val="clear" w:color="auto" w:fill="auto"/>
        <w:tblLayout w:type="autofit"/>
        <w:tblCellMar>
          <w:top w:w="0" w:type="dxa"/>
          <w:left w:w="0" w:type="dxa"/>
          <w:bottom w:w="0" w:type="dxa"/>
          <w:right w:w="0" w:type="dxa"/>
        </w:tblCellMar>
      </w:tblPr>
      <w:tblGrid>
        <w:gridCol w:w="4344"/>
        <w:gridCol w:w="204"/>
        <w:gridCol w:w="204"/>
        <w:gridCol w:w="204"/>
        <w:gridCol w:w="1284"/>
        <w:gridCol w:w="384"/>
        <w:gridCol w:w="204"/>
        <w:gridCol w:w="474"/>
        <w:gridCol w:w="384"/>
        <w:gridCol w:w="474"/>
        <w:gridCol w:w="744"/>
        <w:gridCol w:w="204"/>
        <w:gridCol w:w="474"/>
        <w:gridCol w:w="1284"/>
        <w:gridCol w:w="204"/>
        <w:gridCol w:w="360"/>
        <w:gridCol w:w="1284"/>
      </w:tblGrid>
      <w:tr>
        <w:tblPrEx>
          <w:shd w:val="clear" w:color="auto" w:fill="auto"/>
          <w:tblCellMar>
            <w:top w:w="0" w:type="dxa"/>
            <w:left w:w="0" w:type="dxa"/>
            <w:bottom w:w="0" w:type="dxa"/>
            <w:right w:w="0" w:type="dxa"/>
          </w:tblCellMar>
        </w:tblPrEx>
        <w:trPr>
          <w:trHeight w:val="450" w:hRule="atLeast"/>
        </w:trPr>
        <w:tc>
          <w:tcPr>
            <w:tcW w:w="12714" w:type="dxa"/>
            <w:gridSpan w:val="17"/>
            <w:tcBorders>
              <w:top w:val="nil"/>
              <w:left w:val="nil"/>
              <w:bottom w:val="nil"/>
              <w:right w:val="nil"/>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18"/>
                <w:szCs w:val="18"/>
                <w:u w:val="none"/>
              </w:rPr>
            </w:pPr>
            <w:r>
              <w:rPr>
                <w:rFonts w:hint="eastAsia" w:ascii="方正小标宋简体" w:hAnsi="宋体" w:eastAsia="方正小标宋简体" w:cs="宋体"/>
                <w:kern w:val="0"/>
                <w:sz w:val="36"/>
                <w:szCs w:val="36"/>
              </w:rPr>
              <w:t>表八：</w:t>
            </w:r>
            <w:r>
              <w:rPr>
                <w:rFonts w:hint="eastAsia" w:ascii="方正小标宋简体" w:hAnsi="宋体" w:eastAsia="方正小标宋简体" w:cs="宋体"/>
                <w:kern w:val="0"/>
                <w:sz w:val="36"/>
                <w:szCs w:val="36"/>
                <w:lang w:val="en-US" w:eastAsia="zh-CN"/>
              </w:rPr>
              <w:t>政府性基金预算财政拨款收入支出决算批复表</w:t>
            </w:r>
          </w:p>
        </w:tc>
      </w:tr>
      <w:tr>
        <w:tblPrEx>
          <w:tblCellMar>
            <w:top w:w="0" w:type="dxa"/>
            <w:left w:w="0" w:type="dxa"/>
            <w:bottom w:w="0" w:type="dxa"/>
            <w:right w:w="0" w:type="dxa"/>
          </w:tblCellMar>
        </w:tblPrEx>
        <w:trPr>
          <w:trHeight w:val="240" w:hRule="atLeast"/>
        </w:trPr>
        <w:tc>
          <w:tcPr>
            <w:tcW w:w="0" w:type="auto"/>
            <w:tcBorders>
              <w:top w:val="nil"/>
              <w:left w:val="nil"/>
              <w:bottom w:val="nil"/>
              <w:right w:val="nil"/>
            </w:tcBorders>
            <w:shd w:val="clear" w:color="auto" w:fill="FFFFFF"/>
            <w:noWrap/>
            <w:tcMar>
              <w:top w:w="12" w:type="dxa"/>
              <w:left w:w="12" w:type="dxa"/>
              <w:right w:w="12" w:type="dxa"/>
            </w:tcMar>
            <w:vAlign w:val="bottom"/>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2" w:type="dxa"/>
              <w:left w:w="12" w:type="dxa"/>
              <w:right w:w="12" w:type="dxa"/>
            </w:tcMar>
            <w:vAlign w:val="bottom"/>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2" w:type="dxa"/>
              <w:left w:w="12" w:type="dxa"/>
              <w:right w:w="12" w:type="dxa"/>
            </w:tcMar>
            <w:vAlign w:val="bottom"/>
          </w:tcPr>
          <w:p>
            <w:pPr>
              <w:rPr>
                <w:rFonts w:hint="eastAsia" w:ascii="宋体" w:hAnsi="宋体" w:eastAsia="宋体" w:cs="宋体"/>
                <w:i w:val="0"/>
                <w:color w:val="000000"/>
                <w:sz w:val="18"/>
                <w:szCs w:val="18"/>
                <w:u w:val="none"/>
              </w:rPr>
            </w:pPr>
          </w:p>
        </w:tc>
        <w:tc>
          <w:tcPr>
            <w:tcW w:w="204" w:type="dxa"/>
            <w:tcBorders>
              <w:top w:val="nil"/>
              <w:left w:val="nil"/>
              <w:bottom w:val="nil"/>
              <w:right w:val="nil"/>
            </w:tcBorders>
            <w:shd w:val="clear" w:color="auto" w:fill="FFFFFF"/>
            <w:tcMar>
              <w:top w:w="12" w:type="dxa"/>
              <w:left w:w="12" w:type="dxa"/>
              <w:right w:w="12" w:type="dxa"/>
            </w:tcMar>
            <w:vAlign w:val="bottom"/>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2" w:type="dxa"/>
              <w:left w:w="12" w:type="dxa"/>
              <w:right w:w="12" w:type="dxa"/>
            </w:tcMar>
            <w:vAlign w:val="bottom"/>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2" w:type="dxa"/>
              <w:left w:w="12" w:type="dxa"/>
              <w:right w:w="12" w:type="dxa"/>
            </w:tcMar>
            <w:vAlign w:val="bottom"/>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2" w:type="dxa"/>
              <w:left w:w="12" w:type="dxa"/>
              <w:right w:w="12" w:type="dxa"/>
            </w:tcMar>
            <w:vAlign w:val="bottom"/>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2" w:type="dxa"/>
              <w:left w:w="12" w:type="dxa"/>
              <w:right w:w="12" w:type="dxa"/>
            </w:tcMar>
            <w:vAlign w:val="bottom"/>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2" w:type="dxa"/>
              <w:left w:w="12" w:type="dxa"/>
              <w:right w:w="12" w:type="dxa"/>
            </w:tcMar>
            <w:vAlign w:val="bottom"/>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2" w:type="dxa"/>
              <w:left w:w="12" w:type="dxa"/>
              <w:right w:w="12" w:type="dxa"/>
            </w:tcMar>
            <w:vAlign w:val="bottom"/>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2" w:type="dxa"/>
              <w:left w:w="12" w:type="dxa"/>
              <w:right w:w="12" w:type="dxa"/>
            </w:tcMar>
            <w:vAlign w:val="bottom"/>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2" w:type="dxa"/>
              <w:left w:w="12" w:type="dxa"/>
              <w:right w:w="12" w:type="dxa"/>
            </w:tcMar>
            <w:vAlign w:val="bottom"/>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2" w:type="dxa"/>
              <w:left w:w="12" w:type="dxa"/>
              <w:right w:w="12" w:type="dxa"/>
            </w:tcMar>
            <w:vAlign w:val="bottom"/>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2" w:type="dxa"/>
              <w:left w:w="12" w:type="dxa"/>
              <w:right w:w="12" w:type="dxa"/>
            </w:tcMar>
            <w:vAlign w:val="bottom"/>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2" w:type="dxa"/>
              <w:left w:w="12" w:type="dxa"/>
              <w:right w:w="12" w:type="dxa"/>
            </w:tcMar>
            <w:vAlign w:val="bottom"/>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2" w:type="dxa"/>
              <w:left w:w="12" w:type="dxa"/>
              <w:right w:w="12" w:type="dxa"/>
            </w:tcMar>
            <w:vAlign w:val="bottom"/>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财决批复</w:t>
            </w:r>
            <w:r>
              <w:rPr>
                <w:rStyle w:val="11"/>
                <w:rFonts w:eastAsia="宋体"/>
                <w:lang w:val="en-US" w:eastAsia="zh-CN" w:bidi="ar"/>
              </w:rPr>
              <w:t>07</w:t>
            </w:r>
            <w:r>
              <w:rPr>
                <w:rStyle w:val="12"/>
                <w:lang w:val="en-US" w:eastAsia="zh-CN" w:bidi="ar"/>
              </w:rPr>
              <w:t>表</w:t>
            </w:r>
          </w:p>
        </w:tc>
      </w:tr>
      <w:tr>
        <w:tblPrEx>
          <w:tblCellMar>
            <w:top w:w="0" w:type="dxa"/>
            <w:left w:w="0" w:type="dxa"/>
            <w:bottom w:w="0" w:type="dxa"/>
            <w:right w:w="0" w:type="dxa"/>
          </w:tblCellMar>
        </w:tblPrEx>
        <w:trPr>
          <w:trHeight w:val="216" w:hRule="atLeast"/>
        </w:trPr>
        <w:tc>
          <w:tcPr>
            <w:tcW w:w="0" w:type="auto"/>
            <w:tcBorders>
              <w:top w:val="nil"/>
              <w:left w:val="nil"/>
              <w:bottom w:val="nil"/>
              <w:right w:val="nil"/>
            </w:tcBorders>
            <w:shd w:val="clear" w:color="auto" w:fill="FFFFFF"/>
            <w:noWrap/>
            <w:tcMar>
              <w:top w:w="12" w:type="dxa"/>
              <w:left w:w="12" w:type="dxa"/>
              <w:right w:w="12"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部门：柳州市残疾人联合会</w:t>
            </w:r>
          </w:p>
        </w:tc>
        <w:tc>
          <w:tcPr>
            <w:tcW w:w="0" w:type="auto"/>
            <w:tcBorders>
              <w:top w:val="nil"/>
              <w:left w:val="nil"/>
              <w:bottom w:val="nil"/>
              <w:right w:val="nil"/>
            </w:tcBorders>
            <w:shd w:val="clear" w:color="auto" w:fill="FFFFFF"/>
            <w:noWrap/>
            <w:tcMar>
              <w:top w:w="12" w:type="dxa"/>
              <w:left w:w="12" w:type="dxa"/>
              <w:right w:w="12" w:type="dxa"/>
            </w:tcMar>
            <w:vAlign w:val="bottom"/>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2" w:type="dxa"/>
              <w:left w:w="12" w:type="dxa"/>
              <w:right w:w="12" w:type="dxa"/>
            </w:tcMar>
            <w:vAlign w:val="bottom"/>
          </w:tcPr>
          <w:p>
            <w:pPr>
              <w:rPr>
                <w:rFonts w:hint="eastAsia" w:ascii="宋体" w:hAnsi="宋体" w:eastAsia="宋体" w:cs="宋体"/>
                <w:i w:val="0"/>
                <w:color w:val="000000"/>
                <w:sz w:val="18"/>
                <w:szCs w:val="18"/>
                <w:u w:val="none"/>
              </w:rPr>
            </w:pPr>
          </w:p>
        </w:tc>
        <w:tc>
          <w:tcPr>
            <w:tcW w:w="204" w:type="dxa"/>
            <w:tcBorders>
              <w:top w:val="nil"/>
              <w:left w:val="nil"/>
              <w:bottom w:val="nil"/>
              <w:right w:val="nil"/>
            </w:tcBorders>
            <w:shd w:val="clear" w:color="auto" w:fill="FFFFFF"/>
            <w:tcMar>
              <w:top w:w="12" w:type="dxa"/>
              <w:left w:w="12" w:type="dxa"/>
              <w:right w:w="12" w:type="dxa"/>
            </w:tcMar>
            <w:vAlign w:val="bottom"/>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2" w:type="dxa"/>
              <w:left w:w="12" w:type="dxa"/>
              <w:right w:w="12" w:type="dxa"/>
            </w:tcMar>
            <w:vAlign w:val="bottom"/>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2" w:type="dxa"/>
              <w:left w:w="12" w:type="dxa"/>
              <w:right w:w="12" w:type="dxa"/>
            </w:tcMar>
            <w:vAlign w:val="bottom"/>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2" w:type="dxa"/>
              <w:left w:w="12" w:type="dxa"/>
              <w:right w:w="12" w:type="dxa"/>
            </w:tcMar>
            <w:vAlign w:val="bottom"/>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2" w:type="dxa"/>
              <w:left w:w="12" w:type="dxa"/>
              <w:right w:w="12" w:type="dxa"/>
            </w:tcMar>
            <w:vAlign w:val="bottom"/>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2" w:type="dxa"/>
              <w:left w:w="12" w:type="dxa"/>
              <w:right w:w="12" w:type="dxa"/>
            </w:tcMar>
            <w:vAlign w:val="bottom"/>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2" w:type="dxa"/>
              <w:left w:w="12" w:type="dxa"/>
              <w:right w:w="12" w:type="dxa"/>
            </w:tcMar>
            <w:vAlign w:val="bottom"/>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2" w:type="dxa"/>
              <w:left w:w="12" w:type="dxa"/>
              <w:right w:w="12" w:type="dxa"/>
            </w:tcMar>
            <w:vAlign w:val="bottom"/>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2" w:type="dxa"/>
              <w:left w:w="12" w:type="dxa"/>
              <w:right w:w="12" w:type="dxa"/>
            </w:tcMar>
            <w:vAlign w:val="bottom"/>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2" w:type="dxa"/>
              <w:left w:w="12" w:type="dxa"/>
              <w:right w:w="12" w:type="dxa"/>
            </w:tcMar>
            <w:vAlign w:val="bottom"/>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2" w:type="dxa"/>
              <w:left w:w="12" w:type="dxa"/>
              <w:right w:w="12" w:type="dxa"/>
            </w:tcMar>
            <w:vAlign w:val="bottom"/>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2" w:type="dxa"/>
              <w:left w:w="12" w:type="dxa"/>
              <w:right w:w="12" w:type="dxa"/>
            </w:tcMar>
            <w:vAlign w:val="bottom"/>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2" w:type="dxa"/>
              <w:left w:w="12" w:type="dxa"/>
              <w:right w:w="12" w:type="dxa"/>
            </w:tcMar>
            <w:vAlign w:val="bottom"/>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金额单位：万元</w:t>
            </w:r>
          </w:p>
        </w:tc>
      </w:tr>
      <w:tr>
        <w:tblPrEx>
          <w:tblCellMar>
            <w:top w:w="0" w:type="dxa"/>
            <w:left w:w="0" w:type="dxa"/>
            <w:bottom w:w="0" w:type="dxa"/>
            <w:right w:w="0" w:type="dxa"/>
          </w:tblCellMar>
        </w:tblPrEx>
        <w:trPr>
          <w:trHeight w:val="600" w:hRule="atLeast"/>
        </w:trPr>
        <w:tc>
          <w:tcPr>
            <w:tcW w:w="4752"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科目编码</w:t>
            </w:r>
          </w:p>
        </w:tc>
        <w:tc>
          <w:tcPr>
            <w:tcW w:w="20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both"/>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both"/>
              <w:rPr>
                <w:rFonts w:hint="eastAsia" w:ascii="宋体" w:hAnsi="宋体" w:eastAsia="宋体" w:cs="宋体"/>
                <w:i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本年收入</w:t>
            </w:r>
          </w:p>
        </w:tc>
        <w:tc>
          <w:tcPr>
            <w:tcW w:w="3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宋体" w:hAnsi="宋体" w:eastAsia="宋体" w:cs="宋体"/>
                <w:i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both"/>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both"/>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both"/>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both"/>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both"/>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0" w:hRule="atLeast"/>
        </w:trPr>
        <w:tc>
          <w:tcPr>
            <w:tcW w:w="4752"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2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38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基本支出结转</w:t>
            </w:r>
          </w:p>
        </w:tc>
        <w:tc>
          <w:tcPr>
            <w:tcW w:w="20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项目支出结转和结余</w:t>
            </w:r>
          </w:p>
        </w:tc>
        <w:tc>
          <w:tcPr>
            <w:tcW w:w="47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38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支出</w:t>
            </w:r>
          </w:p>
        </w:tc>
        <w:tc>
          <w:tcPr>
            <w:tcW w:w="47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支出</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20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支出</w:t>
            </w:r>
          </w:p>
        </w:tc>
        <w:tc>
          <w:tcPr>
            <w:tcW w:w="47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支出</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20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基本支出结转</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项目支出结转和结余</w:t>
            </w:r>
          </w:p>
        </w:tc>
      </w:tr>
      <w:tr>
        <w:tblPrEx>
          <w:tblCellMar>
            <w:top w:w="0" w:type="dxa"/>
            <w:left w:w="0" w:type="dxa"/>
            <w:bottom w:w="0" w:type="dxa"/>
            <w:right w:w="0" w:type="dxa"/>
          </w:tblCellMar>
        </w:tblPrEx>
        <w:trPr>
          <w:trHeight w:val="1065" w:hRule="atLeast"/>
        </w:trPr>
        <w:tc>
          <w:tcPr>
            <w:tcW w:w="4752"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2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3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2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3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2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2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项目支出结转</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项目支出结余</w:t>
            </w:r>
          </w:p>
        </w:tc>
      </w:tr>
      <w:tr>
        <w:tblPrEx>
          <w:tblCellMar>
            <w:top w:w="0" w:type="dxa"/>
            <w:left w:w="0" w:type="dxa"/>
            <w:bottom w:w="0" w:type="dxa"/>
            <w:right w:w="0" w:type="dxa"/>
          </w:tblCellMar>
        </w:tblPrEx>
        <w:trPr>
          <w:trHeight w:val="402" w:hRule="atLeast"/>
        </w:trPr>
        <w:tc>
          <w:tcPr>
            <w:tcW w:w="434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类</w:t>
            </w:r>
          </w:p>
        </w:tc>
        <w:tc>
          <w:tcPr>
            <w:tcW w:w="20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款</w:t>
            </w:r>
          </w:p>
        </w:tc>
        <w:tc>
          <w:tcPr>
            <w:tcW w:w="20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2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栏次</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3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2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r>
      <w:tr>
        <w:tblPrEx>
          <w:tblCellMar>
            <w:top w:w="0" w:type="dxa"/>
            <w:left w:w="0" w:type="dxa"/>
            <w:bottom w:w="0" w:type="dxa"/>
            <w:right w:w="0" w:type="dxa"/>
          </w:tblCellMar>
        </w:tblPrEx>
        <w:trPr>
          <w:trHeight w:val="480" w:hRule="atLeast"/>
        </w:trPr>
        <w:tc>
          <w:tcPr>
            <w:tcW w:w="43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2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2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2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3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63.00</w:t>
            </w:r>
          </w:p>
        </w:tc>
        <w:tc>
          <w:tcPr>
            <w:tcW w:w="3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63.00</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63.00</w:t>
            </w:r>
          </w:p>
        </w:tc>
        <w:tc>
          <w:tcPr>
            <w:tcW w:w="2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63.00</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2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r>
      <w:tr>
        <w:tblPrEx>
          <w:tblCellMar>
            <w:top w:w="0" w:type="dxa"/>
            <w:left w:w="0" w:type="dxa"/>
            <w:bottom w:w="0" w:type="dxa"/>
            <w:right w:w="0" w:type="dxa"/>
          </w:tblCellMar>
        </w:tblPrEx>
        <w:trPr>
          <w:trHeight w:val="480" w:hRule="atLeast"/>
        </w:trPr>
        <w:tc>
          <w:tcPr>
            <w:tcW w:w="4752"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229</w:t>
            </w:r>
          </w:p>
        </w:tc>
        <w:tc>
          <w:tcPr>
            <w:tcW w:w="2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其他支出</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3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2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63.00</w:t>
            </w:r>
          </w:p>
        </w:tc>
        <w:tc>
          <w:tcPr>
            <w:tcW w:w="3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63.00</w:t>
            </w:r>
          </w:p>
        </w:tc>
        <w:tc>
          <w:tcPr>
            <w:tcW w:w="2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2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r>
      <w:tr>
        <w:tblPrEx>
          <w:tblCellMar>
            <w:top w:w="0" w:type="dxa"/>
            <w:left w:w="0" w:type="dxa"/>
            <w:bottom w:w="0" w:type="dxa"/>
            <w:right w:w="0" w:type="dxa"/>
          </w:tblCellMar>
        </w:tblPrEx>
        <w:trPr>
          <w:trHeight w:val="480" w:hRule="atLeast"/>
        </w:trPr>
        <w:tc>
          <w:tcPr>
            <w:tcW w:w="4752"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22960</w:t>
            </w:r>
          </w:p>
        </w:tc>
        <w:tc>
          <w:tcPr>
            <w:tcW w:w="2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彩票公益金安排的支出</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3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2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63.00</w:t>
            </w:r>
          </w:p>
        </w:tc>
        <w:tc>
          <w:tcPr>
            <w:tcW w:w="3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63.00</w:t>
            </w:r>
          </w:p>
        </w:tc>
        <w:tc>
          <w:tcPr>
            <w:tcW w:w="2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2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r>
      <w:tr>
        <w:tblPrEx>
          <w:tblCellMar>
            <w:top w:w="0" w:type="dxa"/>
            <w:left w:w="0" w:type="dxa"/>
            <w:bottom w:w="0" w:type="dxa"/>
            <w:right w:w="0" w:type="dxa"/>
          </w:tblCellMar>
        </w:tblPrEx>
        <w:trPr>
          <w:trHeight w:val="480" w:hRule="atLeast"/>
        </w:trPr>
        <w:tc>
          <w:tcPr>
            <w:tcW w:w="4752"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2296006</w:t>
            </w:r>
          </w:p>
        </w:tc>
        <w:tc>
          <w:tcPr>
            <w:tcW w:w="2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用于残疾人事业的彩票公益金支出</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3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2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w:t>
            </w:r>
          </w:p>
        </w:tc>
        <w:tc>
          <w:tcPr>
            <w:tcW w:w="3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w:t>
            </w:r>
          </w:p>
        </w:tc>
        <w:tc>
          <w:tcPr>
            <w:tcW w:w="2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2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r>
      <w:tr>
        <w:tblPrEx>
          <w:tblCellMar>
            <w:top w:w="0" w:type="dxa"/>
            <w:left w:w="0" w:type="dxa"/>
            <w:bottom w:w="0" w:type="dxa"/>
            <w:right w:w="0" w:type="dxa"/>
          </w:tblCellMar>
        </w:tblPrEx>
        <w:trPr>
          <w:trHeight w:val="402" w:hRule="atLeast"/>
        </w:trPr>
        <w:tc>
          <w:tcPr>
            <w:tcW w:w="0" w:type="auto"/>
            <w:gridSpan w:val="17"/>
            <w:tcBorders>
              <w:top w:val="single" w:color="000000" w:sz="4" w:space="0"/>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注：1.本表依据《政府性基金预算财政拨款收入支出决算表》（财决09表）进行批复。</w:t>
            </w:r>
          </w:p>
        </w:tc>
      </w:tr>
      <w:tr>
        <w:tblPrEx>
          <w:tblCellMar>
            <w:top w:w="0" w:type="dxa"/>
            <w:left w:w="0" w:type="dxa"/>
            <w:bottom w:w="0" w:type="dxa"/>
            <w:right w:w="0" w:type="dxa"/>
          </w:tblCellMar>
        </w:tblPrEx>
        <w:trPr>
          <w:trHeight w:val="402" w:hRule="atLeast"/>
        </w:trPr>
        <w:tc>
          <w:tcPr>
            <w:tcW w:w="0" w:type="auto"/>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2.本表批复到项级科目。</w:t>
            </w: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204" w:type="dxa"/>
            <w:tcBorders>
              <w:top w:val="nil"/>
              <w:left w:val="nil"/>
              <w:bottom w:val="nil"/>
              <w:right w:val="nil"/>
            </w:tcBorders>
            <w:shd w:val="clear" w:color="auto" w:fill="auto"/>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02" w:hRule="atLeast"/>
        </w:trPr>
        <w:tc>
          <w:tcPr>
            <w:tcW w:w="0" w:type="auto"/>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3.本表以“万元”为金额单位（保留两位小数）。</w:t>
            </w: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204" w:type="dxa"/>
            <w:tcBorders>
              <w:top w:val="nil"/>
              <w:left w:val="nil"/>
              <w:bottom w:val="nil"/>
              <w:right w:val="nil"/>
            </w:tcBorders>
            <w:shd w:val="clear" w:color="auto" w:fill="auto"/>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bl>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13286"/>
        </w:tabs>
        <w:bidi w:val="0"/>
        <w:rPr>
          <w:rFonts w:hint="eastAsia"/>
          <w:lang w:val="en-US" w:eastAsia="zh-CN"/>
        </w:rPr>
        <w:sectPr>
          <w:pgSz w:w="16838" w:h="11906" w:orient="landscape"/>
          <w:pgMar w:top="1797" w:right="1440" w:bottom="1797" w:left="1440" w:header="851" w:footer="992" w:gutter="0"/>
          <w:pgNumType w:fmt="numberInDash"/>
          <w:cols w:space="720" w:num="1"/>
          <w:docGrid w:type="lines" w:linePitch="312" w:charSpace="0"/>
        </w:sectPr>
      </w:pPr>
    </w:p>
    <w:p>
      <w:pPr>
        <w:tabs>
          <w:tab w:val="left" w:pos="7338"/>
        </w:tabs>
        <w:bidi w:val="0"/>
        <w:jc w:val="left"/>
        <w:rPr>
          <w:rFonts w:hint="eastAsia" w:ascii="仿宋_GB2312" w:eastAsia="仿宋_GB2312"/>
          <w:b/>
          <w:spacing w:val="-20"/>
          <w:sz w:val="32"/>
          <w:szCs w:val="32"/>
        </w:rPr>
      </w:pPr>
      <w:r>
        <w:rPr>
          <w:rFonts w:hint="eastAsia" w:ascii="仿宋_GB2312" w:eastAsia="仿宋_GB2312"/>
          <w:b/>
          <w:spacing w:val="-20"/>
          <w:sz w:val="32"/>
          <w:szCs w:val="32"/>
        </w:rPr>
        <w:t>第三部分：</w:t>
      </w:r>
      <w:r>
        <w:rPr>
          <w:rFonts w:hint="eastAsia" w:ascii="仿宋_GB2312" w:hAnsi="黑体" w:eastAsia="仿宋_GB2312"/>
          <w:b/>
          <w:bCs/>
          <w:color w:val="000000"/>
          <w:spacing w:val="-20"/>
          <w:sz w:val="32"/>
          <w:szCs w:val="32"/>
        </w:rPr>
        <w:t>柳州市残疾人联合会</w:t>
      </w:r>
      <w:r>
        <w:rPr>
          <w:rFonts w:hint="eastAsia" w:ascii="仿宋_GB2312" w:eastAsia="仿宋_GB2312"/>
          <w:b/>
          <w:spacing w:val="-20"/>
          <w:sz w:val="32"/>
          <w:szCs w:val="32"/>
        </w:rPr>
        <w:t>2018年度部门决算情况说明</w:t>
      </w:r>
    </w:p>
    <w:p>
      <w:pPr>
        <w:autoSpaceDE w:val="0"/>
        <w:autoSpaceDN w:val="0"/>
        <w:adjustRightInd w:val="0"/>
        <w:spacing w:line="560" w:lineRule="exact"/>
        <w:ind w:firstLine="643" w:firstLineChars="200"/>
        <w:jc w:val="left"/>
        <w:rPr>
          <w:rFonts w:hint="eastAsia"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lang w:eastAsia="zh-CN"/>
        </w:rPr>
        <w:t>201</w:t>
      </w:r>
      <w:r>
        <w:rPr>
          <w:rFonts w:hint="eastAsia" w:eastAsia="仿宋_GB2312"/>
          <w:b/>
          <w:kern w:val="0"/>
          <w:sz w:val="32"/>
          <w:szCs w:val="32"/>
          <w:lang w:val="en-US" w:eastAsia="zh-CN"/>
        </w:rPr>
        <w:t>9</w:t>
      </w:r>
      <w:r>
        <w:rPr>
          <w:rFonts w:hint="eastAsia" w:ascii="仿宋_GB2312" w:eastAsia="仿宋_GB2312" w:cs="仿宋_GB2312"/>
          <w:b/>
          <w:kern w:val="0"/>
          <w:sz w:val="32"/>
          <w:szCs w:val="32"/>
        </w:rPr>
        <w:t>年度收入支出决算总体情况</w:t>
      </w:r>
    </w:p>
    <w:p>
      <w:pPr>
        <w:autoSpaceDE w:val="0"/>
        <w:autoSpaceDN w:val="0"/>
        <w:adjustRightInd w:val="0"/>
        <w:spacing w:line="560" w:lineRule="exact"/>
        <w:ind w:firstLine="643" w:firstLineChars="200"/>
        <w:jc w:val="left"/>
        <w:rPr>
          <w:rFonts w:hint="eastAsia" w:ascii="仿宋_GB2312" w:eastAsia="仿宋_GB2312" w:cs="仿宋_GB2312"/>
          <w:b w:val="0"/>
          <w:bCs/>
          <w:kern w:val="0"/>
          <w:sz w:val="32"/>
          <w:szCs w:val="32"/>
        </w:rPr>
      </w:pPr>
      <w:r>
        <w:rPr>
          <w:rFonts w:hint="eastAsia" w:ascii="仿宋_GB2312" w:eastAsia="仿宋_GB2312" w:cs="仿宋_GB2312"/>
          <w:b/>
          <w:kern w:val="0"/>
          <w:sz w:val="32"/>
          <w:szCs w:val="32"/>
        </w:rPr>
        <w:t xml:space="preserve"> </w:t>
      </w:r>
      <w:r>
        <w:rPr>
          <w:rFonts w:hint="eastAsia" w:ascii="仿宋_GB2312" w:eastAsia="仿宋_GB2312" w:cs="仿宋_GB2312"/>
          <w:b w:val="0"/>
          <w:bCs/>
          <w:kern w:val="0"/>
          <w:sz w:val="32"/>
          <w:szCs w:val="32"/>
          <w:lang w:eastAsia="zh-CN"/>
        </w:rPr>
        <w:t>201</w:t>
      </w:r>
      <w:r>
        <w:rPr>
          <w:rFonts w:hint="eastAsia" w:ascii="仿宋_GB2312" w:eastAsia="仿宋_GB2312" w:cs="仿宋_GB2312"/>
          <w:b w:val="0"/>
          <w:bCs/>
          <w:kern w:val="0"/>
          <w:sz w:val="32"/>
          <w:szCs w:val="32"/>
          <w:lang w:val="en-US" w:eastAsia="zh-CN"/>
        </w:rPr>
        <w:t>9</w:t>
      </w:r>
      <w:r>
        <w:rPr>
          <w:rFonts w:hint="eastAsia" w:ascii="仿宋_GB2312" w:eastAsia="仿宋_GB2312" w:cs="仿宋_GB2312"/>
          <w:b w:val="0"/>
          <w:bCs/>
          <w:kern w:val="0"/>
          <w:sz w:val="32"/>
          <w:szCs w:val="32"/>
        </w:rPr>
        <w:t>年度收入总计</w:t>
      </w:r>
      <w:r>
        <w:rPr>
          <w:rFonts w:hint="eastAsia" w:ascii="仿宋_GB2312" w:eastAsia="仿宋_GB2312" w:cs="仿宋_GB2312"/>
          <w:b w:val="0"/>
          <w:bCs/>
          <w:kern w:val="0"/>
          <w:sz w:val="32"/>
          <w:szCs w:val="32"/>
          <w:lang w:val="en-US" w:eastAsia="zh-CN"/>
        </w:rPr>
        <w:t>7050.54</w:t>
      </w:r>
      <w:r>
        <w:rPr>
          <w:rFonts w:hint="eastAsia" w:ascii="仿宋_GB2312" w:eastAsia="仿宋_GB2312" w:cs="仿宋_GB2312"/>
          <w:b w:val="0"/>
          <w:bCs/>
          <w:kern w:val="0"/>
          <w:sz w:val="32"/>
          <w:szCs w:val="32"/>
        </w:rPr>
        <w:t>万元，支出总计</w:t>
      </w:r>
      <w:r>
        <w:rPr>
          <w:rFonts w:hint="eastAsia" w:ascii="仿宋_GB2312" w:eastAsia="仿宋_GB2312" w:cs="仿宋_GB2312"/>
          <w:b w:val="0"/>
          <w:bCs/>
          <w:kern w:val="0"/>
          <w:sz w:val="32"/>
          <w:szCs w:val="32"/>
          <w:lang w:val="en-US" w:eastAsia="zh-CN"/>
        </w:rPr>
        <w:t>7050.54</w:t>
      </w:r>
      <w:r>
        <w:rPr>
          <w:rFonts w:hint="eastAsia" w:ascii="仿宋_GB2312" w:eastAsia="仿宋_GB2312" w:cs="仿宋_GB2312"/>
          <w:b w:val="0"/>
          <w:bCs/>
          <w:kern w:val="0"/>
          <w:sz w:val="32"/>
          <w:szCs w:val="32"/>
        </w:rPr>
        <w:t>万元，与</w:t>
      </w:r>
      <w:r>
        <w:rPr>
          <w:rFonts w:hint="eastAsia" w:ascii="仿宋_GB2312" w:eastAsia="仿宋_GB2312" w:cs="仿宋_GB2312"/>
          <w:b w:val="0"/>
          <w:bCs/>
          <w:kern w:val="0"/>
          <w:sz w:val="32"/>
          <w:szCs w:val="32"/>
          <w:lang w:eastAsia="zh-CN"/>
        </w:rPr>
        <w:t>201</w:t>
      </w:r>
      <w:r>
        <w:rPr>
          <w:rFonts w:hint="eastAsia" w:ascii="仿宋_GB2312" w:eastAsia="仿宋_GB2312" w:cs="仿宋_GB2312"/>
          <w:b w:val="0"/>
          <w:bCs/>
          <w:kern w:val="0"/>
          <w:sz w:val="32"/>
          <w:szCs w:val="32"/>
          <w:lang w:val="en-US" w:eastAsia="zh-CN"/>
        </w:rPr>
        <w:t>8</w:t>
      </w:r>
      <w:r>
        <w:rPr>
          <w:rFonts w:hint="eastAsia" w:ascii="仿宋_GB2312" w:eastAsia="仿宋_GB2312" w:cs="仿宋_GB2312"/>
          <w:b w:val="0"/>
          <w:bCs/>
          <w:kern w:val="0"/>
          <w:sz w:val="32"/>
          <w:szCs w:val="32"/>
        </w:rPr>
        <w:t>年相比，收、支分别</w:t>
      </w:r>
      <w:r>
        <w:rPr>
          <w:rFonts w:hint="eastAsia" w:ascii="仿宋_GB2312" w:eastAsia="仿宋_GB2312" w:cs="仿宋_GB2312"/>
          <w:b w:val="0"/>
          <w:bCs/>
          <w:kern w:val="0"/>
          <w:sz w:val="32"/>
          <w:szCs w:val="32"/>
          <w:lang w:eastAsia="zh-CN"/>
        </w:rPr>
        <w:t>减少</w:t>
      </w:r>
      <w:r>
        <w:rPr>
          <w:rFonts w:hint="eastAsia" w:ascii="仿宋_GB2312" w:eastAsia="仿宋_GB2312" w:cs="仿宋_GB2312"/>
          <w:b w:val="0"/>
          <w:bCs/>
          <w:kern w:val="0"/>
          <w:sz w:val="32"/>
          <w:szCs w:val="32"/>
          <w:lang w:val="en-US" w:eastAsia="zh-CN"/>
        </w:rPr>
        <w:t>655.16万元</w:t>
      </w:r>
      <w:r>
        <w:rPr>
          <w:rFonts w:hint="eastAsia" w:ascii="仿宋_GB2312" w:eastAsia="仿宋_GB2312" w:cs="仿宋_GB2312"/>
          <w:b w:val="0"/>
          <w:bCs/>
          <w:kern w:val="0"/>
          <w:sz w:val="32"/>
          <w:szCs w:val="32"/>
        </w:rPr>
        <w:t>；分别</w:t>
      </w:r>
      <w:r>
        <w:rPr>
          <w:rFonts w:hint="eastAsia" w:ascii="仿宋_GB2312" w:eastAsia="仿宋_GB2312" w:cs="仿宋_GB2312"/>
          <w:b w:val="0"/>
          <w:bCs/>
          <w:kern w:val="0"/>
          <w:sz w:val="32"/>
          <w:szCs w:val="32"/>
          <w:lang w:eastAsia="zh-CN"/>
        </w:rPr>
        <w:t>减少</w:t>
      </w:r>
      <w:r>
        <w:rPr>
          <w:rFonts w:hint="eastAsia" w:ascii="仿宋_GB2312" w:eastAsia="仿宋_GB2312" w:cs="仿宋_GB2312"/>
          <w:b w:val="0"/>
          <w:bCs/>
          <w:kern w:val="0"/>
          <w:sz w:val="32"/>
          <w:szCs w:val="32"/>
          <w:lang w:val="en-US" w:eastAsia="zh-CN"/>
        </w:rPr>
        <w:t>8.50</w:t>
      </w:r>
      <w:r>
        <w:rPr>
          <w:rFonts w:hint="eastAsia" w:ascii="仿宋_GB2312" w:eastAsia="仿宋_GB2312" w:cs="仿宋_GB2312"/>
          <w:b w:val="0"/>
          <w:bCs/>
          <w:kern w:val="0"/>
          <w:sz w:val="32"/>
          <w:szCs w:val="32"/>
        </w:rPr>
        <w:t>%</w:t>
      </w:r>
    </w:p>
    <w:p>
      <w:pPr>
        <w:autoSpaceDE w:val="0"/>
        <w:autoSpaceDN w:val="0"/>
        <w:adjustRightInd w:val="0"/>
        <w:spacing w:line="560" w:lineRule="exact"/>
        <w:ind w:firstLine="643" w:firstLineChars="200"/>
        <w:jc w:val="left"/>
        <w:rPr>
          <w:rFonts w:hint="eastAsia" w:ascii="仿宋_GB2312" w:eastAsia="仿宋_GB2312" w:cs="仿宋_GB2312"/>
          <w:b/>
          <w:kern w:val="0"/>
          <w:sz w:val="32"/>
          <w:szCs w:val="32"/>
        </w:rPr>
      </w:pPr>
      <w:r>
        <w:rPr>
          <w:rFonts w:hint="eastAsia" w:ascii="仿宋_GB2312" w:eastAsia="仿宋_GB2312" w:cs="仿宋_GB2312"/>
          <w:b/>
          <w:kern w:val="0"/>
          <w:sz w:val="32"/>
          <w:szCs w:val="32"/>
          <w:lang w:eastAsia="zh-CN"/>
        </w:rPr>
        <w:t>二、</w:t>
      </w:r>
      <w:r>
        <w:rPr>
          <w:rFonts w:hint="eastAsia" w:eastAsia="仿宋_GB2312"/>
          <w:b/>
          <w:kern w:val="0"/>
          <w:sz w:val="32"/>
          <w:szCs w:val="32"/>
          <w:lang w:eastAsia="zh-CN"/>
        </w:rPr>
        <w:t>201</w:t>
      </w:r>
      <w:r>
        <w:rPr>
          <w:rFonts w:hint="eastAsia" w:eastAsia="仿宋_GB2312"/>
          <w:b/>
          <w:kern w:val="0"/>
          <w:sz w:val="32"/>
          <w:szCs w:val="32"/>
          <w:lang w:val="en-US" w:eastAsia="zh-CN"/>
        </w:rPr>
        <w:t>9</w:t>
      </w:r>
      <w:r>
        <w:rPr>
          <w:rFonts w:hint="eastAsia" w:ascii="仿宋_GB2312" w:eastAsia="仿宋_GB2312" w:cs="仿宋_GB2312"/>
          <w:b/>
          <w:kern w:val="0"/>
          <w:sz w:val="32"/>
          <w:szCs w:val="32"/>
        </w:rPr>
        <w:t>年度收入决算情况</w:t>
      </w:r>
    </w:p>
    <w:p>
      <w:pPr>
        <w:autoSpaceDE w:val="0"/>
        <w:autoSpaceDN w:val="0"/>
        <w:adjustRightInd w:val="0"/>
        <w:spacing w:line="560" w:lineRule="exact"/>
        <w:ind w:firstLine="640" w:firstLineChars="200"/>
        <w:jc w:val="left"/>
        <w:rPr>
          <w:rFonts w:hint="eastAsia" w:ascii="仿宋_GB2312" w:eastAsia="仿宋_GB2312" w:cs="仿宋_GB2312"/>
          <w:b/>
          <w:kern w:val="0"/>
          <w:sz w:val="32"/>
          <w:szCs w:val="32"/>
        </w:rPr>
      </w:pPr>
      <w:r>
        <w:rPr>
          <w:rFonts w:hint="eastAsia" w:ascii="仿宋_GB2312" w:eastAsia="仿宋_GB2312" w:cs="仿宋_GB2312"/>
          <w:b w:val="0"/>
          <w:bCs/>
          <w:kern w:val="0"/>
          <w:sz w:val="32"/>
          <w:szCs w:val="32"/>
        </w:rPr>
        <w:t>本年收入总计</w:t>
      </w:r>
      <w:r>
        <w:rPr>
          <w:rFonts w:hint="eastAsia" w:ascii="仿宋_GB2312" w:eastAsia="仿宋_GB2312" w:cs="仿宋_GB2312"/>
          <w:b w:val="0"/>
          <w:bCs/>
          <w:kern w:val="0"/>
          <w:sz w:val="32"/>
          <w:szCs w:val="32"/>
          <w:lang w:val="en-US" w:eastAsia="zh-CN"/>
        </w:rPr>
        <w:t>7050.54</w:t>
      </w:r>
      <w:r>
        <w:rPr>
          <w:rFonts w:hint="eastAsia" w:ascii="仿宋_GB2312" w:eastAsia="仿宋_GB2312" w:cs="仿宋_GB2312"/>
          <w:b w:val="0"/>
          <w:bCs/>
          <w:kern w:val="0"/>
          <w:sz w:val="32"/>
          <w:szCs w:val="32"/>
        </w:rPr>
        <w:t>万元 ，其中：</w:t>
      </w:r>
      <w:r>
        <w:rPr>
          <w:rFonts w:hint="eastAsia" w:ascii="仿宋_GB2312" w:eastAsia="仿宋_GB2312" w:cs="仿宋_GB2312"/>
          <w:b w:val="0"/>
          <w:bCs/>
          <w:kern w:val="0"/>
          <w:sz w:val="32"/>
          <w:szCs w:val="32"/>
          <w:lang w:eastAsia="zh-CN"/>
        </w:rPr>
        <w:t>一般公共预算财政拨款</w:t>
      </w:r>
      <w:r>
        <w:rPr>
          <w:rFonts w:hint="eastAsia" w:ascii="仿宋_GB2312" w:eastAsia="仿宋_GB2312" w:cs="仿宋_GB2312"/>
          <w:b w:val="0"/>
          <w:bCs/>
          <w:kern w:val="0"/>
          <w:sz w:val="32"/>
          <w:szCs w:val="32"/>
        </w:rPr>
        <w:t>收入</w:t>
      </w:r>
      <w:r>
        <w:rPr>
          <w:rFonts w:hint="eastAsia" w:ascii="仿宋_GB2312" w:eastAsia="仿宋_GB2312" w:cs="仿宋_GB2312"/>
          <w:b w:val="0"/>
          <w:bCs/>
          <w:kern w:val="0"/>
          <w:sz w:val="32"/>
          <w:szCs w:val="32"/>
          <w:lang w:val="en-US" w:eastAsia="zh-CN"/>
        </w:rPr>
        <w:t>5160.45</w:t>
      </w:r>
      <w:r>
        <w:rPr>
          <w:rFonts w:hint="eastAsia" w:ascii="仿宋_GB2312" w:eastAsia="仿宋_GB2312" w:cs="仿宋_GB2312"/>
          <w:b w:val="0"/>
          <w:bCs/>
          <w:kern w:val="0"/>
          <w:sz w:val="32"/>
          <w:szCs w:val="32"/>
        </w:rPr>
        <w:t>万元；占比</w:t>
      </w:r>
      <w:r>
        <w:rPr>
          <w:rFonts w:hint="eastAsia" w:ascii="仿宋_GB2312" w:eastAsia="仿宋_GB2312" w:cs="仿宋_GB2312"/>
          <w:b w:val="0"/>
          <w:bCs/>
          <w:kern w:val="0"/>
          <w:sz w:val="32"/>
          <w:szCs w:val="32"/>
          <w:lang w:val="en-US" w:eastAsia="zh-CN"/>
        </w:rPr>
        <w:t>73.2%</w:t>
      </w:r>
      <w:r>
        <w:rPr>
          <w:rFonts w:hint="eastAsia" w:ascii="仿宋_GB2312" w:eastAsia="仿宋_GB2312" w:cs="仿宋_GB2312"/>
          <w:b w:val="0"/>
          <w:bCs/>
          <w:kern w:val="0"/>
          <w:sz w:val="32"/>
          <w:szCs w:val="32"/>
        </w:rPr>
        <w:t> ；</w:t>
      </w:r>
      <w:r>
        <w:rPr>
          <w:rFonts w:hint="eastAsia" w:ascii="仿宋_GB2312" w:eastAsia="仿宋_GB2312" w:cs="仿宋_GB2312"/>
          <w:b w:val="0"/>
          <w:bCs/>
          <w:kern w:val="0"/>
          <w:sz w:val="32"/>
          <w:szCs w:val="32"/>
          <w:lang w:eastAsia="zh-CN"/>
        </w:rPr>
        <w:t>政府基金预算财政拨款收入</w:t>
      </w:r>
      <w:r>
        <w:rPr>
          <w:rFonts w:hint="eastAsia" w:ascii="仿宋_GB2312" w:eastAsia="仿宋_GB2312" w:cs="仿宋_GB2312"/>
          <w:b w:val="0"/>
          <w:bCs/>
          <w:kern w:val="0"/>
          <w:sz w:val="32"/>
          <w:szCs w:val="32"/>
          <w:lang w:val="en-US" w:eastAsia="zh-CN"/>
        </w:rPr>
        <w:t>63万元；占比0.89%；</w:t>
      </w:r>
      <w:r>
        <w:rPr>
          <w:rFonts w:hint="eastAsia" w:ascii="仿宋_GB2312" w:eastAsia="仿宋_GB2312" w:cs="仿宋_GB2312"/>
          <w:b w:val="0"/>
          <w:bCs/>
          <w:kern w:val="0"/>
          <w:sz w:val="32"/>
          <w:szCs w:val="32"/>
        </w:rPr>
        <w:t>事业收入</w:t>
      </w:r>
      <w:r>
        <w:rPr>
          <w:rFonts w:hint="eastAsia" w:ascii="仿宋_GB2312" w:eastAsia="仿宋_GB2312" w:cs="仿宋_GB2312"/>
          <w:b w:val="0"/>
          <w:bCs/>
          <w:kern w:val="0"/>
          <w:sz w:val="32"/>
          <w:szCs w:val="32"/>
          <w:lang w:val="en-US" w:eastAsia="zh-CN"/>
        </w:rPr>
        <w:t>154.86</w:t>
      </w:r>
      <w:r>
        <w:rPr>
          <w:rFonts w:hint="eastAsia" w:ascii="仿宋_GB2312" w:eastAsia="仿宋_GB2312" w:cs="仿宋_GB2312"/>
          <w:b w:val="0"/>
          <w:bCs/>
          <w:kern w:val="0"/>
          <w:sz w:val="32"/>
          <w:szCs w:val="32"/>
        </w:rPr>
        <w:t>万元，占比</w:t>
      </w:r>
      <w:r>
        <w:rPr>
          <w:rFonts w:hint="eastAsia" w:ascii="仿宋_GB2312" w:eastAsia="仿宋_GB2312" w:cs="仿宋_GB2312"/>
          <w:b w:val="0"/>
          <w:bCs/>
          <w:kern w:val="0"/>
          <w:sz w:val="32"/>
          <w:szCs w:val="32"/>
          <w:lang w:val="en-US" w:eastAsia="zh-CN"/>
        </w:rPr>
        <w:t>2.20%</w:t>
      </w:r>
      <w:r>
        <w:rPr>
          <w:rFonts w:hint="eastAsia" w:ascii="仿宋_GB2312" w:eastAsia="仿宋_GB2312" w:cs="仿宋_GB2312"/>
          <w:b w:val="0"/>
          <w:bCs/>
          <w:kern w:val="0"/>
          <w:sz w:val="32"/>
          <w:szCs w:val="32"/>
        </w:rPr>
        <w:t xml:space="preserve"> ；其他收入</w:t>
      </w:r>
      <w:r>
        <w:rPr>
          <w:rFonts w:hint="eastAsia" w:ascii="仿宋_GB2312" w:eastAsia="仿宋_GB2312" w:cs="仿宋_GB2312"/>
          <w:b w:val="0"/>
          <w:bCs/>
          <w:kern w:val="0"/>
          <w:sz w:val="32"/>
          <w:szCs w:val="32"/>
          <w:lang w:val="en-US" w:eastAsia="zh-CN"/>
        </w:rPr>
        <w:t>68.7</w:t>
      </w:r>
      <w:r>
        <w:rPr>
          <w:rFonts w:hint="eastAsia" w:ascii="仿宋_GB2312" w:eastAsia="仿宋_GB2312" w:cs="仿宋_GB2312"/>
          <w:b w:val="0"/>
          <w:bCs/>
          <w:kern w:val="0"/>
          <w:sz w:val="32"/>
          <w:szCs w:val="32"/>
        </w:rPr>
        <w:t>万元，占比</w:t>
      </w:r>
      <w:r>
        <w:rPr>
          <w:rFonts w:hint="eastAsia" w:ascii="仿宋_GB2312" w:eastAsia="仿宋_GB2312" w:cs="仿宋_GB2312"/>
          <w:b w:val="0"/>
          <w:bCs/>
          <w:kern w:val="0"/>
          <w:sz w:val="32"/>
          <w:szCs w:val="32"/>
          <w:lang w:val="en-US" w:eastAsia="zh-CN"/>
        </w:rPr>
        <w:t>0.97%；</w:t>
      </w:r>
      <w:r>
        <w:rPr>
          <w:rFonts w:hint="eastAsia" w:ascii="仿宋_GB2312" w:eastAsia="仿宋_GB2312" w:cs="仿宋_GB2312"/>
          <w:kern w:val="0"/>
          <w:sz w:val="32"/>
          <w:szCs w:val="32"/>
        </w:rPr>
        <w:t>上年结转和结余</w:t>
      </w:r>
      <w:r>
        <w:rPr>
          <w:rFonts w:hint="eastAsia" w:ascii="仿宋_GB2312" w:eastAsia="仿宋_GB2312"/>
          <w:kern w:val="0"/>
          <w:sz w:val="32"/>
          <w:szCs w:val="32"/>
          <w:lang w:val="en-US" w:eastAsia="zh-CN"/>
        </w:rPr>
        <w:t>1603.52</w:t>
      </w:r>
      <w:r>
        <w:rPr>
          <w:rFonts w:hint="eastAsia" w:ascii="仿宋_GB2312" w:eastAsia="仿宋_GB2312" w:cs="仿宋_GB2312"/>
          <w:kern w:val="0"/>
          <w:sz w:val="32"/>
          <w:szCs w:val="32"/>
        </w:rPr>
        <w:t>万元，占比</w:t>
      </w:r>
      <w:r>
        <w:rPr>
          <w:rFonts w:hint="eastAsia" w:ascii="仿宋_GB2312" w:eastAsia="仿宋_GB2312" w:cs="仿宋_GB2312"/>
          <w:kern w:val="0"/>
          <w:sz w:val="32"/>
          <w:szCs w:val="32"/>
          <w:lang w:val="en-US" w:eastAsia="zh-CN"/>
        </w:rPr>
        <w:t>22.74</w:t>
      </w:r>
      <w:r>
        <w:rPr>
          <w:rFonts w:hint="eastAsia" w:ascii="仿宋_GB2312" w:eastAsia="仿宋_GB2312" w:cs="仿宋_GB2312"/>
          <w:kern w:val="0"/>
          <w:sz w:val="32"/>
          <w:szCs w:val="32"/>
        </w:rPr>
        <w:t>%</w:t>
      </w:r>
      <w:r>
        <w:rPr>
          <w:rFonts w:hint="eastAsia" w:ascii="仿宋_GB2312" w:eastAsia="仿宋_GB2312" w:cs="仿宋_GB2312"/>
          <w:bCs/>
          <w:kern w:val="0"/>
          <w:sz w:val="32"/>
          <w:szCs w:val="32"/>
        </w:rPr>
        <w:t>。</w:t>
      </w:r>
    </w:p>
    <w:p>
      <w:pPr>
        <w:autoSpaceDE w:val="0"/>
        <w:autoSpaceDN w:val="0"/>
        <w:adjustRightInd w:val="0"/>
        <w:spacing w:line="560" w:lineRule="exact"/>
        <w:ind w:firstLine="643" w:firstLineChars="200"/>
        <w:jc w:val="left"/>
        <w:rPr>
          <w:rFonts w:hint="eastAsia" w:ascii="仿宋_GB2312" w:eastAsia="仿宋_GB2312" w:cs="仿宋_GB2312"/>
          <w:b/>
          <w:kern w:val="0"/>
          <w:sz w:val="32"/>
          <w:szCs w:val="32"/>
        </w:rPr>
      </w:pPr>
      <w:r>
        <w:rPr>
          <w:rFonts w:hint="eastAsia" w:ascii="仿宋_GB2312" w:eastAsia="仿宋_GB2312" w:cs="仿宋_GB2312"/>
          <w:b/>
          <w:kern w:val="0"/>
          <w:sz w:val="32"/>
          <w:szCs w:val="32"/>
          <w:lang w:eastAsia="zh-CN"/>
        </w:rPr>
        <w:t>三、</w:t>
      </w:r>
      <w:r>
        <w:rPr>
          <w:rFonts w:hint="eastAsia" w:eastAsia="仿宋_GB2312"/>
          <w:b/>
          <w:kern w:val="0"/>
          <w:sz w:val="32"/>
          <w:szCs w:val="32"/>
          <w:lang w:eastAsia="zh-CN"/>
        </w:rPr>
        <w:t>201</w:t>
      </w:r>
      <w:r>
        <w:rPr>
          <w:rFonts w:hint="eastAsia" w:eastAsia="仿宋_GB2312"/>
          <w:b/>
          <w:kern w:val="0"/>
          <w:sz w:val="32"/>
          <w:szCs w:val="32"/>
          <w:lang w:val="en-US" w:eastAsia="zh-CN"/>
        </w:rPr>
        <w:t>9</w:t>
      </w:r>
      <w:r>
        <w:rPr>
          <w:rFonts w:hint="eastAsia" w:ascii="仿宋_GB2312" w:eastAsia="仿宋_GB2312" w:cs="仿宋_GB2312"/>
          <w:b/>
          <w:kern w:val="0"/>
          <w:sz w:val="32"/>
          <w:szCs w:val="32"/>
        </w:rPr>
        <w:t>年度</w:t>
      </w:r>
      <w:r>
        <w:rPr>
          <w:rFonts w:hint="eastAsia" w:ascii="仿宋_GB2312" w:eastAsia="仿宋_GB2312" w:cs="仿宋_GB2312"/>
          <w:b/>
          <w:kern w:val="0"/>
          <w:sz w:val="32"/>
          <w:szCs w:val="32"/>
          <w:lang w:eastAsia="zh-CN"/>
        </w:rPr>
        <w:t>支出</w:t>
      </w:r>
      <w:r>
        <w:rPr>
          <w:rFonts w:hint="eastAsia" w:ascii="仿宋_GB2312" w:eastAsia="仿宋_GB2312" w:cs="仿宋_GB2312"/>
          <w:b/>
          <w:kern w:val="0"/>
          <w:sz w:val="32"/>
          <w:szCs w:val="32"/>
        </w:rPr>
        <w:t>决算情况</w:t>
      </w:r>
    </w:p>
    <w:p>
      <w:pPr>
        <w:autoSpaceDE w:val="0"/>
        <w:autoSpaceDN w:val="0"/>
        <w:adjustRightInd w:val="0"/>
        <w:spacing w:line="560" w:lineRule="exact"/>
        <w:ind w:firstLine="640" w:firstLineChars="200"/>
        <w:jc w:val="left"/>
        <w:rPr>
          <w:rFonts w:hint="eastAsia" w:ascii="仿宋_GB2312" w:eastAsia="仿宋_GB2312" w:cs="仿宋_GB2312"/>
          <w:b w:val="0"/>
          <w:bCs/>
          <w:kern w:val="0"/>
          <w:sz w:val="32"/>
          <w:szCs w:val="32"/>
          <w:lang w:val="en-US" w:eastAsia="zh-CN"/>
        </w:rPr>
      </w:pPr>
      <w:r>
        <w:rPr>
          <w:rFonts w:hint="eastAsia" w:ascii="仿宋_GB2312" w:eastAsia="仿宋_GB2312" w:cs="仿宋_GB2312"/>
          <w:b w:val="0"/>
          <w:bCs/>
          <w:kern w:val="0"/>
          <w:sz w:val="32"/>
          <w:szCs w:val="32"/>
        </w:rPr>
        <w:t xml:space="preserve">本年支出合计 </w:t>
      </w:r>
      <w:r>
        <w:rPr>
          <w:rFonts w:hint="eastAsia" w:ascii="仿宋_GB2312" w:eastAsia="仿宋_GB2312" w:cs="仿宋_GB2312"/>
          <w:b w:val="0"/>
          <w:bCs/>
          <w:kern w:val="0"/>
          <w:sz w:val="32"/>
          <w:szCs w:val="32"/>
          <w:lang w:val="en-US" w:eastAsia="zh-CN"/>
        </w:rPr>
        <w:t>7050.54</w:t>
      </w:r>
      <w:r>
        <w:rPr>
          <w:rFonts w:hint="eastAsia" w:ascii="仿宋_GB2312" w:eastAsia="仿宋_GB2312" w:cs="仿宋_GB2312"/>
          <w:b w:val="0"/>
          <w:bCs/>
          <w:kern w:val="0"/>
          <w:sz w:val="32"/>
          <w:szCs w:val="32"/>
        </w:rPr>
        <w:t xml:space="preserve">万元，其中：基本支出 </w:t>
      </w:r>
      <w:r>
        <w:rPr>
          <w:rFonts w:hint="eastAsia" w:ascii="仿宋_GB2312" w:eastAsia="仿宋_GB2312" w:cs="仿宋_GB2312"/>
          <w:b w:val="0"/>
          <w:bCs/>
          <w:kern w:val="0"/>
          <w:sz w:val="32"/>
          <w:szCs w:val="32"/>
          <w:lang w:val="en-US" w:eastAsia="zh-CN"/>
        </w:rPr>
        <w:t>578.78</w:t>
      </w:r>
      <w:r>
        <w:rPr>
          <w:rFonts w:hint="eastAsia" w:ascii="仿宋_GB2312" w:eastAsia="仿宋_GB2312" w:cs="仿宋_GB2312"/>
          <w:b w:val="0"/>
          <w:bCs/>
          <w:kern w:val="0"/>
          <w:sz w:val="32"/>
          <w:szCs w:val="32"/>
        </w:rPr>
        <w:t>万元，占</w:t>
      </w:r>
      <w:r>
        <w:rPr>
          <w:rFonts w:hint="eastAsia" w:ascii="仿宋_GB2312" w:eastAsia="仿宋_GB2312" w:cs="仿宋_GB2312"/>
          <w:b w:val="0"/>
          <w:bCs/>
          <w:kern w:val="0"/>
          <w:sz w:val="32"/>
          <w:szCs w:val="32"/>
          <w:lang w:val="en-US" w:eastAsia="zh-CN"/>
        </w:rPr>
        <w:t>8.21</w:t>
      </w:r>
      <w:r>
        <w:rPr>
          <w:rFonts w:hint="eastAsia" w:ascii="仿宋_GB2312" w:eastAsia="仿宋_GB2312" w:cs="仿宋_GB2312"/>
          <w:b w:val="0"/>
          <w:bCs/>
          <w:kern w:val="0"/>
          <w:sz w:val="32"/>
          <w:szCs w:val="32"/>
        </w:rPr>
        <w:t>%；项目支出5133.38万元， 占</w:t>
      </w:r>
      <w:r>
        <w:rPr>
          <w:rFonts w:hint="eastAsia" w:ascii="仿宋_GB2312" w:eastAsia="仿宋_GB2312" w:cs="仿宋_GB2312"/>
          <w:b w:val="0"/>
          <w:bCs/>
          <w:kern w:val="0"/>
          <w:sz w:val="32"/>
          <w:szCs w:val="32"/>
          <w:lang w:val="en-US" w:eastAsia="zh-CN"/>
        </w:rPr>
        <w:t>72.81</w:t>
      </w:r>
      <w:r>
        <w:rPr>
          <w:rFonts w:hint="eastAsia" w:ascii="仿宋_GB2312" w:eastAsia="仿宋_GB2312" w:cs="仿宋_GB2312"/>
          <w:b w:val="0"/>
          <w:bCs/>
          <w:kern w:val="0"/>
          <w:sz w:val="32"/>
          <w:szCs w:val="32"/>
        </w:rPr>
        <w:t>%；</w:t>
      </w:r>
      <w:r>
        <w:rPr>
          <w:rFonts w:hint="eastAsia" w:ascii="仿宋_GB2312" w:eastAsia="仿宋_GB2312" w:cs="仿宋_GB2312"/>
          <w:b w:val="0"/>
          <w:bCs/>
          <w:kern w:val="0"/>
          <w:sz w:val="32"/>
          <w:szCs w:val="32"/>
          <w:lang w:eastAsia="zh-CN"/>
        </w:rPr>
        <w:t>年</w:t>
      </w:r>
      <w:r>
        <w:rPr>
          <w:rFonts w:hint="eastAsia" w:ascii="仿宋_GB2312" w:eastAsia="仿宋_GB2312" w:cs="仿宋_GB2312"/>
          <w:bCs/>
          <w:kern w:val="0"/>
          <w:sz w:val="32"/>
          <w:szCs w:val="32"/>
        </w:rPr>
        <w:t>末结转和结余1338.38万元，占</w:t>
      </w:r>
      <w:r>
        <w:rPr>
          <w:rFonts w:hint="eastAsia" w:ascii="仿宋_GB2312" w:eastAsia="仿宋_GB2312" w:cs="仿宋_GB2312"/>
          <w:bCs/>
          <w:kern w:val="0"/>
          <w:sz w:val="32"/>
          <w:szCs w:val="32"/>
          <w:lang w:val="en-US" w:eastAsia="zh-CN"/>
        </w:rPr>
        <w:t>19.00</w:t>
      </w:r>
      <w:r>
        <w:rPr>
          <w:rFonts w:ascii="仿宋_GB2312" w:eastAsia="仿宋_GB2312" w:cs="仿宋_GB2312"/>
          <w:bCs/>
          <w:kern w:val="0"/>
          <w:sz w:val="32"/>
          <w:szCs w:val="32"/>
        </w:rPr>
        <w:t>%</w:t>
      </w:r>
      <w:r>
        <w:rPr>
          <w:rFonts w:hint="eastAsia" w:ascii="仿宋_GB2312" w:eastAsia="仿宋_GB2312" w:cs="仿宋_GB2312"/>
          <w:bCs/>
          <w:kern w:val="0"/>
          <w:sz w:val="32"/>
          <w:szCs w:val="32"/>
        </w:rPr>
        <w:t>。</w:t>
      </w:r>
    </w:p>
    <w:p>
      <w:pPr>
        <w:autoSpaceDE w:val="0"/>
        <w:autoSpaceDN w:val="0"/>
        <w:adjustRightInd w:val="0"/>
        <w:spacing w:line="560" w:lineRule="exact"/>
        <w:ind w:firstLine="643" w:firstLineChars="200"/>
        <w:jc w:val="left"/>
        <w:rPr>
          <w:rFonts w:hint="eastAsia" w:ascii="仿宋_GB2312" w:eastAsia="仿宋_GB2312" w:cs="仿宋_GB2312"/>
          <w:b/>
          <w:kern w:val="0"/>
          <w:sz w:val="32"/>
          <w:szCs w:val="32"/>
          <w:lang w:eastAsia="zh-CN"/>
        </w:rPr>
      </w:pPr>
      <w:r>
        <w:rPr>
          <w:rFonts w:hint="eastAsia" w:ascii="仿宋_GB2312" w:eastAsia="仿宋_GB2312" w:cs="仿宋_GB2312"/>
          <w:b/>
          <w:bCs w:val="0"/>
          <w:kern w:val="0"/>
          <w:sz w:val="32"/>
          <w:szCs w:val="32"/>
          <w:lang w:eastAsia="zh-CN"/>
        </w:rPr>
        <w:t>四、</w:t>
      </w:r>
      <w:r>
        <w:rPr>
          <w:rFonts w:hint="eastAsia" w:eastAsia="仿宋_GB2312"/>
          <w:b/>
          <w:kern w:val="0"/>
          <w:sz w:val="32"/>
          <w:szCs w:val="32"/>
          <w:lang w:eastAsia="zh-CN"/>
        </w:rPr>
        <w:t>201</w:t>
      </w:r>
      <w:r>
        <w:rPr>
          <w:rFonts w:hint="eastAsia" w:eastAsia="仿宋_GB2312"/>
          <w:b/>
          <w:kern w:val="0"/>
          <w:sz w:val="32"/>
          <w:szCs w:val="32"/>
          <w:lang w:val="en-US" w:eastAsia="zh-CN"/>
        </w:rPr>
        <w:t>9</w:t>
      </w:r>
      <w:r>
        <w:rPr>
          <w:rFonts w:hint="eastAsia" w:ascii="仿宋_GB2312" w:eastAsia="仿宋_GB2312" w:cs="仿宋_GB2312"/>
          <w:b/>
          <w:kern w:val="0"/>
          <w:sz w:val="32"/>
          <w:szCs w:val="32"/>
        </w:rPr>
        <w:t>年度</w:t>
      </w:r>
      <w:r>
        <w:rPr>
          <w:rFonts w:hint="eastAsia" w:ascii="仿宋_GB2312" w:eastAsia="仿宋_GB2312" w:cs="仿宋_GB2312"/>
          <w:b/>
          <w:kern w:val="0"/>
          <w:sz w:val="32"/>
          <w:szCs w:val="32"/>
          <w:lang w:eastAsia="zh-CN"/>
        </w:rPr>
        <w:t>财政拨款收入支出决算情况</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本部门 </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年度财政拨款收、支总决算</w:t>
      </w:r>
      <w:r>
        <w:rPr>
          <w:rFonts w:hint="eastAsia" w:ascii="仿宋_GB2312" w:eastAsia="仿宋_GB2312" w:cs="仿宋_GB2312"/>
          <w:bCs/>
          <w:kern w:val="0"/>
          <w:sz w:val="32"/>
          <w:szCs w:val="32"/>
          <w:lang w:val="en-US" w:eastAsia="zh-CN"/>
        </w:rPr>
        <w:t>6425.36</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6425.36</w:t>
      </w:r>
      <w:r>
        <w:rPr>
          <w:rFonts w:hint="eastAsia" w:ascii="仿宋_GB2312" w:eastAsia="仿宋_GB2312" w:cs="仿宋_GB2312"/>
          <w:bCs/>
          <w:kern w:val="0"/>
          <w:sz w:val="32"/>
          <w:szCs w:val="32"/>
        </w:rPr>
        <w:t xml:space="preserve">万元。与 </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8</w:t>
      </w:r>
      <w:r>
        <w:rPr>
          <w:rFonts w:hint="eastAsia" w:ascii="仿宋_GB2312" w:eastAsia="仿宋_GB2312" w:cs="仿宋_GB2312"/>
          <w:bCs/>
          <w:kern w:val="0"/>
          <w:sz w:val="32"/>
          <w:szCs w:val="32"/>
        </w:rPr>
        <w:t xml:space="preserve"> 年相比，财政拨款收、支总计各增加</w:t>
      </w:r>
      <w:r>
        <w:rPr>
          <w:rFonts w:hint="eastAsia" w:ascii="仿宋_GB2312" w:eastAsia="仿宋_GB2312" w:cs="仿宋_GB2312"/>
          <w:bCs/>
          <w:kern w:val="0"/>
          <w:sz w:val="32"/>
          <w:szCs w:val="32"/>
          <w:lang w:val="en-US" w:eastAsia="zh-CN"/>
        </w:rPr>
        <w:t>153.25</w:t>
      </w:r>
      <w:r>
        <w:rPr>
          <w:rFonts w:hint="eastAsia" w:ascii="仿宋_GB2312" w:eastAsia="仿宋_GB2312" w:cs="仿宋_GB2312"/>
          <w:bCs/>
          <w:kern w:val="0"/>
          <w:sz w:val="32"/>
          <w:szCs w:val="32"/>
        </w:rPr>
        <w:t>万元，增长</w:t>
      </w:r>
      <w:r>
        <w:rPr>
          <w:rFonts w:hint="eastAsia" w:ascii="仿宋_GB2312" w:eastAsia="仿宋_GB2312" w:cs="仿宋_GB2312"/>
          <w:bCs/>
          <w:kern w:val="0"/>
          <w:sz w:val="32"/>
          <w:szCs w:val="32"/>
          <w:lang w:val="en-US" w:eastAsia="zh-CN"/>
        </w:rPr>
        <w:t>2.44</w:t>
      </w:r>
      <w:r>
        <w:rPr>
          <w:rFonts w:hint="eastAsia" w:ascii="仿宋_GB2312" w:eastAsia="仿宋_GB2312" w:cs="仿宋_GB2312"/>
          <w:bCs/>
          <w:kern w:val="0"/>
          <w:sz w:val="32"/>
          <w:szCs w:val="32"/>
        </w:rPr>
        <w:t>%。</w:t>
      </w:r>
    </w:p>
    <w:p>
      <w:pPr>
        <w:autoSpaceDE w:val="0"/>
        <w:autoSpaceDN w:val="0"/>
        <w:adjustRightInd w:val="0"/>
        <w:spacing w:line="560" w:lineRule="exact"/>
        <w:ind w:firstLine="643" w:firstLineChars="200"/>
        <w:jc w:val="left"/>
        <w:rPr>
          <w:rFonts w:hint="eastAsia" w:eastAsia="仿宋_GB2312"/>
          <w:b/>
          <w:kern w:val="0"/>
          <w:sz w:val="32"/>
          <w:szCs w:val="32"/>
        </w:rPr>
      </w:pPr>
      <w:r>
        <w:rPr>
          <w:rFonts w:hint="eastAsia" w:ascii="仿宋_GB2312" w:eastAsia="仿宋_GB2312" w:cs="仿宋_GB2312"/>
          <w:b/>
          <w:bCs w:val="0"/>
          <w:kern w:val="0"/>
          <w:sz w:val="32"/>
          <w:szCs w:val="32"/>
        </w:rPr>
        <w:t>五</w:t>
      </w:r>
      <w:r>
        <w:rPr>
          <w:rFonts w:hint="eastAsia" w:ascii="仿宋_GB2312" w:eastAsia="仿宋_GB2312" w:cs="仿宋_GB2312"/>
          <w:b/>
          <w:bCs w:val="0"/>
          <w:kern w:val="0"/>
          <w:sz w:val="32"/>
          <w:szCs w:val="32"/>
          <w:lang w:eastAsia="zh-CN"/>
        </w:rPr>
        <w:t>、</w:t>
      </w:r>
      <w:r>
        <w:rPr>
          <w:rFonts w:hint="eastAsia" w:eastAsia="仿宋_GB2312"/>
          <w:b/>
          <w:kern w:val="0"/>
          <w:sz w:val="32"/>
          <w:szCs w:val="32"/>
          <w:lang w:eastAsia="zh-CN"/>
        </w:rPr>
        <w:t>201</w:t>
      </w:r>
      <w:r>
        <w:rPr>
          <w:rFonts w:hint="eastAsia" w:eastAsia="仿宋_GB2312"/>
          <w:b/>
          <w:kern w:val="0"/>
          <w:sz w:val="32"/>
          <w:szCs w:val="32"/>
          <w:lang w:val="en-US" w:eastAsia="zh-CN"/>
        </w:rPr>
        <w:t>9</w:t>
      </w:r>
      <w:r>
        <w:rPr>
          <w:rFonts w:hint="eastAsia" w:eastAsia="仿宋_GB2312"/>
          <w:b/>
          <w:kern w:val="0"/>
          <w:sz w:val="32"/>
          <w:szCs w:val="32"/>
        </w:rPr>
        <w:t>年度一般公共预算财政拨款支出决算情况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highlight w:val="none"/>
        </w:rPr>
        <w:t xml:space="preserve">部门 </w:t>
      </w:r>
      <w:r>
        <w:rPr>
          <w:rFonts w:hint="eastAsia" w:ascii="仿宋_GB2312" w:eastAsia="仿宋_GB2312" w:cs="仿宋_GB2312"/>
          <w:bCs/>
          <w:kern w:val="0"/>
          <w:sz w:val="32"/>
          <w:szCs w:val="32"/>
          <w:highlight w:val="none"/>
          <w:lang w:eastAsia="zh-CN"/>
        </w:rPr>
        <w:t>201</w:t>
      </w:r>
      <w:r>
        <w:rPr>
          <w:rFonts w:hint="eastAsia" w:ascii="仿宋_GB2312" w:eastAsia="仿宋_GB2312" w:cs="仿宋_GB2312"/>
          <w:bCs/>
          <w:kern w:val="0"/>
          <w:sz w:val="32"/>
          <w:szCs w:val="32"/>
          <w:highlight w:val="none"/>
          <w:lang w:val="en-US" w:eastAsia="zh-CN"/>
        </w:rPr>
        <w:t>9</w:t>
      </w:r>
      <w:r>
        <w:rPr>
          <w:rFonts w:hint="eastAsia" w:ascii="仿宋_GB2312" w:eastAsia="仿宋_GB2312" w:cs="仿宋_GB2312"/>
          <w:bCs/>
          <w:kern w:val="0"/>
          <w:sz w:val="32"/>
          <w:szCs w:val="32"/>
          <w:highlight w:val="none"/>
        </w:rPr>
        <w:t>年度财政拨款支出</w:t>
      </w:r>
      <w:r>
        <w:rPr>
          <w:rFonts w:hint="eastAsia" w:ascii="仿宋_GB2312" w:eastAsia="仿宋_GB2312" w:cs="仿宋_GB2312"/>
          <w:bCs/>
          <w:kern w:val="0"/>
          <w:sz w:val="32"/>
          <w:szCs w:val="32"/>
          <w:highlight w:val="none"/>
          <w:lang w:val="en-US" w:eastAsia="zh-CN"/>
        </w:rPr>
        <w:t>5420.97</w:t>
      </w:r>
      <w:r>
        <w:rPr>
          <w:rFonts w:hint="eastAsia" w:ascii="仿宋_GB2312" w:eastAsia="仿宋_GB2312" w:cs="仿宋_GB2312"/>
          <w:bCs/>
          <w:kern w:val="0"/>
          <w:sz w:val="32"/>
          <w:szCs w:val="32"/>
          <w:highlight w:val="none"/>
        </w:rPr>
        <w:t xml:space="preserve">万元，占本年支出合计的 </w:t>
      </w:r>
      <w:r>
        <w:rPr>
          <w:rFonts w:hint="eastAsia" w:ascii="仿宋_GB2312" w:eastAsia="仿宋_GB2312" w:cs="仿宋_GB2312"/>
          <w:bCs/>
          <w:kern w:val="0"/>
          <w:sz w:val="32"/>
          <w:szCs w:val="32"/>
          <w:highlight w:val="none"/>
          <w:lang w:val="en-US" w:eastAsia="zh-CN"/>
        </w:rPr>
        <w:t>94.9</w:t>
      </w:r>
      <w:r>
        <w:rPr>
          <w:rFonts w:hint="eastAsia" w:ascii="仿宋_GB2312" w:eastAsia="仿宋_GB2312" w:cs="仿宋_GB2312"/>
          <w:bCs/>
          <w:kern w:val="0"/>
          <w:sz w:val="32"/>
          <w:szCs w:val="32"/>
          <w:highlight w:val="none"/>
        </w:rPr>
        <w:t xml:space="preserve">%。与 </w:t>
      </w:r>
      <w:r>
        <w:rPr>
          <w:rFonts w:hint="eastAsia" w:ascii="仿宋_GB2312" w:eastAsia="仿宋_GB2312" w:cs="仿宋_GB2312"/>
          <w:bCs/>
          <w:kern w:val="0"/>
          <w:sz w:val="32"/>
          <w:szCs w:val="32"/>
          <w:highlight w:val="none"/>
          <w:lang w:eastAsia="zh-CN"/>
        </w:rPr>
        <w:t>201</w:t>
      </w:r>
      <w:r>
        <w:rPr>
          <w:rFonts w:hint="eastAsia" w:ascii="仿宋_GB2312" w:eastAsia="仿宋_GB2312" w:cs="仿宋_GB2312"/>
          <w:bCs/>
          <w:kern w:val="0"/>
          <w:sz w:val="32"/>
          <w:szCs w:val="32"/>
          <w:highlight w:val="none"/>
          <w:lang w:val="en-US" w:eastAsia="zh-CN"/>
        </w:rPr>
        <w:t>8</w:t>
      </w:r>
      <w:r>
        <w:rPr>
          <w:rFonts w:hint="eastAsia" w:ascii="仿宋_GB2312" w:eastAsia="仿宋_GB2312" w:cs="仿宋_GB2312"/>
          <w:bCs/>
          <w:kern w:val="0"/>
          <w:sz w:val="32"/>
          <w:szCs w:val="32"/>
          <w:highlight w:val="none"/>
        </w:rPr>
        <w:t xml:space="preserve"> 年相比，财政拨款支出</w:t>
      </w:r>
      <w:r>
        <w:rPr>
          <w:rFonts w:hint="eastAsia" w:ascii="仿宋_GB2312" w:eastAsia="仿宋_GB2312" w:cs="仿宋_GB2312"/>
          <w:bCs/>
          <w:kern w:val="0"/>
          <w:sz w:val="32"/>
          <w:szCs w:val="32"/>
          <w:highlight w:val="none"/>
          <w:lang w:eastAsia="zh-CN"/>
        </w:rPr>
        <w:t>增加</w:t>
      </w:r>
      <w:r>
        <w:rPr>
          <w:rFonts w:hint="eastAsia" w:ascii="仿宋_GB2312" w:eastAsia="仿宋_GB2312" w:cs="仿宋_GB2312"/>
          <w:bCs/>
          <w:kern w:val="0"/>
          <w:sz w:val="32"/>
          <w:szCs w:val="32"/>
          <w:highlight w:val="none"/>
          <w:lang w:val="en-US" w:eastAsia="zh-CN"/>
        </w:rPr>
        <w:t>1080.94</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24.91</w:t>
      </w:r>
      <w:r>
        <w:rPr>
          <w:rFonts w:hint="eastAsia" w:ascii="仿宋_GB2312" w:eastAsia="仿宋_GB2312" w:cs="仿宋_GB2312"/>
          <w:bCs/>
          <w:kern w:val="0"/>
          <w:sz w:val="32"/>
          <w:szCs w:val="32"/>
        </w:rPr>
        <w:t>%。</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（二）财政拨款支出决算结构情况（根据公开表格作表述）</w:t>
      </w:r>
    </w:p>
    <w:p>
      <w:pPr>
        <w:autoSpaceDE w:val="0"/>
        <w:autoSpaceDN w:val="0"/>
        <w:adjustRightInd w:val="0"/>
        <w:spacing w:line="560" w:lineRule="exact"/>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 xml:space="preserve"> 年度财政拨款支出</w:t>
      </w:r>
      <w:r>
        <w:rPr>
          <w:rFonts w:hint="eastAsia" w:ascii="仿宋_GB2312" w:eastAsia="仿宋_GB2312" w:cs="仿宋_GB2312"/>
          <w:bCs/>
          <w:kern w:val="0"/>
          <w:sz w:val="32"/>
          <w:szCs w:val="32"/>
          <w:lang w:val="en-US" w:eastAsia="zh-CN"/>
        </w:rPr>
        <w:t>5420.97</w:t>
      </w:r>
      <w:r>
        <w:rPr>
          <w:rFonts w:hint="eastAsia" w:ascii="仿宋_GB2312" w:eastAsia="仿宋_GB2312" w:cs="仿宋_GB2312"/>
          <w:bCs/>
          <w:kern w:val="0"/>
          <w:sz w:val="32"/>
          <w:szCs w:val="32"/>
        </w:rPr>
        <w:t>万元，主要用于以下方面：社会保障和就业（类）支出</w:t>
      </w:r>
      <w:r>
        <w:rPr>
          <w:rFonts w:hint="eastAsia" w:ascii="仿宋_GB2312" w:eastAsia="仿宋_GB2312" w:cs="仿宋_GB2312"/>
          <w:bCs/>
          <w:kern w:val="0"/>
          <w:sz w:val="32"/>
          <w:szCs w:val="32"/>
          <w:lang w:val="en-US" w:eastAsia="zh-CN"/>
        </w:rPr>
        <w:t>5330.67</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98.33</w:t>
      </w:r>
      <w:r>
        <w:rPr>
          <w:rFonts w:ascii="仿宋_GB2312" w:eastAsia="仿宋_GB2312" w:cs="仿宋_GB2312"/>
          <w:bCs/>
          <w:kern w:val="0"/>
          <w:sz w:val="32"/>
          <w:szCs w:val="32"/>
        </w:rPr>
        <w:t>%</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卫生健康支出</w:t>
      </w:r>
      <w:r>
        <w:rPr>
          <w:rFonts w:hint="eastAsia" w:ascii="仿宋_GB2312" w:eastAsia="仿宋_GB2312" w:cs="仿宋_GB2312"/>
          <w:bCs/>
          <w:kern w:val="0"/>
          <w:sz w:val="32"/>
          <w:szCs w:val="32"/>
          <w:lang w:val="en-US" w:eastAsia="zh-CN"/>
        </w:rPr>
        <w:t>50.8</w:t>
      </w:r>
      <w:r>
        <w:rPr>
          <w:rFonts w:hint="eastAsia" w:ascii="仿宋_GB2312" w:eastAsia="仿宋_GB2312" w:cs="仿宋_GB2312"/>
          <w:bCs/>
          <w:kern w:val="0"/>
          <w:sz w:val="32"/>
          <w:szCs w:val="32"/>
        </w:rPr>
        <w:t>万元，占0.</w:t>
      </w:r>
      <w:r>
        <w:rPr>
          <w:rFonts w:hint="eastAsia" w:ascii="仿宋_GB2312" w:eastAsia="仿宋_GB2312" w:cs="仿宋_GB2312"/>
          <w:bCs/>
          <w:kern w:val="0"/>
          <w:sz w:val="32"/>
          <w:szCs w:val="32"/>
          <w:lang w:val="en-US" w:eastAsia="zh-CN"/>
        </w:rPr>
        <w:t>94</w:t>
      </w:r>
      <w:r>
        <w:rPr>
          <w:rFonts w:ascii="仿宋_GB2312" w:eastAsia="仿宋_GB2312" w:cs="仿宋_GB2312"/>
          <w:bCs/>
          <w:kern w:val="0"/>
          <w:sz w:val="32"/>
          <w:szCs w:val="32"/>
        </w:rPr>
        <w:t>%</w:t>
      </w:r>
      <w:r>
        <w:rPr>
          <w:rFonts w:hint="eastAsia" w:ascii="仿宋_GB2312" w:eastAsia="仿宋_GB2312" w:cs="仿宋_GB2312"/>
          <w:bCs/>
          <w:kern w:val="0"/>
          <w:sz w:val="32"/>
          <w:szCs w:val="32"/>
        </w:rPr>
        <w:t>；</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住房保障（类）支出</w:t>
      </w:r>
      <w:r>
        <w:rPr>
          <w:rFonts w:hint="eastAsia" w:ascii="仿宋_GB2312" w:eastAsia="仿宋_GB2312" w:cs="仿宋_GB2312"/>
          <w:bCs/>
          <w:kern w:val="0"/>
          <w:sz w:val="32"/>
          <w:szCs w:val="32"/>
          <w:lang w:val="en-US" w:eastAsia="zh-CN"/>
        </w:rPr>
        <w:t>39.49</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0.73</w:t>
      </w:r>
      <w:r>
        <w:rPr>
          <w:rFonts w:ascii="仿宋_GB2312" w:eastAsia="仿宋_GB2312" w:cs="仿宋_GB2312"/>
          <w:bCs/>
          <w:kern w:val="0"/>
          <w:sz w:val="32"/>
          <w:szCs w:val="32"/>
        </w:rPr>
        <w:t>%</w:t>
      </w:r>
      <w:r>
        <w:rPr>
          <w:rFonts w:hint="eastAsia" w:ascii="仿宋_GB2312" w:eastAsia="仿宋_GB2312" w:cs="仿宋_GB2312"/>
          <w:bCs/>
          <w:kern w:val="0"/>
          <w:sz w:val="32"/>
          <w:szCs w:val="32"/>
        </w:rPr>
        <w:t>。</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 xml:space="preserve"> 年度财政拨款支出年初预算为</w:t>
      </w:r>
      <w:r>
        <w:rPr>
          <w:rFonts w:hint="eastAsia" w:ascii="仿宋_GB2312" w:eastAsia="仿宋_GB2312" w:cs="仿宋_GB2312"/>
          <w:bCs/>
          <w:kern w:val="0"/>
          <w:sz w:val="32"/>
          <w:szCs w:val="32"/>
          <w:lang w:val="en-US" w:eastAsia="zh-CN"/>
        </w:rPr>
        <w:t>4857.95</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5420.97</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111.59</w:t>
      </w:r>
      <w:r>
        <w:rPr>
          <w:rFonts w:hint="eastAsia" w:ascii="仿宋_GB2312" w:eastAsia="仿宋_GB2312" w:cs="仿宋_GB2312"/>
          <w:bCs/>
          <w:kern w:val="0"/>
          <w:sz w:val="32"/>
          <w:szCs w:val="32"/>
        </w:rPr>
        <w:t>%。决算数大于预算数的主要原因：一是年中追加安排财政拨款支出预算，涉及项目有残疾人康复专项补助经费</w:t>
      </w:r>
      <w:r>
        <w:rPr>
          <w:rFonts w:hint="eastAsia" w:ascii="仿宋_GB2312" w:eastAsia="仿宋_GB2312" w:cs="仿宋_GB2312"/>
          <w:bCs/>
          <w:kern w:val="0"/>
          <w:sz w:val="32"/>
          <w:szCs w:val="32"/>
          <w:lang w:eastAsia="zh-CN"/>
        </w:rPr>
        <w:t>、自治区</w:t>
      </w:r>
      <w:r>
        <w:rPr>
          <w:rFonts w:hint="eastAsia" w:ascii="仿宋_GB2312" w:eastAsia="仿宋_GB2312" w:cs="仿宋_GB2312"/>
          <w:bCs/>
          <w:kern w:val="0"/>
          <w:sz w:val="32"/>
          <w:szCs w:val="32"/>
        </w:rPr>
        <w:t xml:space="preserve">残疾人体育补助经费；二是部分支出按规定，通过使用以前年度财政拨款结转资金解决。其中：（根据公开表格作表述，有则表述） </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1.社会保障和就业支出（类）残疾人事业（款）残疾人康复（项）年初预算为</w:t>
      </w:r>
      <w:r>
        <w:rPr>
          <w:rFonts w:hint="eastAsia" w:ascii="仿宋_GB2312" w:eastAsia="仿宋_GB2312" w:cs="仿宋_GB2312"/>
          <w:bCs/>
          <w:kern w:val="0"/>
          <w:sz w:val="32"/>
          <w:szCs w:val="32"/>
          <w:lang w:val="en-US" w:eastAsia="zh-CN"/>
        </w:rPr>
        <w:t>2710.34</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2778.37</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102.51</w:t>
      </w:r>
      <w:r>
        <w:rPr>
          <w:rFonts w:ascii="仿宋_GB2312" w:eastAsia="仿宋_GB2312" w:cs="仿宋_GB2312"/>
          <w:bCs/>
          <w:kern w:val="0"/>
          <w:sz w:val="32"/>
          <w:szCs w:val="32"/>
        </w:rPr>
        <w:t>%</w:t>
      </w:r>
      <w:r>
        <w:rPr>
          <w:rFonts w:hint="eastAsia" w:ascii="仿宋_GB2312" w:eastAsia="仿宋_GB2312" w:cs="仿宋_GB2312"/>
          <w:bCs/>
          <w:kern w:val="0"/>
          <w:sz w:val="32"/>
          <w:szCs w:val="32"/>
        </w:rPr>
        <w:t>。决算数大于预算数的主要原因</w:t>
      </w:r>
      <w:r>
        <w:rPr>
          <w:rFonts w:hint="eastAsia" w:ascii="仿宋_GB2312" w:eastAsia="仿宋_GB2312" w:cs="仿宋_GB2312"/>
          <w:bCs/>
          <w:kern w:val="0"/>
          <w:sz w:val="32"/>
          <w:szCs w:val="32"/>
          <w:lang w:eastAsia="zh-CN"/>
        </w:rPr>
        <w:t>为</w:t>
      </w:r>
      <w:r>
        <w:rPr>
          <w:rFonts w:hint="eastAsia" w:ascii="仿宋_GB2312" w:eastAsia="仿宋_GB2312" w:cs="仿宋_GB2312"/>
          <w:bCs/>
          <w:kern w:val="0"/>
          <w:sz w:val="32"/>
          <w:szCs w:val="32"/>
        </w:rPr>
        <w:t>年中自治区下达残疾人康复专项补助经费</w:t>
      </w:r>
      <w:r>
        <w:rPr>
          <w:rFonts w:hint="eastAsia" w:ascii="仿宋_GB2312" w:eastAsia="仿宋_GB2312" w:cs="仿宋_GB2312"/>
          <w:bCs/>
          <w:kern w:val="0"/>
          <w:sz w:val="32"/>
          <w:szCs w:val="32"/>
          <w:lang w:val="en-US" w:eastAsia="zh-CN"/>
        </w:rPr>
        <w:t>17.5</w:t>
      </w:r>
      <w:r>
        <w:rPr>
          <w:rFonts w:hint="eastAsia" w:ascii="仿宋_GB2312" w:eastAsia="仿宋_GB2312" w:cs="仿宋_GB2312"/>
          <w:bCs/>
          <w:kern w:val="0"/>
          <w:sz w:val="32"/>
          <w:szCs w:val="32"/>
        </w:rPr>
        <w:t>万</w:t>
      </w:r>
      <w:r>
        <w:rPr>
          <w:rFonts w:hint="eastAsia" w:ascii="仿宋_GB2312" w:eastAsia="仿宋_GB2312" w:cs="仿宋_GB2312"/>
          <w:bCs/>
          <w:kern w:val="0"/>
          <w:sz w:val="32"/>
          <w:szCs w:val="32"/>
          <w:lang w:eastAsia="zh-CN"/>
        </w:rPr>
        <w:t>。</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2.社会保障和就业支出（类）残疾人事业（款）残疾人体育（项）年初预算为</w:t>
      </w:r>
      <w:r>
        <w:rPr>
          <w:rFonts w:hint="eastAsia" w:ascii="仿宋_GB2312" w:eastAsia="仿宋_GB2312" w:cs="仿宋_GB2312"/>
          <w:bCs/>
          <w:kern w:val="0"/>
          <w:sz w:val="32"/>
          <w:szCs w:val="32"/>
          <w:lang w:val="en-US" w:eastAsia="zh-CN"/>
        </w:rPr>
        <w:t>59.96</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263.25</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，完成年初预算数的</w:t>
      </w:r>
      <w:r>
        <w:rPr>
          <w:rFonts w:hint="eastAsia" w:ascii="仿宋_GB2312" w:eastAsia="仿宋_GB2312" w:cs="仿宋_GB2312"/>
          <w:bCs/>
          <w:kern w:val="0"/>
          <w:sz w:val="32"/>
          <w:szCs w:val="32"/>
          <w:lang w:val="en-US" w:eastAsia="zh-CN"/>
        </w:rPr>
        <w:t>439.04%</w:t>
      </w:r>
      <w:r>
        <w:rPr>
          <w:rFonts w:hint="eastAsia" w:ascii="仿宋_GB2312" w:eastAsia="仿宋_GB2312" w:cs="仿宋_GB2312"/>
          <w:bCs/>
          <w:kern w:val="0"/>
          <w:sz w:val="32"/>
          <w:szCs w:val="32"/>
        </w:rPr>
        <w:t>。决算数大于预算数的主要原因有：</w:t>
      </w: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是年中自治区下达残疾人体育专项经费</w:t>
      </w:r>
      <w:r>
        <w:rPr>
          <w:rFonts w:hint="eastAsia" w:ascii="仿宋_GB2312" w:eastAsia="仿宋_GB2312" w:cs="仿宋_GB2312"/>
          <w:bCs/>
          <w:kern w:val="0"/>
          <w:sz w:val="32"/>
          <w:szCs w:val="32"/>
          <w:lang w:val="en-US" w:eastAsia="zh-CN"/>
        </w:rPr>
        <w:t>272</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；二</w:t>
      </w:r>
      <w:r>
        <w:rPr>
          <w:rFonts w:hint="eastAsia" w:ascii="仿宋_GB2312" w:eastAsia="仿宋_GB2312" w:cs="仿宋_GB2312"/>
          <w:bCs/>
          <w:kern w:val="0"/>
          <w:sz w:val="32"/>
          <w:szCs w:val="32"/>
        </w:rPr>
        <w:t>是年中自治区下达残疾人体育专项</w:t>
      </w:r>
      <w:r>
        <w:rPr>
          <w:rFonts w:hint="eastAsia" w:ascii="仿宋_GB2312" w:eastAsia="仿宋_GB2312" w:cs="仿宋_GB2312"/>
          <w:bCs/>
          <w:kern w:val="0"/>
          <w:sz w:val="32"/>
          <w:szCs w:val="32"/>
          <w:lang w:eastAsia="zh-CN"/>
        </w:rPr>
        <w:t>补助</w:t>
      </w:r>
      <w:r>
        <w:rPr>
          <w:rFonts w:hint="eastAsia" w:ascii="仿宋_GB2312" w:eastAsia="仿宋_GB2312" w:cs="仿宋_GB2312"/>
          <w:bCs/>
          <w:kern w:val="0"/>
          <w:sz w:val="32"/>
          <w:szCs w:val="32"/>
        </w:rPr>
        <w:t>经费</w:t>
      </w:r>
      <w:r>
        <w:rPr>
          <w:rFonts w:hint="eastAsia" w:ascii="仿宋_GB2312" w:eastAsia="仿宋_GB2312" w:cs="仿宋_GB2312"/>
          <w:bCs/>
          <w:kern w:val="0"/>
          <w:sz w:val="32"/>
          <w:szCs w:val="32"/>
          <w:lang w:eastAsia="zh-CN"/>
        </w:rPr>
        <w:t>（奖励金）</w:t>
      </w:r>
      <w:r>
        <w:rPr>
          <w:rFonts w:hint="eastAsia" w:ascii="仿宋_GB2312" w:eastAsia="仿宋_GB2312" w:cs="仿宋_GB2312"/>
          <w:bCs/>
          <w:kern w:val="0"/>
          <w:sz w:val="32"/>
          <w:szCs w:val="32"/>
          <w:lang w:val="en-US" w:eastAsia="zh-CN"/>
        </w:rPr>
        <w:t>18.41</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p>
    <w:p>
      <w:pPr>
        <w:autoSpaceDE w:val="0"/>
        <w:autoSpaceDN w:val="0"/>
        <w:adjustRightInd w:val="0"/>
        <w:spacing w:line="560" w:lineRule="exact"/>
        <w:ind w:firstLine="640" w:firstLineChars="200"/>
        <w:jc w:val="left"/>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rPr>
        <w:t>3.社会保障和就业支出（类）残疾人事业（款）其他残疾人事业支出（项）年初预算为</w:t>
      </w:r>
      <w:r>
        <w:rPr>
          <w:rFonts w:hint="eastAsia" w:ascii="仿宋_GB2312" w:eastAsia="仿宋_GB2312" w:cs="仿宋_GB2312"/>
          <w:bCs/>
          <w:kern w:val="0"/>
          <w:sz w:val="32"/>
          <w:szCs w:val="32"/>
          <w:lang w:val="en-US" w:eastAsia="zh-CN"/>
        </w:rPr>
        <w:t>1627.92</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1849.63</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113.62</w:t>
      </w:r>
      <w:r>
        <w:rPr>
          <w:rFonts w:ascii="仿宋_GB2312" w:eastAsia="仿宋_GB2312" w:cs="仿宋_GB2312"/>
          <w:bCs/>
          <w:kern w:val="0"/>
          <w:sz w:val="32"/>
          <w:szCs w:val="32"/>
        </w:rPr>
        <w:t>%</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大</w:t>
      </w:r>
      <w:r>
        <w:rPr>
          <w:rFonts w:hint="eastAsia" w:ascii="仿宋_GB2312" w:eastAsia="仿宋_GB2312" w:cs="仿宋_GB2312"/>
          <w:bCs/>
          <w:kern w:val="0"/>
          <w:sz w:val="32"/>
          <w:szCs w:val="32"/>
        </w:rPr>
        <w:t>于预算数的主要原因有：</w:t>
      </w: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是年中自治区下达</w:t>
      </w:r>
      <w:r>
        <w:rPr>
          <w:rFonts w:hint="eastAsia" w:ascii="仿宋_GB2312" w:eastAsia="仿宋_GB2312" w:cs="仿宋_GB2312"/>
          <w:bCs/>
          <w:kern w:val="0"/>
          <w:sz w:val="32"/>
          <w:szCs w:val="32"/>
          <w:lang w:val="en-US" w:eastAsia="zh-CN"/>
        </w:rPr>
        <w:t>8.5</w:t>
      </w:r>
      <w:r>
        <w:rPr>
          <w:rFonts w:hint="eastAsia" w:ascii="仿宋_GB2312" w:eastAsia="仿宋_GB2312" w:cs="仿宋_GB2312"/>
          <w:bCs/>
          <w:kern w:val="0"/>
          <w:sz w:val="32"/>
          <w:szCs w:val="32"/>
        </w:rPr>
        <w:t>万元残疾人专职委员岗位补贴</w:t>
      </w:r>
      <w:r>
        <w:rPr>
          <w:rFonts w:hint="eastAsia" w:ascii="仿宋_GB2312" w:eastAsia="仿宋_GB2312" w:cs="仿宋_GB2312"/>
          <w:bCs/>
          <w:kern w:val="0"/>
          <w:sz w:val="32"/>
          <w:szCs w:val="32"/>
          <w:lang w:eastAsia="zh-CN"/>
        </w:rPr>
        <w:t>；二是年底市本级财政下达</w:t>
      </w:r>
      <w:r>
        <w:rPr>
          <w:rFonts w:hint="eastAsia" w:ascii="仿宋_GB2312" w:eastAsia="仿宋_GB2312" w:cs="仿宋_GB2312"/>
          <w:bCs/>
          <w:kern w:val="0"/>
          <w:sz w:val="32"/>
          <w:szCs w:val="32"/>
          <w:lang w:val="en-US" w:eastAsia="zh-CN"/>
        </w:rPr>
        <w:t>5万元</w:t>
      </w:r>
      <w:r>
        <w:rPr>
          <w:rFonts w:hint="eastAsia" w:ascii="仿宋_GB2312" w:eastAsia="仿宋_GB2312" w:cs="仿宋_GB2312"/>
          <w:bCs/>
          <w:kern w:val="0"/>
          <w:sz w:val="32"/>
          <w:szCs w:val="32"/>
          <w:lang w:eastAsia="zh-CN"/>
        </w:rPr>
        <w:t>2019年中央重大公共卫生服务补助资金；三是年中自治区下达</w:t>
      </w:r>
      <w:r>
        <w:rPr>
          <w:rFonts w:hint="eastAsia" w:ascii="仿宋_GB2312" w:eastAsia="仿宋_GB2312" w:cs="仿宋_GB2312"/>
          <w:bCs/>
          <w:kern w:val="0"/>
          <w:sz w:val="32"/>
          <w:szCs w:val="32"/>
          <w:lang w:val="en-US" w:eastAsia="zh-CN"/>
        </w:rPr>
        <w:t>22.7万元</w:t>
      </w:r>
      <w:r>
        <w:rPr>
          <w:rFonts w:hint="eastAsia" w:ascii="仿宋_GB2312" w:eastAsia="仿宋_GB2312" w:cs="仿宋_GB2312"/>
          <w:bCs/>
          <w:kern w:val="0"/>
          <w:sz w:val="32"/>
          <w:szCs w:val="32"/>
          <w:lang w:eastAsia="zh-CN"/>
        </w:rPr>
        <w:t>残疾人教育专项补助和</w:t>
      </w:r>
      <w:r>
        <w:rPr>
          <w:rFonts w:hint="eastAsia" w:ascii="仿宋_GB2312" w:eastAsia="仿宋_GB2312" w:cs="仿宋_GB2312"/>
          <w:bCs/>
          <w:kern w:val="0"/>
          <w:sz w:val="32"/>
          <w:szCs w:val="32"/>
          <w:lang w:val="en-US" w:eastAsia="zh-CN"/>
        </w:rPr>
        <w:t>0.2万元党员扶残温暖同行项目资金；四是动用历年结余资金376.18万元，用于残疾人康复托养装修工程（370.06万元）和自闭症综合楼结算审核费用（5.57万元）等项目开支。</w:t>
      </w:r>
    </w:p>
    <w:p>
      <w:pPr>
        <w:autoSpaceDE w:val="0"/>
        <w:autoSpaceDN w:val="0"/>
        <w:adjustRightInd w:val="0"/>
        <w:spacing w:line="560" w:lineRule="exact"/>
        <w:ind w:firstLine="640" w:firstLineChars="200"/>
        <w:jc w:val="left"/>
        <w:rPr>
          <w:rFonts w:hint="eastAsia" w:ascii="仿宋_GB2312" w:eastAsia="仿宋_GB2312" w:cs="仿宋_GB2312"/>
          <w:b/>
          <w:bCs w:val="0"/>
          <w:kern w:val="0"/>
          <w:sz w:val="32"/>
          <w:szCs w:val="32"/>
          <w:lang w:eastAsia="zh-CN"/>
        </w:rPr>
      </w:pPr>
      <w:r>
        <w:rPr>
          <w:rFonts w:hint="eastAsia" w:ascii="仿宋_GB2312" w:eastAsia="仿宋_GB2312" w:cs="仿宋_GB2312"/>
          <w:bCs/>
          <w:kern w:val="0"/>
          <w:sz w:val="32"/>
          <w:szCs w:val="32"/>
        </w:rPr>
        <w:t>六、</w:t>
      </w:r>
      <w:r>
        <w:rPr>
          <w:rFonts w:hint="eastAsia" w:ascii="仿宋_GB2312" w:eastAsia="仿宋_GB2312" w:cs="仿宋_GB2312"/>
          <w:b/>
          <w:bCs w:val="0"/>
          <w:kern w:val="0"/>
          <w:sz w:val="32"/>
          <w:szCs w:val="32"/>
          <w:lang w:eastAsia="zh-CN"/>
        </w:rPr>
        <w:t>201</w:t>
      </w:r>
      <w:r>
        <w:rPr>
          <w:rFonts w:hint="eastAsia" w:ascii="仿宋_GB2312" w:eastAsia="仿宋_GB2312" w:cs="仿宋_GB2312"/>
          <w:b/>
          <w:bCs w:val="0"/>
          <w:kern w:val="0"/>
          <w:sz w:val="32"/>
          <w:szCs w:val="32"/>
          <w:lang w:val="en-US" w:eastAsia="zh-CN"/>
        </w:rPr>
        <w:t>9</w:t>
      </w:r>
      <w:r>
        <w:rPr>
          <w:rFonts w:hint="eastAsia" w:ascii="仿宋_GB2312" w:eastAsia="仿宋_GB2312" w:cs="仿宋_GB2312"/>
          <w:b/>
          <w:bCs w:val="0"/>
          <w:kern w:val="0"/>
          <w:sz w:val="32"/>
          <w:szCs w:val="32"/>
        </w:rPr>
        <w:t>年度一般公共预算财政拨款基本支出决算情况（根据实际情况作表述 </w:t>
      </w:r>
      <w:r>
        <w:rPr>
          <w:rFonts w:hint="eastAsia" w:ascii="仿宋_GB2312" w:eastAsia="仿宋_GB2312" w:cs="仿宋_GB2312"/>
          <w:b/>
          <w:bCs w:val="0"/>
          <w:kern w:val="0"/>
          <w:sz w:val="32"/>
          <w:szCs w:val="32"/>
          <w:lang w:eastAsia="zh-CN"/>
        </w:rPr>
        <w:t>）</w:t>
      </w:r>
    </w:p>
    <w:p>
      <w:pPr>
        <w:autoSpaceDE w:val="0"/>
        <w:autoSpaceDN w:val="0"/>
        <w:adjustRightInd w:val="0"/>
        <w:spacing w:line="560" w:lineRule="exact"/>
        <w:ind w:firstLine="640" w:firstLineChars="200"/>
        <w:jc w:val="left"/>
        <w:rPr>
          <w:rFonts w:hint="eastAsia" w:ascii="仿宋_GB2312" w:eastAsia="仿宋_GB2312" w:cs="仿宋_GB2312"/>
          <w:b w:val="0"/>
          <w:bCs/>
          <w:kern w:val="0"/>
          <w:sz w:val="32"/>
          <w:szCs w:val="32"/>
        </w:rPr>
      </w:pPr>
      <w:r>
        <w:rPr>
          <w:rFonts w:hint="eastAsia" w:ascii="仿宋_GB2312" w:eastAsia="仿宋_GB2312" w:cs="仿宋_GB2312"/>
          <w:b w:val="0"/>
          <w:bCs/>
          <w:kern w:val="0"/>
          <w:sz w:val="32"/>
          <w:szCs w:val="32"/>
          <w:lang w:eastAsia="zh-CN"/>
        </w:rPr>
        <w:t>201</w:t>
      </w:r>
      <w:r>
        <w:rPr>
          <w:rFonts w:hint="eastAsia" w:ascii="仿宋_GB2312" w:eastAsia="仿宋_GB2312" w:cs="仿宋_GB2312"/>
          <w:b w:val="0"/>
          <w:bCs/>
          <w:kern w:val="0"/>
          <w:sz w:val="32"/>
          <w:szCs w:val="32"/>
          <w:lang w:val="en-US" w:eastAsia="zh-CN"/>
        </w:rPr>
        <w:t>9</w:t>
      </w:r>
      <w:r>
        <w:rPr>
          <w:rFonts w:hint="eastAsia" w:ascii="仿宋_GB2312" w:eastAsia="仿宋_GB2312" w:cs="仿宋_GB2312"/>
          <w:b w:val="0"/>
          <w:bCs/>
          <w:kern w:val="0"/>
          <w:sz w:val="32"/>
          <w:szCs w:val="32"/>
        </w:rPr>
        <w:t>年度财政拨款基本支出</w:t>
      </w:r>
      <w:r>
        <w:rPr>
          <w:rFonts w:hint="eastAsia" w:ascii="仿宋_GB2312" w:eastAsia="仿宋_GB2312" w:cs="仿宋_GB2312"/>
          <w:b w:val="0"/>
          <w:bCs/>
          <w:kern w:val="0"/>
          <w:sz w:val="32"/>
          <w:szCs w:val="32"/>
          <w:lang w:val="en-US" w:eastAsia="zh-CN"/>
        </w:rPr>
        <w:t>578.78</w:t>
      </w:r>
      <w:r>
        <w:rPr>
          <w:rFonts w:hint="eastAsia" w:ascii="仿宋_GB2312" w:eastAsia="仿宋_GB2312" w:cs="仿宋_GB2312"/>
          <w:b w:val="0"/>
          <w:bCs/>
          <w:kern w:val="0"/>
          <w:sz w:val="32"/>
          <w:szCs w:val="32"/>
        </w:rPr>
        <w:t>万元，其中：</w:t>
      </w:r>
    </w:p>
    <w:p>
      <w:pPr>
        <w:autoSpaceDE w:val="0"/>
        <w:autoSpaceDN w:val="0"/>
        <w:adjustRightInd w:val="0"/>
        <w:spacing w:line="560" w:lineRule="exact"/>
        <w:ind w:firstLine="640" w:firstLineChars="200"/>
        <w:jc w:val="left"/>
        <w:rPr>
          <w:rFonts w:hint="eastAsia" w:ascii="仿宋_GB2312" w:eastAsia="仿宋_GB2312" w:cs="仿宋_GB2312"/>
          <w:b w:val="0"/>
          <w:bCs/>
          <w:kern w:val="0"/>
          <w:sz w:val="32"/>
          <w:szCs w:val="32"/>
        </w:rPr>
      </w:pPr>
      <w:r>
        <w:rPr>
          <w:rFonts w:hint="eastAsia" w:ascii="仿宋_GB2312" w:eastAsia="仿宋_GB2312" w:cs="仿宋_GB2312"/>
          <w:b w:val="0"/>
          <w:bCs/>
          <w:kern w:val="0"/>
          <w:sz w:val="32"/>
          <w:szCs w:val="32"/>
        </w:rPr>
        <w:t xml:space="preserve"> 人员经费</w:t>
      </w:r>
      <w:r>
        <w:rPr>
          <w:rFonts w:hint="eastAsia" w:ascii="仿宋_GB2312" w:eastAsia="仿宋_GB2312" w:cs="仿宋_GB2312"/>
          <w:b w:val="0"/>
          <w:bCs/>
          <w:kern w:val="0"/>
          <w:sz w:val="32"/>
          <w:szCs w:val="32"/>
          <w:lang w:val="en-US" w:eastAsia="zh-CN"/>
        </w:rPr>
        <w:t>513.91</w:t>
      </w:r>
      <w:r>
        <w:rPr>
          <w:rFonts w:hint="eastAsia" w:ascii="仿宋_GB2312" w:eastAsia="仿宋_GB2312" w:cs="仿宋_GB2312"/>
          <w:b w:val="0"/>
          <w:bCs/>
          <w:kern w:val="0"/>
          <w:sz w:val="32"/>
          <w:szCs w:val="32"/>
        </w:rPr>
        <w:t>万元，主要包括：基本工资、津贴补贴、 奖金、伙食补助费、绩效工资、机关事业单位基本养老保险缴费、职业年金缴费、其他社会保障缴费、其他工资福利支出、 离休费、退休费、生活补助、医疗费、奖励金、住房公积金；</w:t>
      </w:r>
    </w:p>
    <w:p>
      <w:pPr>
        <w:autoSpaceDE w:val="0"/>
        <w:autoSpaceDN w:val="0"/>
        <w:adjustRightInd w:val="0"/>
        <w:spacing w:line="560" w:lineRule="exact"/>
        <w:ind w:firstLine="640" w:firstLineChars="200"/>
        <w:jc w:val="left"/>
        <w:rPr>
          <w:rFonts w:hint="eastAsia" w:ascii="仿宋_GB2312" w:eastAsia="仿宋_GB2312" w:cs="仿宋_GB2312"/>
          <w:b w:val="0"/>
          <w:bCs/>
          <w:kern w:val="0"/>
          <w:sz w:val="32"/>
          <w:szCs w:val="32"/>
          <w:lang w:eastAsia="zh-CN"/>
        </w:rPr>
      </w:pPr>
      <w:r>
        <w:rPr>
          <w:rFonts w:hint="eastAsia" w:ascii="仿宋_GB2312" w:eastAsia="仿宋_GB2312" w:cs="仿宋_GB2312"/>
          <w:b w:val="0"/>
          <w:bCs/>
          <w:kern w:val="0"/>
          <w:sz w:val="32"/>
          <w:szCs w:val="32"/>
        </w:rPr>
        <w:t>公用经费</w:t>
      </w:r>
      <w:r>
        <w:rPr>
          <w:rFonts w:hint="eastAsia" w:ascii="仿宋_GB2312" w:eastAsia="仿宋_GB2312" w:cs="仿宋_GB2312"/>
          <w:b w:val="0"/>
          <w:bCs/>
          <w:kern w:val="0"/>
          <w:sz w:val="32"/>
          <w:szCs w:val="32"/>
          <w:lang w:val="en-US" w:eastAsia="zh-CN"/>
        </w:rPr>
        <w:t>64.87</w:t>
      </w:r>
      <w:r>
        <w:rPr>
          <w:rFonts w:hint="eastAsia" w:ascii="仿宋_GB2312" w:eastAsia="仿宋_GB2312" w:cs="仿宋_GB2312"/>
          <w:b w:val="0"/>
          <w:bCs/>
          <w:kern w:val="0"/>
          <w:sz w:val="32"/>
          <w:szCs w:val="32"/>
        </w:rPr>
        <w:t>万元，主要 包括：办公费、印刷费、咨询费、手续费、水费、电费、邮电 费、物业管理费、差旅费、维 修（护）费、会议费、培训费、公务接待费、劳务费、委托业务费、工会经费、福利费、其他交通费用、税金及附加费用、其他商品和服务支出、办公设备购置、专用设备购置</w:t>
      </w:r>
      <w:r>
        <w:rPr>
          <w:rFonts w:hint="eastAsia" w:ascii="仿宋_GB2312" w:eastAsia="仿宋_GB2312" w:cs="仿宋_GB2312"/>
          <w:b w:val="0"/>
          <w:bCs/>
          <w:kern w:val="0"/>
          <w:sz w:val="32"/>
          <w:szCs w:val="32"/>
          <w:lang w:eastAsia="zh-CN"/>
        </w:rPr>
        <w:t>。</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bCs w:val="0"/>
          <w:kern w:val="0"/>
          <w:sz w:val="32"/>
          <w:szCs w:val="32"/>
          <w:lang w:eastAsia="zh-CN"/>
        </w:rPr>
        <w:t>201</w:t>
      </w:r>
      <w:r>
        <w:rPr>
          <w:rFonts w:hint="eastAsia" w:ascii="仿宋_GB2312" w:eastAsia="仿宋_GB2312" w:cs="仿宋_GB2312"/>
          <w:b/>
          <w:bCs w:val="0"/>
          <w:kern w:val="0"/>
          <w:sz w:val="32"/>
          <w:szCs w:val="32"/>
          <w:lang w:val="en-US" w:eastAsia="zh-CN"/>
        </w:rPr>
        <w:t>9</w:t>
      </w:r>
      <w:r>
        <w:rPr>
          <w:rFonts w:hint="eastAsia" w:ascii="仿宋_GB2312" w:eastAsia="仿宋_GB2312" w:cs="仿宋_GB2312"/>
          <w:b/>
          <w:bCs w:val="0"/>
          <w:kern w:val="0"/>
          <w:sz w:val="32"/>
          <w:szCs w:val="32"/>
        </w:rPr>
        <w:t xml:space="preserve"> 年度一般公共预算财政拨款“三公” 经费支出决算情况</w:t>
      </w:r>
      <w:r>
        <w:rPr>
          <w:rFonts w:hint="eastAsia" w:ascii="仿宋_GB2312" w:eastAsia="仿宋_GB2312" w:cs="仿宋_GB2312"/>
          <w:bCs/>
          <w:kern w:val="0"/>
          <w:sz w:val="32"/>
          <w:szCs w:val="32"/>
        </w:rPr>
        <w:t xml:space="preserve"> </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 xml:space="preserve"> 年度“三公”经费财政拨款支出预算为</w:t>
      </w:r>
      <w:r>
        <w:rPr>
          <w:rFonts w:hint="eastAsia" w:ascii="仿宋_GB2312" w:eastAsia="仿宋_GB2312" w:cs="仿宋_GB2312"/>
          <w:bCs/>
          <w:kern w:val="0"/>
          <w:sz w:val="32"/>
          <w:szCs w:val="32"/>
          <w:lang w:val="en-US" w:eastAsia="zh-CN"/>
        </w:rPr>
        <w:t>3.02</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2.15</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71.2</w:t>
      </w:r>
      <w:r>
        <w:rPr>
          <w:rFonts w:hint="eastAsia" w:ascii="仿宋_GB2312" w:eastAsia="仿宋_GB2312" w:cs="仿宋_GB2312"/>
          <w:bCs/>
          <w:kern w:val="0"/>
          <w:sz w:val="32"/>
          <w:szCs w:val="32"/>
        </w:rPr>
        <w:t>%，其中：公务用车购置及运行费支出决算为</w:t>
      </w:r>
      <w:r>
        <w:rPr>
          <w:rFonts w:hint="eastAsia" w:ascii="仿宋_GB2312" w:eastAsia="仿宋_GB2312" w:cs="仿宋_GB2312"/>
          <w:bCs/>
          <w:kern w:val="0"/>
          <w:sz w:val="32"/>
          <w:szCs w:val="32"/>
          <w:lang w:val="en-US" w:eastAsia="zh-CN"/>
        </w:rPr>
        <w:t>1.29</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64.5</w:t>
      </w:r>
      <w:r>
        <w:rPr>
          <w:rFonts w:hint="eastAsia" w:ascii="仿宋_GB2312" w:eastAsia="仿宋_GB2312" w:cs="仿宋_GB2312"/>
          <w:bCs/>
          <w:kern w:val="0"/>
          <w:sz w:val="32"/>
          <w:szCs w:val="32"/>
        </w:rPr>
        <w:t>%；公务接待费支出决算为</w:t>
      </w:r>
      <w:r>
        <w:rPr>
          <w:rFonts w:hint="eastAsia" w:ascii="仿宋_GB2312" w:eastAsia="仿宋_GB2312" w:cs="仿宋_GB2312"/>
          <w:bCs/>
          <w:kern w:val="0"/>
          <w:sz w:val="32"/>
          <w:szCs w:val="32"/>
          <w:lang w:val="en-US" w:eastAsia="zh-CN"/>
        </w:rPr>
        <w:t>0.86</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84.3</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年度“三公”经费支出决算数小于预算数的主要原因是认真贯彻落实中央“八项规定”精神和厉行节约要求，进一步从严控制“三公”经费开支，全年实际支出比预算有所节约</w:t>
      </w:r>
      <w:r>
        <w:rPr>
          <w:rFonts w:hint="eastAsia" w:ascii="仿宋_GB2312" w:eastAsia="仿宋_GB2312" w:cs="仿宋_GB2312"/>
          <w:bCs/>
          <w:kern w:val="0"/>
          <w:sz w:val="32"/>
          <w:szCs w:val="32"/>
          <w:lang w:eastAsia="zh-CN"/>
        </w:rPr>
        <w:t>。</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年度“三公”经费财政拨款支出决算数比</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8</w:t>
      </w:r>
      <w:r>
        <w:rPr>
          <w:rFonts w:hint="eastAsia" w:ascii="仿宋_GB2312" w:eastAsia="仿宋_GB2312" w:cs="仿宋_GB2312"/>
          <w:bCs/>
          <w:kern w:val="0"/>
          <w:sz w:val="32"/>
          <w:szCs w:val="32"/>
        </w:rPr>
        <w:t>年减少</w:t>
      </w:r>
      <w:r>
        <w:rPr>
          <w:rFonts w:hint="eastAsia" w:ascii="仿宋_GB2312" w:eastAsia="仿宋_GB2312" w:cs="仿宋_GB2312"/>
          <w:bCs/>
          <w:kern w:val="0"/>
          <w:sz w:val="32"/>
          <w:szCs w:val="32"/>
          <w:lang w:val="en-US" w:eastAsia="zh-CN"/>
        </w:rPr>
        <w:t>4.9</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69.5</w:t>
      </w:r>
      <w:r>
        <w:rPr>
          <w:rFonts w:hint="eastAsia" w:ascii="仿宋_GB2312" w:eastAsia="仿宋_GB2312" w:cs="仿宋_GB2312"/>
          <w:bCs/>
          <w:kern w:val="0"/>
          <w:sz w:val="32"/>
          <w:szCs w:val="32"/>
        </w:rPr>
        <w:t>%，其中：因公出国（境）费支出决算</w:t>
      </w:r>
      <w:r>
        <w:rPr>
          <w:rFonts w:hint="eastAsia" w:ascii="仿宋_GB2312" w:eastAsia="仿宋_GB2312" w:cs="仿宋_GB2312"/>
          <w:bCs/>
          <w:kern w:val="0"/>
          <w:sz w:val="32"/>
          <w:szCs w:val="32"/>
          <w:lang w:eastAsia="zh-CN"/>
        </w:rPr>
        <w:t>今年为</w:t>
      </w:r>
      <w:r>
        <w:rPr>
          <w:rFonts w:hint="eastAsia" w:ascii="仿宋_GB2312" w:eastAsia="仿宋_GB2312" w:cs="仿宋_GB2312"/>
          <w:bCs/>
          <w:kern w:val="0"/>
          <w:sz w:val="32"/>
          <w:szCs w:val="32"/>
          <w:lang w:val="en-US" w:eastAsia="zh-CN"/>
        </w:rPr>
        <w:t>0万元，</w:t>
      </w:r>
      <w:r>
        <w:rPr>
          <w:rFonts w:hint="eastAsia" w:ascii="仿宋_GB2312" w:eastAsia="仿宋_GB2312" w:cs="仿宋_GB2312"/>
          <w:bCs/>
          <w:kern w:val="0"/>
          <w:sz w:val="32"/>
          <w:szCs w:val="32"/>
        </w:rPr>
        <w:t>减少</w:t>
      </w:r>
      <w:r>
        <w:rPr>
          <w:rFonts w:hint="eastAsia" w:ascii="仿宋_GB2312" w:eastAsia="仿宋_GB2312" w:cs="仿宋_GB2312"/>
          <w:bCs/>
          <w:kern w:val="0"/>
          <w:sz w:val="32"/>
          <w:szCs w:val="32"/>
          <w:lang w:val="en-US" w:eastAsia="zh-CN"/>
        </w:rPr>
        <w:t>5.3</w:t>
      </w:r>
      <w:r>
        <w:rPr>
          <w:rFonts w:hint="eastAsia" w:ascii="仿宋_GB2312" w:eastAsia="仿宋_GB2312" w:cs="仿宋_GB2312"/>
          <w:bCs/>
          <w:kern w:val="0"/>
          <w:sz w:val="32"/>
          <w:szCs w:val="32"/>
        </w:rPr>
        <w:t>万元；公务接待费支出决算减少</w:t>
      </w:r>
      <w:r>
        <w:rPr>
          <w:rFonts w:hint="eastAsia" w:ascii="仿宋_GB2312" w:eastAsia="仿宋_GB2312" w:cs="仿宋_GB2312"/>
          <w:bCs/>
          <w:kern w:val="0"/>
          <w:sz w:val="32"/>
          <w:szCs w:val="32"/>
          <w:lang w:val="en-US" w:eastAsia="zh-CN"/>
        </w:rPr>
        <w:t>0.26</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30.23</w:t>
      </w:r>
      <w:r>
        <w:rPr>
          <w:rFonts w:hint="eastAsia" w:ascii="仿宋_GB2312" w:eastAsia="仿宋_GB2312" w:cs="仿宋_GB2312"/>
          <w:bCs/>
          <w:kern w:val="0"/>
          <w:sz w:val="32"/>
          <w:szCs w:val="32"/>
        </w:rPr>
        <w:t>%。</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Cs/>
          <w:kern w:val="0"/>
          <w:sz w:val="32"/>
          <w:szCs w:val="32"/>
        </w:rPr>
        <w:t xml:space="preserve"> 因公出国（境）费支出减少的主要原因是</w:t>
      </w:r>
      <w:r>
        <w:rPr>
          <w:rFonts w:hint="eastAsia" w:ascii="仿宋_GB2312" w:eastAsia="仿宋_GB2312" w:cs="仿宋_GB2312"/>
          <w:bCs/>
          <w:kern w:val="0"/>
          <w:sz w:val="32"/>
          <w:szCs w:val="32"/>
          <w:lang w:eastAsia="zh-CN"/>
        </w:rPr>
        <w:t>我单位今年没有因公出国安排；</w:t>
      </w:r>
      <w:r>
        <w:rPr>
          <w:rFonts w:hint="eastAsia" w:ascii="仿宋_GB2312" w:eastAsia="仿宋_GB2312" w:cs="仿宋_GB2312"/>
          <w:bCs/>
          <w:kern w:val="0"/>
          <w:sz w:val="32"/>
          <w:szCs w:val="32"/>
        </w:rPr>
        <w:t>公务接待费支出减少的主要原因是认真贯彻落实中央“八项规定”精神和厉行节约要求，进一步从严控制“三公”经费开支，全年实际支出比预算有所节约。</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Cs/>
          <w:kern w:val="0"/>
          <w:sz w:val="32"/>
          <w:szCs w:val="32"/>
        </w:rPr>
        <w:t>（二）“三公”经费财政拨款支出决算具体情况</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年度“三公”经费财政拨款支出决算中，公务用车购置及运行费 支出决算</w:t>
      </w:r>
      <w:r>
        <w:rPr>
          <w:rFonts w:hint="eastAsia" w:ascii="仿宋_GB2312" w:eastAsia="仿宋_GB2312" w:cs="仿宋_GB2312"/>
          <w:bCs/>
          <w:kern w:val="0"/>
          <w:sz w:val="32"/>
          <w:szCs w:val="32"/>
          <w:lang w:val="en-US" w:eastAsia="zh-CN"/>
        </w:rPr>
        <w:t>1.29</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60</w:t>
      </w:r>
      <w:r>
        <w:rPr>
          <w:rFonts w:hint="eastAsia" w:ascii="仿宋_GB2312" w:eastAsia="仿宋_GB2312" w:cs="仿宋_GB2312"/>
          <w:bCs/>
          <w:kern w:val="0"/>
          <w:sz w:val="32"/>
          <w:szCs w:val="32"/>
        </w:rPr>
        <w:t>%；公务接待费支出决算</w:t>
      </w:r>
      <w:r>
        <w:rPr>
          <w:rFonts w:hint="eastAsia" w:ascii="仿宋_GB2312" w:eastAsia="仿宋_GB2312" w:cs="仿宋_GB2312"/>
          <w:bCs/>
          <w:kern w:val="0"/>
          <w:sz w:val="32"/>
          <w:szCs w:val="32"/>
          <w:lang w:val="en-US" w:eastAsia="zh-CN"/>
        </w:rPr>
        <w:t>0.86</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40</w:t>
      </w:r>
      <w:r>
        <w:rPr>
          <w:rFonts w:hint="eastAsia" w:ascii="仿宋_GB2312" w:eastAsia="仿宋_GB2312" w:cs="仿宋_GB2312"/>
          <w:bCs/>
          <w:kern w:val="0"/>
          <w:sz w:val="32"/>
          <w:szCs w:val="32"/>
        </w:rPr>
        <w:t xml:space="preserve">%。具体情况如下：  </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 xml:space="preserve">    1</w:t>
      </w:r>
      <w:r>
        <w:rPr>
          <w:rFonts w:hint="eastAsia" w:ascii="仿宋_GB2312" w:eastAsia="仿宋_GB2312" w:cs="仿宋_GB2312"/>
          <w:bCs/>
          <w:kern w:val="0"/>
          <w:sz w:val="32"/>
          <w:szCs w:val="32"/>
        </w:rPr>
        <w:t>.公务用车购置及运行费支出</w:t>
      </w:r>
      <w:r>
        <w:rPr>
          <w:rFonts w:hint="eastAsia" w:ascii="仿宋_GB2312" w:eastAsia="仿宋_GB2312" w:cs="仿宋_GB2312"/>
          <w:bCs/>
          <w:kern w:val="0"/>
          <w:sz w:val="32"/>
          <w:szCs w:val="32"/>
          <w:lang w:val="en-US" w:eastAsia="zh-CN"/>
        </w:rPr>
        <w:t>1.29</w:t>
      </w:r>
      <w:r>
        <w:rPr>
          <w:rFonts w:hint="eastAsia" w:ascii="仿宋_GB2312" w:eastAsia="仿宋_GB2312" w:cs="仿宋_GB2312"/>
          <w:bCs/>
          <w:kern w:val="0"/>
          <w:sz w:val="32"/>
          <w:szCs w:val="32"/>
        </w:rPr>
        <w:t>万元。其中：公务用车运行支出</w:t>
      </w:r>
      <w:r>
        <w:rPr>
          <w:rFonts w:hint="eastAsia" w:ascii="仿宋_GB2312" w:eastAsia="仿宋_GB2312" w:cs="仿宋_GB2312"/>
          <w:bCs/>
          <w:kern w:val="0"/>
          <w:sz w:val="32"/>
          <w:szCs w:val="32"/>
          <w:lang w:val="en-US" w:eastAsia="zh-CN"/>
        </w:rPr>
        <w:t>1.29</w:t>
      </w:r>
      <w:r>
        <w:rPr>
          <w:rFonts w:hint="eastAsia" w:ascii="仿宋_GB2312" w:eastAsia="仿宋_GB2312" w:cs="仿宋_GB2312"/>
          <w:bCs/>
          <w:kern w:val="0"/>
          <w:sz w:val="32"/>
          <w:szCs w:val="32"/>
        </w:rPr>
        <w:t>万元。主要用于</w:t>
      </w:r>
      <w:r>
        <w:rPr>
          <w:rFonts w:hint="eastAsia" w:ascii="仿宋_GB2312" w:eastAsia="仿宋_GB2312" w:cs="仿宋_GB2312"/>
          <w:bCs/>
          <w:kern w:val="0"/>
          <w:sz w:val="32"/>
          <w:szCs w:val="32"/>
          <w:lang w:eastAsia="zh-CN"/>
        </w:rPr>
        <w:t>公务用车运行维护。201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年，机关所属单位开支财政拨款的公务用车保有量为</w:t>
      </w: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辆。</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Cs/>
          <w:kern w:val="0"/>
          <w:sz w:val="32"/>
          <w:szCs w:val="32"/>
        </w:rPr>
        <w:t>3.公务接待费支出</w:t>
      </w:r>
      <w:r>
        <w:rPr>
          <w:rFonts w:hint="eastAsia" w:ascii="仿宋_GB2312" w:eastAsia="仿宋_GB2312" w:cs="仿宋_GB2312"/>
          <w:bCs/>
          <w:kern w:val="0"/>
          <w:sz w:val="32"/>
          <w:szCs w:val="32"/>
          <w:lang w:val="en-US" w:eastAsia="zh-CN"/>
        </w:rPr>
        <w:t>0.86</w:t>
      </w:r>
      <w:r>
        <w:rPr>
          <w:rFonts w:hint="eastAsia" w:ascii="仿宋_GB2312" w:eastAsia="仿宋_GB2312" w:cs="仿宋_GB2312"/>
          <w:bCs/>
          <w:kern w:val="0"/>
          <w:sz w:val="32"/>
          <w:szCs w:val="32"/>
        </w:rPr>
        <w:t>万元。其中：</w:t>
      </w:r>
    </w:p>
    <w:p>
      <w:pPr>
        <w:autoSpaceDE w:val="0"/>
        <w:autoSpaceDN w:val="0"/>
        <w:adjustRightInd w:val="0"/>
        <w:spacing w:line="560" w:lineRule="exact"/>
        <w:ind w:firstLine="640" w:firstLineChars="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外宾接待支出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 xml:space="preserve"> 年共接待国（境）外来访团组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个、来访外宾</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人次。</w:t>
      </w:r>
    </w:p>
    <w:p>
      <w:pPr>
        <w:autoSpaceDE w:val="0"/>
        <w:autoSpaceDN w:val="0"/>
        <w:adjustRightInd w:val="0"/>
        <w:spacing w:line="560" w:lineRule="exact"/>
        <w:ind w:firstLine="640" w:firstLineChars="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国内公务接待支出</w:t>
      </w:r>
      <w:r>
        <w:rPr>
          <w:rFonts w:hint="eastAsia" w:ascii="仿宋_GB2312" w:eastAsia="仿宋_GB2312" w:cs="仿宋_GB2312"/>
          <w:bCs/>
          <w:kern w:val="0"/>
          <w:sz w:val="32"/>
          <w:szCs w:val="32"/>
          <w:lang w:val="en-US" w:eastAsia="zh-CN"/>
        </w:rPr>
        <w:t>0.86</w:t>
      </w:r>
      <w:r>
        <w:rPr>
          <w:rFonts w:hint="eastAsia" w:ascii="仿宋_GB2312" w:eastAsia="仿宋_GB2312" w:cs="仿宋_GB2312"/>
          <w:bCs/>
          <w:kern w:val="0"/>
          <w:sz w:val="32"/>
          <w:szCs w:val="32"/>
        </w:rPr>
        <w:t>万元。主要用于接待自治区残联来柳检查督查各项工作及其他地市残联来柳州市残联考察交流学习座谈开支。</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 xml:space="preserve"> 年共接待国内来访团组</w:t>
      </w:r>
      <w:r>
        <w:rPr>
          <w:rFonts w:hint="eastAsia" w:ascii="仿宋_GB2312" w:eastAsia="仿宋_GB2312" w:cs="仿宋_GB2312"/>
          <w:bCs/>
          <w:kern w:val="0"/>
          <w:sz w:val="32"/>
          <w:szCs w:val="32"/>
          <w:lang w:val="en-US" w:eastAsia="zh-CN"/>
        </w:rPr>
        <w:t>10</w:t>
      </w:r>
      <w:r>
        <w:rPr>
          <w:rFonts w:hint="eastAsia" w:ascii="仿宋_GB2312" w:eastAsia="仿宋_GB2312" w:cs="仿宋_GB2312"/>
          <w:bCs/>
          <w:kern w:val="0"/>
          <w:sz w:val="32"/>
          <w:szCs w:val="32"/>
        </w:rPr>
        <w:t>个、来宾</w:t>
      </w:r>
      <w:r>
        <w:rPr>
          <w:rFonts w:hint="eastAsia" w:ascii="仿宋_GB2312" w:eastAsia="仿宋_GB2312" w:cs="仿宋_GB2312"/>
          <w:bCs/>
          <w:kern w:val="0"/>
          <w:sz w:val="32"/>
          <w:szCs w:val="32"/>
          <w:lang w:val="en-US" w:eastAsia="zh-CN"/>
        </w:rPr>
        <w:t>67</w:t>
      </w:r>
      <w:r>
        <w:rPr>
          <w:rFonts w:hint="eastAsia" w:ascii="仿宋_GB2312" w:eastAsia="仿宋_GB2312" w:cs="仿宋_GB2312"/>
          <w:bCs/>
          <w:kern w:val="0"/>
          <w:sz w:val="32"/>
          <w:szCs w:val="32"/>
        </w:rPr>
        <w:t>人次</w:t>
      </w:r>
      <w:r>
        <w:rPr>
          <w:rFonts w:hint="eastAsia" w:ascii="仿宋_GB2312" w:eastAsia="仿宋_GB2312" w:cs="仿宋_GB2312"/>
          <w:bCs/>
          <w:kern w:val="0"/>
          <w:sz w:val="32"/>
          <w:szCs w:val="32"/>
          <w:lang w:eastAsia="zh-CN"/>
        </w:rPr>
        <w:t>。</w:t>
      </w:r>
    </w:p>
    <w:p>
      <w:pPr>
        <w:autoSpaceDE w:val="0"/>
        <w:autoSpaceDN w:val="0"/>
        <w:adjustRightInd w:val="0"/>
        <w:spacing w:line="560" w:lineRule="exact"/>
        <w:ind w:firstLine="0" w:firstLineChars="0"/>
        <w:jc w:val="left"/>
        <w:rPr>
          <w:rFonts w:hint="eastAsia" w:ascii="仿宋_GB2312" w:eastAsia="仿宋_GB2312" w:cs="仿宋_GB2312"/>
          <w:b/>
          <w:bCs w:val="0"/>
          <w:kern w:val="0"/>
          <w:sz w:val="32"/>
          <w:szCs w:val="32"/>
        </w:rPr>
      </w:pP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Cs/>
          <w:kern w:val="0"/>
          <w:sz w:val="32"/>
          <w:szCs w:val="32"/>
        </w:rPr>
        <w:t>八、</w:t>
      </w:r>
      <w:r>
        <w:rPr>
          <w:rFonts w:hint="eastAsia" w:ascii="仿宋_GB2312" w:eastAsia="仿宋_GB2312" w:cs="仿宋_GB2312"/>
          <w:b/>
          <w:bCs w:val="0"/>
          <w:kern w:val="0"/>
          <w:sz w:val="32"/>
          <w:szCs w:val="32"/>
          <w:lang w:eastAsia="zh-CN"/>
        </w:rPr>
        <w:t>201</w:t>
      </w:r>
      <w:r>
        <w:rPr>
          <w:rFonts w:hint="eastAsia" w:ascii="仿宋_GB2312" w:eastAsia="仿宋_GB2312" w:cs="仿宋_GB2312"/>
          <w:b/>
          <w:bCs w:val="0"/>
          <w:kern w:val="0"/>
          <w:sz w:val="32"/>
          <w:szCs w:val="32"/>
          <w:lang w:val="en-US" w:eastAsia="zh-CN"/>
        </w:rPr>
        <w:t>9</w:t>
      </w:r>
      <w:r>
        <w:rPr>
          <w:rFonts w:hint="eastAsia" w:ascii="仿宋_GB2312" w:eastAsia="仿宋_GB2312" w:cs="仿宋_GB2312"/>
          <w:b/>
          <w:bCs w:val="0"/>
          <w:kern w:val="0"/>
          <w:sz w:val="32"/>
          <w:szCs w:val="32"/>
        </w:rPr>
        <w:t xml:space="preserve"> 年度政府性基金预算财政拨款收入支出决算情况说明 </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本部门 </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 xml:space="preserve">年度政府基金预算财政拨款收、支总决算 </w:t>
      </w:r>
      <w:r>
        <w:rPr>
          <w:rFonts w:hint="eastAsia" w:ascii="仿宋_GB2312" w:eastAsia="仿宋_GB2312" w:cs="仿宋_GB2312"/>
          <w:bCs/>
          <w:kern w:val="0"/>
          <w:sz w:val="32"/>
          <w:szCs w:val="32"/>
          <w:lang w:val="en-US" w:eastAsia="zh-CN"/>
        </w:rPr>
        <w:t>63</w:t>
      </w:r>
      <w:r>
        <w:rPr>
          <w:rFonts w:hint="eastAsia" w:ascii="仿宋_GB2312" w:eastAsia="仿宋_GB2312" w:cs="仿宋_GB2312"/>
          <w:bCs/>
          <w:kern w:val="0"/>
          <w:sz w:val="32"/>
          <w:szCs w:val="32"/>
        </w:rPr>
        <w:t xml:space="preserve">万元。与 </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8</w:t>
      </w:r>
      <w:r>
        <w:rPr>
          <w:rFonts w:hint="eastAsia" w:ascii="仿宋_GB2312" w:eastAsia="仿宋_GB2312" w:cs="仿宋_GB2312"/>
          <w:bCs/>
          <w:kern w:val="0"/>
          <w:sz w:val="32"/>
          <w:szCs w:val="32"/>
        </w:rPr>
        <w:t xml:space="preserve"> 年相比，收、支总计各</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lang w:val="en-US" w:eastAsia="zh-CN"/>
        </w:rPr>
        <w:t>663.47</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lang w:val="en-US" w:eastAsia="zh-CN"/>
        </w:rPr>
        <w:t>91.33</w:t>
      </w:r>
      <w:r>
        <w:rPr>
          <w:rFonts w:hint="eastAsia" w:ascii="仿宋_GB2312" w:eastAsia="仿宋_GB2312" w:cs="仿宋_GB2312"/>
          <w:bCs/>
          <w:kern w:val="0"/>
          <w:sz w:val="32"/>
          <w:szCs w:val="32"/>
        </w:rPr>
        <w:t>%。其中，支出情况为：</w:t>
      </w:r>
    </w:p>
    <w:p>
      <w:pPr>
        <w:autoSpaceDE w:val="0"/>
        <w:autoSpaceDN w:val="0"/>
        <w:adjustRightInd w:val="0"/>
        <w:spacing w:line="560" w:lineRule="exact"/>
        <w:ind w:firstLine="800" w:firstLineChars="25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年基金拨款年初预算为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w:t>
      </w:r>
      <w:r>
        <w:rPr>
          <w:rFonts w:hint="eastAsia" w:ascii="仿宋_GB2312" w:eastAsia="仿宋_GB2312" w:cs="仿宋_GB2312"/>
          <w:bCs/>
          <w:kern w:val="0"/>
          <w:sz w:val="32"/>
          <w:szCs w:val="32"/>
          <w:lang w:val="en-US" w:eastAsia="zh-CN"/>
        </w:rPr>
        <w:t>63</w:t>
      </w:r>
      <w:r>
        <w:rPr>
          <w:rFonts w:hint="eastAsia" w:ascii="仿宋_GB2312" w:eastAsia="仿宋_GB2312" w:cs="仿宋_GB2312"/>
          <w:bCs/>
          <w:kern w:val="0"/>
          <w:sz w:val="32"/>
          <w:szCs w:val="32"/>
        </w:rPr>
        <w:t>万元，决算大于预算数主要原因：年中追加安排政府性基金财政拨款支出预算，涉及项目有中央彩票公益金残疾儿童康复救助项目</w:t>
      </w:r>
      <w:r>
        <w:rPr>
          <w:rFonts w:hint="eastAsia" w:ascii="仿宋_GB2312" w:eastAsia="仿宋_GB2312" w:cs="仿宋_GB2312"/>
          <w:bCs/>
          <w:kern w:val="0"/>
          <w:sz w:val="32"/>
          <w:szCs w:val="32"/>
          <w:lang w:val="en-US" w:eastAsia="zh-CN"/>
        </w:rPr>
        <w:t>60</w:t>
      </w:r>
      <w:r>
        <w:rPr>
          <w:rFonts w:hint="eastAsia" w:ascii="仿宋_GB2312" w:eastAsia="仿宋_GB2312" w:cs="仿宋_GB2312"/>
          <w:bCs/>
          <w:kern w:val="0"/>
          <w:sz w:val="32"/>
          <w:szCs w:val="32"/>
        </w:rPr>
        <w:t>万元及贫困残疾儿童学前教育资助</w:t>
      </w:r>
      <w:r>
        <w:rPr>
          <w:rFonts w:hint="eastAsia" w:ascii="仿宋_GB2312" w:eastAsia="仿宋_GB2312" w:cs="仿宋_GB2312"/>
          <w:bCs/>
          <w:kern w:val="0"/>
          <w:sz w:val="32"/>
          <w:szCs w:val="32"/>
          <w:lang w:val="en-US" w:eastAsia="zh-CN"/>
        </w:rPr>
        <w:t>15</w:t>
      </w:r>
      <w:r>
        <w:rPr>
          <w:rFonts w:hint="eastAsia" w:ascii="仿宋_GB2312" w:eastAsia="仿宋_GB2312" w:cs="仿宋_GB2312"/>
          <w:bCs/>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1.</w:t>
      </w:r>
      <w:r>
        <w:rPr>
          <w:rFonts w:hint="eastAsia" w:ascii="仿宋_GB2312" w:eastAsia="仿宋_GB2312" w:cs="仿宋_GB2312"/>
          <w:bCs/>
          <w:kern w:val="0"/>
          <w:sz w:val="32"/>
          <w:szCs w:val="32"/>
          <w:lang w:eastAsia="zh-CN"/>
        </w:rPr>
        <w:t>其他支出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彩票公益金安排的支出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用于残疾人事业的彩票公益金支出</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63</w:t>
      </w:r>
      <w:r>
        <w:rPr>
          <w:rFonts w:hint="eastAsia" w:ascii="仿宋_GB2312" w:eastAsia="仿宋_GB2312" w:cs="仿宋_GB2312"/>
          <w:bCs/>
          <w:kern w:val="0"/>
          <w:sz w:val="32"/>
          <w:szCs w:val="32"/>
        </w:rPr>
        <w:t>万元。决算数大于预算数的主要原因是年中追加安排政府性基金财政拨款支出预算，涉及项目有中央彩票公益金残疾儿童康复救助项目</w:t>
      </w:r>
      <w:r>
        <w:rPr>
          <w:rFonts w:hint="eastAsia" w:ascii="仿宋_GB2312" w:eastAsia="仿宋_GB2312" w:cs="仿宋_GB2312"/>
          <w:bCs/>
          <w:kern w:val="0"/>
          <w:sz w:val="32"/>
          <w:szCs w:val="32"/>
          <w:lang w:val="en-US" w:eastAsia="zh-CN"/>
        </w:rPr>
        <w:t>60</w:t>
      </w:r>
      <w:r>
        <w:rPr>
          <w:rFonts w:hint="eastAsia" w:ascii="仿宋_GB2312" w:eastAsia="仿宋_GB2312" w:cs="仿宋_GB2312"/>
          <w:bCs/>
          <w:kern w:val="0"/>
          <w:sz w:val="32"/>
          <w:szCs w:val="32"/>
        </w:rPr>
        <w:t>万元及贫困残疾儿童学前教育资助</w:t>
      </w:r>
      <w:r>
        <w:rPr>
          <w:rFonts w:hint="eastAsia" w:ascii="仿宋_GB2312" w:eastAsia="仿宋_GB2312" w:cs="仿宋_GB2312"/>
          <w:bCs/>
          <w:kern w:val="0"/>
          <w:sz w:val="32"/>
          <w:szCs w:val="32"/>
          <w:lang w:val="en-US" w:eastAsia="zh-CN"/>
        </w:rPr>
        <w:t>15</w:t>
      </w:r>
      <w:r>
        <w:rPr>
          <w:rFonts w:hint="eastAsia" w:ascii="仿宋_GB2312" w:eastAsia="仿宋_GB2312" w:cs="仿宋_GB2312"/>
          <w:bCs/>
          <w:kern w:val="0"/>
          <w:sz w:val="32"/>
          <w:szCs w:val="32"/>
        </w:rPr>
        <w:t>万元。</w:t>
      </w:r>
    </w:p>
    <w:p>
      <w:pPr>
        <w:autoSpaceDE w:val="0"/>
        <w:autoSpaceDN w:val="0"/>
        <w:adjustRightInd w:val="0"/>
        <w:ind w:firstLine="643" w:firstLineChars="200"/>
        <w:jc w:val="left"/>
        <w:rPr>
          <w:rFonts w:hint="eastAsia" w:ascii="仿宋_GB2312" w:eastAsia="仿宋_GB2312" w:cs="仿宋_GB2312"/>
          <w:b/>
          <w:bCs w:val="0"/>
          <w:kern w:val="0"/>
          <w:sz w:val="32"/>
          <w:szCs w:val="32"/>
        </w:rPr>
      </w:pPr>
      <w:r>
        <w:rPr>
          <w:rFonts w:hint="eastAsia" w:ascii="仿宋_GB2312" w:eastAsia="仿宋_GB2312" w:cs="仿宋_GB2312"/>
          <w:b/>
          <w:bCs w:val="0"/>
          <w:kern w:val="0"/>
          <w:sz w:val="32"/>
          <w:szCs w:val="32"/>
          <w:lang w:eastAsia="zh-CN"/>
        </w:rPr>
        <w:t>九、</w:t>
      </w:r>
      <w:r>
        <w:rPr>
          <w:rFonts w:hint="eastAsia" w:eastAsia="仿宋_GB2312"/>
          <w:b/>
          <w:kern w:val="0"/>
          <w:sz w:val="32"/>
          <w:szCs w:val="32"/>
          <w:lang w:eastAsia="zh-CN"/>
        </w:rPr>
        <w:t>201</w:t>
      </w:r>
      <w:r>
        <w:rPr>
          <w:rFonts w:hint="eastAsia" w:eastAsia="仿宋_GB2312"/>
          <w:b/>
          <w:kern w:val="0"/>
          <w:sz w:val="32"/>
          <w:szCs w:val="32"/>
          <w:lang w:val="en-US" w:eastAsia="zh-CN"/>
        </w:rPr>
        <w:t>9</w:t>
      </w:r>
      <w:r>
        <w:rPr>
          <w:rFonts w:hint="eastAsia" w:ascii="仿宋_GB2312" w:eastAsia="仿宋_GB2312" w:cs="仿宋_GB2312"/>
          <w:b/>
          <w:bCs w:val="0"/>
          <w:kern w:val="0"/>
          <w:sz w:val="32"/>
          <w:szCs w:val="32"/>
        </w:rPr>
        <w:t xml:space="preserve"> 年度预算绩效情况说明</w:t>
      </w:r>
    </w:p>
    <w:p>
      <w:pPr>
        <w:numPr>
          <w:ilvl w:val="0"/>
          <w:numId w:val="1"/>
        </w:numPr>
        <w:autoSpaceDE w:val="0"/>
        <w:autoSpaceDN w:val="0"/>
        <w:adjustRightInd w:val="0"/>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autoSpaceDE w:val="0"/>
        <w:autoSpaceDN w:val="0"/>
        <w:adjustRightInd w:val="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Cs/>
          <w:kern w:val="0"/>
          <w:sz w:val="32"/>
          <w:szCs w:val="32"/>
        </w:rPr>
        <w:t xml:space="preserve">  根据财政预算管理要求，本部门组织对201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年度一般公共预算</w:t>
      </w:r>
      <w:r>
        <w:rPr>
          <w:rFonts w:hint="eastAsia" w:ascii="仿宋_GB2312" w:eastAsia="仿宋_GB2312" w:cs="仿宋_GB2312"/>
          <w:bCs/>
          <w:kern w:val="0"/>
          <w:sz w:val="32"/>
          <w:szCs w:val="32"/>
          <w:lang w:eastAsia="zh-CN"/>
        </w:rPr>
        <w:t>三</w:t>
      </w:r>
      <w:r>
        <w:rPr>
          <w:rFonts w:hint="eastAsia" w:ascii="仿宋_GB2312" w:eastAsia="仿宋_GB2312" w:cs="仿宋_GB2312"/>
          <w:bCs/>
          <w:kern w:val="0"/>
          <w:sz w:val="32"/>
          <w:szCs w:val="32"/>
        </w:rPr>
        <w:t>个重点项目支出开展绩效自评。</w:t>
      </w:r>
      <w:r>
        <w:rPr>
          <w:rFonts w:hint="eastAsia" w:ascii="仿宋_GB2312" w:eastAsia="仿宋_GB2312" w:cs="仿宋_GB2312"/>
          <w:bCs/>
          <w:kern w:val="0"/>
          <w:sz w:val="32"/>
          <w:szCs w:val="32"/>
          <w:lang w:eastAsia="zh-CN"/>
        </w:rPr>
        <w:t>三</w:t>
      </w:r>
      <w:r>
        <w:rPr>
          <w:rFonts w:hint="eastAsia" w:ascii="仿宋_GB2312" w:eastAsia="仿宋_GB2312" w:cs="仿宋_GB2312"/>
          <w:bCs/>
          <w:kern w:val="0"/>
          <w:sz w:val="32"/>
          <w:szCs w:val="32"/>
        </w:rPr>
        <w:t>个项目均属一级项目，分别是：残疾人康复经费、残疾人专职委员岗位及社会保险补贴、残疾人康复设施设备购置经费涉及预算资金</w:t>
      </w:r>
      <w:r>
        <w:rPr>
          <w:rFonts w:hint="eastAsia" w:ascii="仿宋_GB2312" w:eastAsia="仿宋_GB2312" w:cs="仿宋_GB2312"/>
          <w:bCs/>
          <w:kern w:val="0"/>
          <w:sz w:val="32"/>
          <w:szCs w:val="32"/>
          <w:lang w:val="en-US" w:eastAsia="zh-CN"/>
        </w:rPr>
        <w:t>2932.54</w:t>
      </w:r>
      <w:r>
        <w:rPr>
          <w:rFonts w:hint="eastAsia" w:ascii="仿宋_GB2312" w:eastAsia="仿宋_GB2312" w:cs="仿宋_GB2312"/>
          <w:bCs/>
          <w:kern w:val="0"/>
          <w:sz w:val="32"/>
          <w:szCs w:val="32"/>
        </w:rPr>
        <w:t xml:space="preserve">万元，自评覆盖率达到100%。 </w:t>
      </w:r>
    </w:p>
    <w:p>
      <w:pPr>
        <w:numPr>
          <w:ilvl w:val="0"/>
          <w:numId w:val="1"/>
        </w:numPr>
        <w:spacing w:line="560" w:lineRule="exact"/>
        <w:ind w:left="0" w:leftChars="0" w:firstLine="640" w:firstLineChars="200"/>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部门决算中项目绩效自评结果</w:t>
      </w:r>
      <w:r>
        <w:rPr>
          <w:rFonts w:hint="eastAsia" w:ascii="仿宋_GB2312" w:eastAsia="仿宋_GB2312" w:cs="仿宋_GB2312"/>
          <w:bCs/>
          <w:kern w:val="0"/>
          <w:sz w:val="32"/>
          <w:szCs w:val="32"/>
          <w:lang w:eastAsia="zh-CN"/>
        </w:rPr>
        <w:t>。</w:t>
      </w:r>
    </w:p>
    <w:p>
      <w:pPr>
        <w:numPr>
          <w:ilvl w:val="0"/>
          <w:numId w:val="2"/>
        </w:numPr>
        <w:spacing w:line="560" w:lineRule="exact"/>
        <w:ind w:firstLine="640" w:firstLineChars="200"/>
        <w:rPr>
          <w:rFonts w:hint="eastAsia" w:ascii="仿宋_GB2312" w:eastAsia="仿宋_GB2312" w:cs="仿宋_GB2312"/>
          <w:bCs/>
          <w:kern w:val="0"/>
          <w:sz w:val="32"/>
          <w:szCs w:val="32"/>
        </w:rPr>
      </w:pPr>
      <w:r>
        <w:rPr>
          <w:rFonts w:hint="eastAsia" w:ascii="仿宋_GB2312" w:eastAsia="仿宋_GB2312" w:cs="仿宋_GB2312"/>
          <w:bCs/>
          <w:kern w:val="0"/>
          <w:sz w:val="32"/>
          <w:szCs w:val="32"/>
        </w:rPr>
        <w:t>总体情况：</w:t>
      </w:r>
      <w:r>
        <w:rPr>
          <w:rFonts w:hint="eastAsia" w:ascii="仿宋_GB2312" w:eastAsia="仿宋_GB2312" w:cs="仿宋_GB2312"/>
          <w:bCs/>
          <w:kern w:val="0"/>
          <w:sz w:val="32"/>
          <w:szCs w:val="32"/>
          <w:lang w:eastAsia="zh-CN"/>
        </w:rPr>
        <w:t>三</w:t>
      </w:r>
      <w:r>
        <w:rPr>
          <w:rFonts w:hint="eastAsia" w:ascii="仿宋_GB2312" w:eastAsia="仿宋_GB2312" w:cs="仿宋_GB2312"/>
          <w:bCs/>
          <w:kern w:val="0"/>
          <w:sz w:val="32"/>
          <w:szCs w:val="32"/>
        </w:rPr>
        <w:t>个重点项目201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年度预算绩效自评平均分</w:t>
      </w:r>
      <w:r>
        <w:rPr>
          <w:rFonts w:hint="eastAsia" w:ascii="仿宋_GB2312" w:eastAsia="仿宋_GB2312" w:cs="仿宋_GB2312"/>
          <w:bCs/>
          <w:kern w:val="0"/>
          <w:sz w:val="32"/>
          <w:szCs w:val="32"/>
          <w:lang w:val="en-US" w:eastAsia="zh-CN"/>
        </w:rPr>
        <w:t>97</w:t>
      </w:r>
      <w:r>
        <w:rPr>
          <w:rFonts w:hint="eastAsia" w:ascii="仿宋_GB2312" w:eastAsia="仿宋_GB2312" w:cs="仿宋_GB2312"/>
          <w:bCs/>
          <w:kern w:val="0"/>
          <w:sz w:val="32"/>
          <w:szCs w:val="32"/>
        </w:rPr>
        <w:t>分，绩效评级为“良”。全年财政预算</w:t>
      </w:r>
      <w:r>
        <w:rPr>
          <w:rFonts w:hint="eastAsia" w:ascii="仿宋_GB2312" w:eastAsia="仿宋_GB2312" w:cs="仿宋_GB2312"/>
          <w:bCs/>
          <w:kern w:val="0"/>
          <w:sz w:val="32"/>
          <w:szCs w:val="32"/>
          <w:lang w:val="en-US" w:eastAsia="zh-CN"/>
        </w:rPr>
        <w:t>2932.54</w:t>
      </w:r>
      <w:r>
        <w:rPr>
          <w:rFonts w:ascii="仿宋_GB2312" w:eastAsia="仿宋_GB2312" w:cs="仿宋_GB2312"/>
          <w:bCs/>
          <w:kern w:val="0"/>
          <w:sz w:val="32"/>
          <w:szCs w:val="32"/>
        </w:rPr>
        <w:t>万元，实际执行数</w:t>
      </w:r>
      <w:r>
        <w:rPr>
          <w:rFonts w:hint="eastAsia" w:ascii="仿宋_GB2312" w:eastAsia="仿宋_GB2312" w:cs="仿宋_GB2312"/>
          <w:bCs/>
          <w:kern w:val="0"/>
          <w:sz w:val="32"/>
          <w:szCs w:val="32"/>
          <w:lang w:val="en-US" w:eastAsia="zh-CN"/>
        </w:rPr>
        <w:t>2886.54</w:t>
      </w:r>
      <w:r>
        <w:rPr>
          <w:rFonts w:hint="eastAsia" w:ascii="仿宋_GB2312" w:eastAsia="仿宋_GB2312" w:cs="仿宋_GB2312"/>
          <w:bCs/>
          <w:kern w:val="0"/>
          <w:sz w:val="32"/>
          <w:szCs w:val="32"/>
        </w:rPr>
        <w:t>万元，预算资金执行率</w:t>
      </w:r>
      <w:r>
        <w:rPr>
          <w:rFonts w:hint="eastAsia" w:ascii="仿宋_GB2312" w:eastAsia="仿宋_GB2312" w:cs="仿宋_GB2312"/>
          <w:bCs/>
          <w:kern w:val="0"/>
          <w:sz w:val="32"/>
          <w:szCs w:val="32"/>
          <w:lang w:val="en-US" w:eastAsia="zh-CN"/>
        </w:rPr>
        <w:t>98.43</w:t>
      </w:r>
      <w:r>
        <w:rPr>
          <w:rFonts w:ascii="仿宋_GB2312" w:eastAsia="仿宋_GB2312" w:cs="仿宋_GB2312"/>
          <w:bCs/>
          <w:kern w:val="0"/>
          <w:sz w:val="32"/>
          <w:szCs w:val="32"/>
        </w:rPr>
        <w:t>%</w:t>
      </w:r>
      <w:r>
        <w:rPr>
          <w:rFonts w:hint="eastAsia" w:ascii="仿宋_GB2312" w:eastAsia="仿宋_GB2312" w:cs="仿宋_GB2312"/>
          <w:bCs/>
          <w:kern w:val="0"/>
          <w:sz w:val="32"/>
          <w:szCs w:val="32"/>
        </w:rPr>
        <w:t>。</w:t>
      </w:r>
    </w:p>
    <w:p>
      <w:pPr>
        <w:numPr>
          <w:ilvl w:val="0"/>
          <w:numId w:val="0"/>
        </w:numPr>
        <w:spacing w:line="560" w:lineRule="exact"/>
        <w:ind w:firstLine="640" w:firstLineChars="200"/>
        <w:rPr>
          <w:rFonts w:hint="eastAsia" w:ascii="仿宋_GB2312" w:eastAsia="仿宋_GB2312" w:cs="仿宋_GB2312"/>
          <w:bCs/>
          <w:kern w:val="0"/>
          <w:sz w:val="32"/>
          <w:szCs w:val="32"/>
        </w:rPr>
      </w:pPr>
      <w:r>
        <w:rPr>
          <w:rFonts w:hint="eastAsia" w:ascii="仿宋_GB2312" w:eastAsia="仿宋_GB2312" w:cs="仿宋_GB2312"/>
          <w:bCs/>
          <w:kern w:val="0"/>
          <w:sz w:val="32"/>
          <w:szCs w:val="32"/>
        </w:rPr>
        <w:t>2.分项情况：</w:t>
      </w:r>
    </w:p>
    <w:p>
      <w:pPr>
        <w:spacing w:line="560" w:lineRule="exact"/>
        <w:ind w:firstLine="640" w:firstLineChars="200"/>
        <w:rPr>
          <w:rFonts w:hint="eastAsia" w:ascii="仿宋_GB2312" w:eastAsia="仿宋_GB2312" w:cs="仿宋_GB2312"/>
          <w:bCs/>
          <w:kern w:val="0"/>
          <w:sz w:val="32"/>
          <w:szCs w:val="32"/>
        </w:rPr>
      </w:pPr>
      <w:r>
        <w:rPr>
          <w:rFonts w:hint="eastAsia" w:ascii="仿宋_GB2312" w:eastAsia="仿宋_GB2312" w:cs="仿宋_GB2312"/>
          <w:bCs/>
          <w:kern w:val="0"/>
          <w:sz w:val="32"/>
          <w:szCs w:val="32"/>
        </w:rPr>
        <w:t>残疾人康复经费项目预算</w:t>
      </w:r>
      <w:r>
        <w:rPr>
          <w:rFonts w:hint="eastAsia" w:ascii="仿宋_GB2312" w:eastAsia="仿宋_GB2312" w:cs="仿宋_GB2312"/>
          <w:bCs/>
          <w:kern w:val="0"/>
          <w:sz w:val="32"/>
          <w:szCs w:val="32"/>
          <w:lang w:val="en-US" w:eastAsia="zh-CN"/>
        </w:rPr>
        <w:t>1344.2</w:t>
      </w:r>
      <w:r>
        <w:rPr>
          <w:rFonts w:hint="eastAsia" w:ascii="仿宋_GB2312" w:eastAsia="仿宋_GB2312" w:cs="仿宋_GB2312"/>
          <w:bCs/>
          <w:kern w:val="0"/>
          <w:sz w:val="32"/>
          <w:szCs w:val="32"/>
        </w:rPr>
        <w:t>万元，支出</w:t>
      </w:r>
      <w:r>
        <w:rPr>
          <w:rFonts w:hint="eastAsia" w:ascii="仿宋_GB2312" w:eastAsia="仿宋_GB2312" w:cs="仿宋_GB2312"/>
          <w:bCs/>
          <w:kern w:val="0"/>
          <w:sz w:val="32"/>
          <w:szCs w:val="32"/>
          <w:lang w:val="en-US" w:eastAsia="zh-CN"/>
        </w:rPr>
        <w:t>1344.2</w:t>
      </w:r>
      <w:r>
        <w:rPr>
          <w:rFonts w:hint="eastAsia" w:ascii="仿宋_GB2312" w:eastAsia="仿宋_GB2312" w:cs="仿宋_GB2312"/>
          <w:bCs/>
          <w:kern w:val="0"/>
          <w:sz w:val="32"/>
          <w:szCs w:val="32"/>
        </w:rPr>
        <w:t>万元，预算资金执行率</w:t>
      </w:r>
      <w:r>
        <w:rPr>
          <w:rFonts w:hint="eastAsia" w:ascii="仿宋_GB2312" w:eastAsia="仿宋_GB2312" w:cs="仿宋_GB2312"/>
          <w:bCs/>
          <w:kern w:val="0"/>
          <w:sz w:val="32"/>
          <w:szCs w:val="32"/>
          <w:lang w:val="en-US" w:eastAsia="zh-CN"/>
        </w:rPr>
        <w:t>100</w:t>
      </w:r>
      <w:r>
        <w:rPr>
          <w:rFonts w:ascii="仿宋_GB2312" w:eastAsia="仿宋_GB2312" w:cs="仿宋_GB2312"/>
          <w:bCs/>
          <w:kern w:val="0"/>
          <w:sz w:val="32"/>
          <w:szCs w:val="32"/>
        </w:rPr>
        <w:t>%</w:t>
      </w:r>
      <w:r>
        <w:rPr>
          <w:rFonts w:hint="eastAsia" w:ascii="仿宋_GB2312" w:eastAsia="仿宋_GB2312" w:cs="仿宋_GB2312"/>
          <w:bCs/>
          <w:kern w:val="0"/>
          <w:sz w:val="32"/>
          <w:szCs w:val="32"/>
        </w:rPr>
        <w:t>。</w:t>
      </w:r>
    </w:p>
    <w:p>
      <w:pPr>
        <w:spacing w:line="560" w:lineRule="exact"/>
        <w:ind w:firstLine="640" w:firstLineChars="200"/>
        <w:rPr>
          <w:rFonts w:hint="eastAsia" w:ascii="仿宋_GB2312" w:eastAsia="仿宋_GB2312" w:cs="仿宋_GB2312"/>
          <w:bCs/>
          <w:kern w:val="0"/>
          <w:sz w:val="32"/>
          <w:szCs w:val="32"/>
        </w:rPr>
      </w:pPr>
      <w:r>
        <w:rPr>
          <w:rFonts w:hint="eastAsia" w:ascii="仿宋_GB2312" w:eastAsia="仿宋_GB2312" w:cs="仿宋_GB2312"/>
          <w:bCs/>
          <w:kern w:val="0"/>
          <w:sz w:val="32"/>
          <w:szCs w:val="32"/>
        </w:rPr>
        <w:t>残疾人专职委员岗位及社会保险补贴预算</w:t>
      </w:r>
      <w:r>
        <w:rPr>
          <w:rFonts w:hint="eastAsia" w:ascii="仿宋_GB2312" w:eastAsia="仿宋_GB2312" w:cs="仿宋_GB2312"/>
          <w:bCs/>
          <w:kern w:val="0"/>
          <w:sz w:val="32"/>
          <w:szCs w:val="32"/>
          <w:lang w:val="en-US" w:eastAsia="zh-CN"/>
        </w:rPr>
        <w:t>838.34</w:t>
      </w:r>
      <w:r>
        <w:rPr>
          <w:rFonts w:hint="eastAsia" w:ascii="仿宋_GB2312" w:eastAsia="仿宋_GB2312" w:cs="仿宋_GB2312"/>
          <w:bCs/>
          <w:kern w:val="0"/>
          <w:sz w:val="32"/>
          <w:szCs w:val="32"/>
        </w:rPr>
        <w:t>万元，支出</w:t>
      </w:r>
      <w:r>
        <w:rPr>
          <w:rFonts w:hint="eastAsia" w:ascii="仿宋_GB2312" w:eastAsia="仿宋_GB2312" w:cs="仿宋_GB2312"/>
          <w:bCs/>
          <w:kern w:val="0"/>
          <w:sz w:val="32"/>
          <w:szCs w:val="32"/>
          <w:lang w:val="en-US" w:eastAsia="zh-CN"/>
        </w:rPr>
        <w:t>829.57</w:t>
      </w:r>
      <w:r>
        <w:rPr>
          <w:rFonts w:hint="eastAsia" w:ascii="仿宋_GB2312" w:eastAsia="仿宋_GB2312" w:cs="仿宋_GB2312"/>
          <w:bCs/>
          <w:kern w:val="0"/>
          <w:sz w:val="32"/>
          <w:szCs w:val="32"/>
        </w:rPr>
        <w:t>万元，预算资金执行率</w:t>
      </w:r>
      <w:r>
        <w:rPr>
          <w:rFonts w:hint="eastAsia" w:ascii="仿宋_GB2312" w:eastAsia="仿宋_GB2312" w:cs="仿宋_GB2312"/>
          <w:bCs/>
          <w:kern w:val="0"/>
          <w:sz w:val="32"/>
          <w:szCs w:val="32"/>
          <w:lang w:val="en-US" w:eastAsia="zh-CN"/>
        </w:rPr>
        <w:t>99.0</w:t>
      </w:r>
      <w:r>
        <w:rPr>
          <w:rFonts w:ascii="仿宋_GB2312" w:eastAsia="仿宋_GB2312" w:cs="仿宋_GB2312"/>
          <w:bCs/>
          <w:kern w:val="0"/>
          <w:sz w:val="32"/>
          <w:szCs w:val="32"/>
        </w:rPr>
        <w:t>%</w:t>
      </w:r>
      <w:r>
        <w:rPr>
          <w:rFonts w:hint="eastAsia" w:ascii="仿宋_GB2312" w:eastAsia="仿宋_GB2312" w:cs="仿宋_GB2312"/>
          <w:bCs/>
          <w:kern w:val="0"/>
          <w:sz w:val="32"/>
          <w:szCs w:val="32"/>
        </w:rPr>
        <w:t>。</w:t>
      </w:r>
    </w:p>
    <w:p>
      <w:pPr>
        <w:spacing w:line="560" w:lineRule="exact"/>
        <w:ind w:firstLine="640" w:firstLineChars="200"/>
        <w:rPr>
          <w:rFonts w:hint="eastAsia" w:ascii="仿宋_GB2312" w:eastAsia="仿宋_GB2312" w:cs="仿宋_GB2312"/>
          <w:bCs/>
          <w:kern w:val="0"/>
          <w:sz w:val="32"/>
          <w:szCs w:val="32"/>
        </w:rPr>
      </w:pPr>
      <w:r>
        <w:rPr>
          <w:rFonts w:hint="eastAsia" w:ascii="仿宋_GB2312" w:eastAsia="仿宋_GB2312" w:cs="仿宋_GB2312"/>
          <w:bCs/>
          <w:kern w:val="0"/>
          <w:sz w:val="32"/>
          <w:szCs w:val="32"/>
        </w:rPr>
        <w:t>残疾人康复设施设备购置经费预算</w:t>
      </w:r>
      <w:r>
        <w:rPr>
          <w:rFonts w:hint="eastAsia" w:ascii="仿宋_GB2312" w:eastAsia="仿宋_GB2312" w:cs="仿宋_GB2312"/>
          <w:bCs/>
          <w:kern w:val="0"/>
          <w:sz w:val="32"/>
          <w:szCs w:val="32"/>
          <w:lang w:val="en-US" w:eastAsia="zh-CN"/>
        </w:rPr>
        <w:t>750</w:t>
      </w:r>
      <w:r>
        <w:rPr>
          <w:rFonts w:hint="eastAsia" w:ascii="仿宋_GB2312" w:eastAsia="仿宋_GB2312" w:cs="仿宋_GB2312"/>
          <w:bCs/>
          <w:kern w:val="0"/>
          <w:sz w:val="32"/>
          <w:szCs w:val="32"/>
        </w:rPr>
        <w:t>万元，支出</w:t>
      </w:r>
      <w:r>
        <w:rPr>
          <w:rFonts w:hint="eastAsia" w:ascii="仿宋_GB2312" w:eastAsia="仿宋_GB2312" w:cs="仿宋_GB2312"/>
          <w:bCs/>
          <w:kern w:val="0"/>
          <w:sz w:val="32"/>
          <w:szCs w:val="32"/>
          <w:lang w:val="en-US" w:eastAsia="zh-CN"/>
        </w:rPr>
        <w:t>712.77</w:t>
      </w:r>
      <w:r>
        <w:rPr>
          <w:rFonts w:hint="eastAsia" w:ascii="仿宋_GB2312" w:eastAsia="仿宋_GB2312" w:cs="仿宋_GB2312"/>
          <w:bCs/>
          <w:kern w:val="0"/>
          <w:sz w:val="32"/>
          <w:szCs w:val="32"/>
        </w:rPr>
        <w:t>万元，预算资金执行率</w:t>
      </w:r>
      <w:r>
        <w:rPr>
          <w:rFonts w:hint="eastAsia" w:ascii="仿宋_GB2312" w:eastAsia="仿宋_GB2312" w:cs="仿宋_GB2312"/>
          <w:bCs/>
          <w:kern w:val="0"/>
          <w:sz w:val="32"/>
          <w:szCs w:val="32"/>
          <w:lang w:val="en-US" w:eastAsia="zh-CN"/>
        </w:rPr>
        <w:t>95.04</w:t>
      </w:r>
      <w:r>
        <w:rPr>
          <w:rFonts w:ascii="仿宋_GB2312" w:eastAsia="仿宋_GB2312" w:cs="仿宋_GB2312"/>
          <w:bCs/>
          <w:kern w:val="0"/>
          <w:sz w:val="32"/>
          <w:szCs w:val="32"/>
        </w:rPr>
        <w:t>%</w:t>
      </w:r>
      <w:r>
        <w:rPr>
          <w:rFonts w:hint="eastAsia" w:ascii="仿宋_GB2312" w:eastAsia="仿宋_GB2312" w:cs="仿宋_GB2312"/>
          <w:bCs/>
          <w:kern w:val="0"/>
          <w:sz w:val="32"/>
          <w:szCs w:val="32"/>
        </w:rPr>
        <w:t>。</w:t>
      </w:r>
    </w:p>
    <w:p>
      <w:pPr>
        <w:numPr>
          <w:ilvl w:val="0"/>
          <w:numId w:val="2"/>
        </w:numPr>
        <w:autoSpaceDE w:val="0"/>
        <w:autoSpaceDN w:val="0"/>
        <w:adjustRightInd w:val="0"/>
        <w:ind w:left="0" w:leftChars="0"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绩效目标：</w:t>
      </w:r>
    </w:p>
    <w:p>
      <w:pPr>
        <w:spacing w:line="560" w:lineRule="exact"/>
        <w:ind w:firstLine="640" w:firstLineChars="200"/>
        <w:rPr>
          <w:rFonts w:hint="eastAsia" w:ascii="仿宋_GB2312" w:eastAsia="仿宋_GB2312" w:cs="仿宋_GB2312"/>
          <w:bCs/>
          <w:kern w:val="0"/>
          <w:sz w:val="32"/>
          <w:szCs w:val="32"/>
        </w:rPr>
      </w:pPr>
      <w:r>
        <w:rPr>
          <w:rFonts w:hint="eastAsia" w:ascii="仿宋_GB2312" w:eastAsia="仿宋_GB2312" w:cs="仿宋_GB2312"/>
          <w:bCs/>
          <w:kern w:val="0"/>
          <w:sz w:val="32"/>
          <w:szCs w:val="32"/>
        </w:rPr>
        <w:t>残疾人康复项目</w:t>
      </w:r>
      <w:r>
        <w:rPr>
          <w:rFonts w:hint="eastAsia" w:ascii="仿宋_GB2312" w:eastAsia="仿宋_GB2312" w:cs="仿宋_GB2312"/>
          <w:bCs/>
          <w:kern w:val="0"/>
          <w:sz w:val="32"/>
          <w:szCs w:val="32"/>
          <w:lang w:eastAsia="zh-CN"/>
        </w:rPr>
        <w:t>绩效目标是</w:t>
      </w:r>
      <w:r>
        <w:rPr>
          <w:rFonts w:hint="eastAsia" w:ascii="仿宋_GB2312" w:eastAsia="仿宋_GB2312" w:cs="仿宋_GB2312"/>
          <w:bCs/>
          <w:kern w:val="0"/>
          <w:sz w:val="32"/>
          <w:szCs w:val="32"/>
        </w:rPr>
        <w:t>为各县（区）提供精准康复服务行动补贴经费；为残疾儿童康复救助配套补贴经费</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为439名0-6岁有康复需求的残疾儿童提供康复训练服务配套补助经费878万元</w:t>
      </w:r>
      <w:r>
        <w:rPr>
          <w:rFonts w:hint="eastAsia" w:ascii="仿宋_GB2312" w:eastAsia="仿宋_GB2312" w:cs="仿宋_GB2312"/>
          <w:bCs/>
          <w:kern w:val="0"/>
          <w:sz w:val="32"/>
          <w:szCs w:val="32"/>
          <w:lang w:eastAsia="zh-CN"/>
        </w:rPr>
        <w:t>和</w:t>
      </w:r>
      <w:r>
        <w:rPr>
          <w:rFonts w:hint="eastAsia" w:ascii="仿宋_GB2312" w:eastAsia="仿宋_GB2312" w:cs="仿宋_GB2312"/>
          <w:bCs/>
          <w:kern w:val="0"/>
          <w:sz w:val="32"/>
          <w:szCs w:val="32"/>
        </w:rPr>
        <w:t>为443名7-17岁有康复需求的残疾儿童提供康复训练服务配套补助经费398.7万元；为全国创残疾预防综合试验区配套试点经费20万元；印刷残疾人精准康复服务手册2万本。</w:t>
      </w:r>
    </w:p>
    <w:p>
      <w:pPr>
        <w:spacing w:line="560" w:lineRule="exact"/>
        <w:ind w:firstLine="640" w:firstLineChars="200"/>
        <w:rPr>
          <w:rFonts w:hint="eastAsia" w:ascii="仿宋_GB2312" w:eastAsia="仿宋_GB2312" w:cs="仿宋_GB2312"/>
          <w:bCs/>
          <w:kern w:val="0"/>
          <w:sz w:val="32"/>
          <w:szCs w:val="32"/>
        </w:rPr>
      </w:pPr>
      <w:r>
        <w:rPr>
          <w:rFonts w:hint="eastAsia" w:ascii="仿宋_GB2312" w:eastAsia="仿宋_GB2312"/>
          <w:sz w:val="32"/>
          <w:szCs w:val="32"/>
          <w:lang w:eastAsia="zh-CN"/>
        </w:rPr>
        <w:t>残疾人专职委岗位及社会保险补贴绩效目标是</w:t>
      </w:r>
      <w:r>
        <w:rPr>
          <w:rFonts w:hint="eastAsia" w:ascii="仿宋_GB2312" w:eastAsia="仿宋_GB2312"/>
          <w:sz w:val="32"/>
          <w:szCs w:val="32"/>
          <w:lang w:val="en-US" w:eastAsia="zh-CN"/>
        </w:rPr>
        <w:t>2019年由残联发放工资的专委平均在岗人数为240人。</w:t>
      </w:r>
      <w:r>
        <w:rPr>
          <w:rFonts w:hint="eastAsia" w:ascii="仿宋_GB2312" w:eastAsia="仿宋_GB2312" w:cs="仿宋_GB2312"/>
          <w:bCs/>
          <w:kern w:val="0"/>
          <w:sz w:val="32"/>
          <w:szCs w:val="32"/>
        </w:rPr>
        <w:t>加强和规范基层残疾人组织建设，解决残疾人就业难问题。</w:t>
      </w:r>
    </w:p>
    <w:p>
      <w:pPr>
        <w:numPr>
          <w:ilvl w:val="0"/>
          <w:numId w:val="0"/>
        </w:numPr>
        <w:autoSpaceDE w:val="0"/>
        <w:autoSpaceDN w:val="0"/>
        <w:adjustRightInd w:val="0"/>
        <w:ind w:left="0" w:leftChars="0"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残疾人康复设施设备购置</w:t>
      </w:r>
      <w:r>
        <w:rPr>
          <w:rFonts w:hint="eastAsia" w:ascii="仿宋_GB2312" w:eastAsia="仿宋_GB2312" w:cs="仿宋_GB2312"/>
          <w:bCs/>
          <w:kern w:val="0"/>
          <w:sz w:val="32"/>
          <w:szCs w:val="32"/>
          <w:lang w:eastAsia="zh-CN"/>
        </w:rPr>
        <w:t>项目绩效目标是</w:t>
      </w:r>
      <w:r>
        <w:rPr>
          <w:rFonts w:hint="eastAsia" w:ascii="仿宋_GB2312" w:eastAsia="仿宋_GB2312" w:cs="仿宋_GB2312"/>
          <w:bCs/>
          <w:kern w:val="0"/>
          <w:sz w:val="32"/>
          <w:szCs w:val="32"/>
        </w:rPr>
        <w:t>为实现残疾人“人人享有康复服务”目标，使有康复需求的肢体、听力、言语、智力、精神等各类残疾人有条件、有能力接受基本的康复服务，实现功能上的改善和能力上的提高。2019年购置柳州市残疾人康复托养中心大楼设施设备、柳州市残疾人康复中心大楼康复教学设施设备、听力康复评估、耳模制作等设施设备、柳州市自闭症儿童少年教育培训中心大楼智力残疾儿童康复教学等设施设备，将进一步推进我市残疾人社会保障和服务体系建设，改善残疾人状况，促进残疾人平等参与社会生活、共享改革发展成果。</w:t>
      </w:r>
    </w:p>
    <w:p>
      <w:pPr>
        <w:autoSpaceDE w:val="0"/>
        <w:autoSpaceDN w:val="0"/>
        <w:adjustRightInd w:val="0"/>
        <w:ind w:firstLine="643" w:firstLineChars="200"/>
        <w:jc w:val="left"/>
        <w:rPr>
          <w:rFonts w:hint="eastAsia" w:ascii="仿宋_GB2312" w:eastAsia="仿宋_GB2312" w:cs="仿宋_GB2312"/>
          <w:b/>
          <w:bCs w:val="0"/>
          <w:kern w:val="0"/>
          <w:sz w:val="32"/>
          <w:szCs w:val="32"/>
          <w:lang w:eastAsia="zh-CN"/>
        </w:rPr>
      </w:pPr>
      <w:r>
        <w:rPr>
          <w:rFonts w:hint="eastAsia" w:ascii="仿宋_GB2312" w:eastAsia="仿宋_GB2312" w:cs="仿宋_GB2312"/>
          <w:b/>
          <w:bCs w:val="0"/>
          <w:kern w:val="0"/>
          <w:sz w:val="32"/>
          <w:szCs w:val="32"/>
          <w:lang w:eastAsia="zh-CN"/>
        </w:rPr>
        <w:t>十、</w:t>
      </w:r>
      <w:r>
        <w:rPr>
          <w:rFonts w:hint="eastAsia" w:ascii="仿宋_GB2312" w:eastAsia="仿宋_GB2312" w:cs="仿宋_GB2312"/>
          <w:b/>
          <w:bCs w:val="0"/>
          <w:kern w:val="0"/>
          <w:sz w:val="32"/>
          <w:szCs w:val="32"/>
        </w:rPr>
        <w:t>其他重要事项的情况</w:t>
      </w:r>
    </w:p>
    <w:p>
      <w:pPr>
        <w:autoSpaceDE w:val="0"/>
        <w:autoSpaceDN w:val="0"/>
        <w:adjustRightInd w:val="0"/>
        <w:ind w:firstLine="640" w:firstLineChars="200"/>
        <w:jc w:val="left"/>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rPr>
        <w:t>（一）机关运行经费支出情况。201</w:t>
      </w:r>
      <w:r>
        <w:rPr>
          <w:rFonts w:hint="eastAsia" w:ascii="仿宋_GB2312" w:eastAsia="仿宋_GB2312" w:cs="仿宋_GB2312"/>
          <w:kern w:val="0"/>
          <w:sz w:val="32"/>
          <w:szCs w:val="32"/>
          <w:lang w:val="en-US" w:eastAsia="zh-CN"/>
        </w:rPr>
        <w:t>9</w:t>
      </w:r>
      <w:r>
        <w:rPr>
          <w:rFonts w:hint="eastAsia" w:ascii="仿宋_GB2312" w:eastAsia="仿宋_GB2312" w:cs="仿宋_GB2312"/>
          <w:kern w:val="0"/>
          <w:sz w:val="32"/>
          <w:szCs w:val="32"/>
        </w:rPr>
        <w:t>年度部门机关运行经费支出</w:t>
      </w:r>
      <w:r>
        <w:rPr>
          <w:rFonts w:hint="eastAsia" w:ascii="仿宋_GB2312" w:eastAsia="仿宋_GB2312" w:cs="仿宋_GB2312"/>
          <w:kern w:val="0"/>
          <w:sz w:val="32"/>
          <w:szCs w:val="32"/>
          <w:lang w:val="en-US" w:eastAsia="zh-CN"/>
        </w:rPr>
        <w:t>39.91</w:t>
      </w:r>
      <w:r>
        <w:rPr>
          <w:rFonts w:hint="eastAsia" w:ascii="仿宋_GB2312" w:eastAsia="仿宋_GB2312" w:cs="仿宋_GB2312"/>
          <w:kern w:val="0"/>
          <w:sz w:val="32"/>
          <w:szCs w:val="32"/>
        </w:rPr>
        <w:t>万元，比 201</w:t>
      </w:r>
      <w:r>
        <w:rPr>
          <w:rFonts w:hint="eastAsia" w:ascii="仿宋_GB2312" w:eastAsia="仿宋_GB2312" w:cs="仿宋_GB2312"/>
          <w:kern w:val="0"/>
          <w:sz w:val="32"/>
          <w:szCs w:val="32"/>
          <w:lang w:val="en-US" w:eastAsia="zh-CN"/>
        </w:rPr>
        <w:t>8</w:t>
      </w:r>
      <w:r>
        <w:rPr>
          <w:rFonts w:hint="eastAsia" w:ascii="仿宋_GB2312" w:eastAsia="仿宋_GB2312" w:cs="仿宋_GB2312"/>
          <w:kern w:val="0"/>
          <w:sz w:val="32"/>
          <w:szCs w:val="32"/>
        </w:rPr>
        <w:t>年</w:t>
      </w:r>
      <w:r>
        <w:rPr>
          <w:rFonts w:hint="eastAsia" w:ascii="仿宋_GB2312" w:eastAsia="仿宋_GB2312" w:cs="仿宋_GB2312"/>
          <w:kern w:val="0"/>
          <w:sz w:val="32"/>
          <w:szCs w:val="32"/>
          <w:lang w:eastAsia="zh-CN"/>
        </w:rPr>
        <w:t>减少</w:t>
      </w:r>
      <w:r>
        <w:rPr>
          <w:rFonts w:hint="eastAsia" w:ascii="仿宋_GB2312" w:eastAsia="仿宋_GB2312" w:cs="仿宋_GB2312"/>
          <w:kern w:val="0"/>
          <w:sz w:val="32"/>
          <w:szCs w:val="32"/>
          <w:lang w:val="en-US" w:eastAsia="zh-CN"/>
        </w:rPr>
        <w:t>13.21</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减少</w:t>
      </w:r>
      <w:r>
        <w:rPr>
          <w:rFonts w:hint="eastAsia" w:ascii="仿宋_GB2312" w:eastAsia="仿宋_GB2312" w:cs="仿宋_GB2312"/>
          <w:kern w:val="0"/>
          <w:sz w:val="32"/>
          <w:szCs w:val="32"/>
          <w:lang w:val="en-US" w:eastAsia="zh-CN"/>
        </w:rPr>
        <w:t>24.87</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减少</w:t>
      </w:r>
      <w:r>
        <w:rPr>
          <w:rFonts w:hint="eastAsia" w:ascii="仿宋_GB2312" w:eastAsia="仿宋_GB2312" w:cs="仿宋_GB2312"/>
          <w:kern w:val="0"/>
          <w:sz w:val="32"/>
          <w:szCs w:val="32"/>
        </w:rPr>
        <w:t>原因是</w:t>
      </w:r>
      <w:r>
        <w:rPr>
          <w:rFonts w:hint="eastAsia" w:ascii="仿宋_GB2312" w:eastAsia="仿宋_GB2312" w:cs="仿宋_GB2312"/>
          <w:kern w:val="0"/>
          <w:sz w:val="32"/>
          <w:szCs w:val="32"/>
          <w:lang w:val="en-US" w:eastAsia="zh-CN"/>
        </w:rPr>
        <w:t>2018年的在职人员公务交通补贴列支在一般公共预算财政拨款日常公用经费基本支出科目，而2019年列支在一般公共预算财政拨款日常人员经费基本支出科目。</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（二）政府采购支出情况</w:t>
      </w:r>
      <w:r>
        <w:rPr>
          <w:rFonts w:hint="eastAsia" w:ascii="仿宋_GB2312" w:eastAsia="仿宋_GB2312" w:cs="仿宋_GB2312"/>
          <w:kern w:val="0"/>
          <w:sz w:val="32"/>
          <w:szCs w:val="32"/>
          <w:lang w:eastAsia="zh-CN"/>
        </w:rPr>
        <w:t>。201</w:t>
      </w:r>
      <w:r>
        <w:rPr>
          <w:rFonts w:hint="eastAsia" w:ascii="仿宋_GB2312" w:eastAsia="仿宋_GB2312" w:cs="仿宋_GB2312"/>
          <w:kern w:val="0"/>
          <w:sz w:val="32"/>
          <w:szCs w:val="32"/>
          <w:lang w:val="en-US" w:eastAsia="zh-CN"/>
        </w:rPr>
        <w:t>9</w:t>
      </w:r>
      <w:r>
        <w:rPr>
          <w:rFonts w:hint="eastAsia" w:ascii="仿宋_GB2312" w:eastAsia="仿宋_GB2312" w:cs="仿宋_GB2312"/>
          <w:kern w:val="0"/>
          <w:sz w:val="32"/>
          <w:szCs w:val="32"/>
        </w:rPr>
        <w:t>年度部门政府采购支出总额</w:t>
      </w:r>
      <w:r>
        <w:rPr>
          <w:rFonts w:hint="eastAsia" w:ascii="仿宋_GB2312" w:eastAsia="仿宋_GB2312" w:cs="仿宋_GB2312"/>
          <w:kern w:val="0"/>
          <w:sz w:val="32"/>
          <w:szCs w:val="32"/>
          <w:lang w:val="en-US" w:eastAsia="zh-CN"/>
        </w:rPr>
        <w:t>1151.65</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其中：货物支出</w:t>
      </w:r>
      <w:r>
        <w:rPr>
          <w:rFonts w:hint="eastAsia" w:ascii="仿宋_GB2312" w:eastAsia="仿宋_GB2312" w:cs="仿宋_GB2312"/>
          <w:kern w:val="0"/>
          <w:sz w:val="32"/>
          <w:szCs w:val="32"/>
          <w:lang w:val="en-US" w:eastAsia="zh-CN"/>
        </w:rPr>
        <w:t>969.49</w:t>
      </w:r>
      <w:r>
        <w:rPr>
          <w:rFonts w:hint="eastAsia" w:ascii="仿宋_GB2312" w:eastAsia="仿宋_GB2312" w:cs="仿宋_GB2312"/>
          <w:kern w:val="0"/>
          <w:sz w:val="32"/>
          <w:szCs w:val="32"/>
        </w:rPr>
        <w:t>万元、工程支出</w:t>
      </w:r>
      <w:r>
        <w:rPr>
          <w:rFonts w:hint="eastAsia" w:ascii="仿宋_GB2312" w:eastAsia="仿宋_GB2312" w:cs="仿宋_GB2312"/>
          <w:kern w:val="0"/>
          <w:sz w:val="32"/>
          <w:szCs w:val="32"/>
          <w:lang w:val="en-US" w:eastAsia="zh-CN"/>
        </w:rPr>
        <w:t>111.92</w:t>
      </w:r>
      <w:r>
        <w:rPr>
          <w:rFonts w:hint="eastAsia" w:ascii="仿宋_GB2312" w:eastAsia="仿宋_GB2312" w:cs="仿宋_GB2312"/>
          <w:kern w:val="0"/>
          <w:sz w:val="32"/>
          <w:szCs w:val="32"/>
        </w:rPr>
        <w:t>万元、服务支出</w:t>
      </w:r>
      <w:r>
        <w:rPr>
          <w:rFonts w:hint="eastAsia" w:ascii="仿宋_GB2312" w:eastAsia="仿宋_GB2312" w:cs="仿宋_GB2312"/>
          <w:kern w:val="0"/>
          <w:sz w:val="32"/>
          <w:szCs w:val="32"/>
          <w:lang w:val="en-US" w:eastAsia="zh-CN"/>
        </w:rPr>
        <w:t>70.24</w:t>
      </w:r>
      <w:r>
        <w:rPr>
          <w:rFonts w:hint="eastAsia" w:ascii="仿宋_GB2312" w:eastAsia="仿宋_GB2312" w:cs="仿宋_GB2312"/>
          <w:kern w:val="0"/>
          <w:sz w:val="32"/>
          <w:szCs w:val="32"/>
        </w:rPr>
        <w:t>万元。</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 xml:space="preserve">（三）国有资产占用情况。截至年末部门共有车辆1辆，其中：专业技术用车1辆；单价50万元以上通用设备1台。 </w:t>
      </w:r>
    </w:p>
    <w:p>
      <w:pPr>
        <w:ind w:firstLine="645"/>
        <w:rPr>
          <w:rFonts w:hint="eastAsia" w:ascii="仿宋_GB2312" w:eastAsia="仿宋_GB2312"/>
          <w:b/>
          <w:sz w:val="32"/>
          <w:szCs w:val="32"/>
          <w:lang w:eastAsia="zh-CN"/>
        </w:rPr>
      </w:pPr>
      <w:r>
        <w:rPr>
          <w:rFonts w:hint="eastAsia" w:ascii="仿宋_GB2312" w:eastAsia="仿宋_GB2312"/>
          <w:b/>
          <w:sz w:val="32"/>
          <w:szCs w:val="32"/>
        </w:rPr>
        <w:t>第</w:t>
      </w:r>
      <w:r>
        <w:rPr>
          <w:rFonts w:hint="eastAsia" w:ascii="仿宋_GB2312" w:eastAsia="仿宋_GB2312"/>
          <w:b/>
          <w:sz w:val="32"/>
          <w:szCs w:val="32"/>
          <w:lang w:eastAsia="zh-CN"/>
        </w:rPr>
        <w:t>四</w:t>
      </w:r>
      <w:r>
        <w:rPr>
          <w:rFonts w:hint="eastAsia" w:ascii="仿宋_GB2312" w:eastAsia="仿宋_GB2312"/>
          <w:b/>
          <w:sz w:val="32"/>
          <w:szCs w:val="32"/>
        </w:rPr>
        <w:t>部分：</w:t>
      </w:r>
      <w:r>
        <w:rPr>
          <w:rFonts w:hint="eastAsia" w:ascii="仿宋_GB2312" w:eastAsia="仿宋_GB2312"/>
          <w:b/>
          <w:sz w:val="32"/>
          <w:szCs w:val="32"/>
          <w:lang w:eastAsia="zh-CN"/>
        </w:rPr>
        <w:t>名词解释</w:t>
      </w:r>
    </w:p>
    <w:p>
      <w:pPr>
        <w:numPr>
          <w:ilvl w:val="0"/>
          <w:numId w:val="3"/>
        </w:numPr>
        <w:ind w:firstLine="645"/>
        <w:rPr>
          <w:rFonts w:hint="eastAsia"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3"/>
        </w:numPr>
        <w:ind w:firstLine="645"/>
        <w:rPr>
          <w:rFonts w:hint="eastAsia" w:ascii="仿宋_GB2312" w:eastAsia="仿宋_GB2312"/>
          <w:bCs/>
          <w:sz w:val="32"/>
          <w:szCs w:val="32"/>
        </w:rPr>
      </w:pPr>
      <w:r>
        <w:rPr>
          <w:rFonts w:hint="eastAsia" w:ascii="仿宋_GB2312" w:eastAsia="仿宋_GB2312"/>
          <w:bCs/>
          <w:sz w:val="32"/>
          <w:szCs w:val="32"/>
        </w:rPr>
        <w:t>事业收入：指事业单位开展专业活动用辅助活动所取得的收入。如：柳州市残疾人康复中心承接各级残联为有康复需求的残疾人提供的辅助器具适配取得的收入等。</w:t>
      </w:r>
    </w:p>
    <w:p>
      <w:pPr>
        <w:numPr>
          <w:ilvl w:val="0"/>
          <w:numId w:val="3"/>
        </w:numPr>
        <w:ind w:firstLine="645"/>
        <w:rPr>
          <w:rFonts w:hint="eastAsia" w:ascii="仿宋_GB2312" w:eastAsia="仿宋_GB2312"/>
          <w:bCs/>
          <w:sz w:val="32"/>
          <w:szCs w:val="32"/>
        </w:rPr>
      </w:pPr>
      <w:r>
        <w:rPr>
          <w:rFonts w:hint="eastAsia" w:ascii="仿宋_GB2312" w:eastAsia="仿宋_GB2312"/>
          <w:bCs/>
          <w:sz w:val="32"/>
          <w:szCs w:val="32"/>
        </w:rPr>
        <w:t>其他收入：指除上述“财政拨款收入”、“事业收入”、“经营收入”等以外的收入。主要是：银行利息收入。</w:t>
      </w:r>
    </w:p>
    <w:p>
      <w:pPr>
        <w:numPr>
          <w:ilvl w:val="0"/>
          <w:numId w:val="3"/>
        </w:numPr>
        <w:ind w:firstLine="645"/>
        <w:rPr>
          <w:rFonts w:hint="eastAsia"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3"/>
        </w:numPr>
        <w:ind w:firstLine="645"/>
        <w:rPr>
          <w:rFonts w:hint="eastAsia"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3"/>
        </w:numPr>
        <w:ind w:firstLine="645"/>
        <w:rPr>
          <w:rFonts w:hint="eastAsia"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3"/>
        </w:numPr>
        <w:ind w:firstLine="645"/>
        <w:rPr>
          <w:rFonts w:hint="eastAsia"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3"/>
        </w:numPr>
        <w:ind w:firstLine="645"/>
        <w:rPr>
          <w:rFonts w:hint="eastAsia" w:ascii="仿宋_GB2312" w:eastAsia="仿宋_GB2312"/>
          <w:bCs/>
          <w:sz w:val="32"/>
          <w:szCs w:val="32"/>
        </w:rPr>
      </w:pPr>
      <w:r>
        <w:rPr>
          <w:rFonts w:hint="eastAsia" w:ascii="仿宋_GB2312" w:eastAsia="仿宋_GB2312"/>
          <w:bCs/>
          <w:sz w:val="32"/>
          <w:szCs w:val="32"/>
        </w:rPr>
        <w:t xml:space="preserve"> “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3"/>
        </w:numPr>
        <w:ind w:firstLine="645"/>
        <w:rPr>
          <w:rFonts w:hint="eastAsia"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p>
    <w:p/>
    <w:sectPr>
      <w:pgSz w:w="11906" w:h="16838"/>
      <w:pgMar w:top="1383"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sz w:val="30"/>
        <w:szCs w:val="30"/>
      </w:rPr>
    </w:pPr>
    <w:r>
      <w:rPr>
        <w:sz w:val="30"/>
        <w:szCs w:val="30"/>
      </w:rPr>
      <w:fldChar w:fldCharType="begin"/>
    </w:r>
    <w:r>
      <w:rPr>
        <w:rStyle w:val="6"/>
        <w:sz w:val="30"/>
        <w:szCs w:val="30"/>
      </w:rPr>
      <w:instrText xml:space="preserve">PAGE  </w:instrText>
    </w:r>
    <w:r>
      <w:rPr>
        <w:sz w:val="30"/>
        <w:szCs w:val="30"/>
      </w:rPr>
      <w:fldChar w:fldCharType="separate"/>
    </w:r>
    <w:r>
      <w:rPr>
        <w:rStyle w:val="6"/>
        <w:sz w:val="30"/>
        <w:szCs w:val="30"/>
      </w:rPr>
      <w:t>- 16 -</w:t>
    </w:r>
    <w:r>
      <w:rPr>
        <w:sz w:val="30"/>
        <w:szCs w:val="30"/>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74EE0B"/>
    <w:multiLevelType w:val="singleLevel"/>
    <w:tmpl w:val="9E74EE0B"/>
    <w:lvl w:ilvl="0" w:tentative="0">
      <w:start w:val="1"/>
      <w:numFmt w:val="decimal"/>
      <w:lvlText w:val="%1."/>
      <w:lvlJc w:val="left"/>
      <w:pPr>
        <w:tabs>
          <w:tab w:val="left" w:pos="312"/>
        </w:tabs>
      </w:pPr>
    </w:lvl>
  </w:abstractNum>
  <w:abstractNum w:abstractNumId="1">
    <w:nsid w:val="5B3C894F"/>
    <w:multiLevelType w:val="singleLevel"/>
    <w:tmpl w:val="5B3C894F"/>
    <w:lvl w:ilvl="0" w:tentative="0">
      <w:start w:val="1"/>
      <w:numFmt w:val="chineseCounting"/>
      <w:suff w:val="nothing"/>
      <w:lvlText w:val="（%1）"/>
      <w:lvlJc w:val="left"/>
    </w:lvl>
  </w:abstractNum>
  <w:abstractNum w:abstractNumId="2">
    <w:nsid w:val="5B3C8BA7"/>
    <w:multiLevelType w:val="singleLevel"/>
    <w:tmpl w:val="5B3C8BA7"/>
    <w:lvl w:ilvl="0" w:tentative="0">
      <w:start w:val="1"/>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205376"/>
    <w:rsid w:val="04EF3CDE"/>
    <w:rsid w:val="09343478"/>
    <w:rsid w:val="0FCE4AE0"/>
    <w:rsid w:val="1B6848B0"/>
    <w:rsid w:val="1DFB3BE0"/>
    <w:rsid w:val="1F0449FF"/>
    <w:rsid w:val="1FC236C1"/>
    <w:rsid w:val="26460DBA"/>
    <w:rsid w:val="29DC7ED1"/>
    <w:rsid w:val="2C4219FE"/>
    <w:rsid w:val="2DC84D69"/>
    <w:rsid w:val="2DD10A68"/>
    <w:rsid w:val="2EF27184"/>
    <w:rsid w:val="318F1765"/>
    <w:rsid w:val="36B9176F"/>
    <w:rsid w:val="39A63F06"/>
    <w:rsid w:val="3A8B1492"/>
    <w:rsid w:val="3ED1439F"/>
    <w:rsid w:val="4337490C"/>
    <w:rsid w:val="4395786A"/>
    <w:rsid w:val="445F005C"/>
    <w:rsid w:val="44C6288E"/>
    <w:rsid w:val="457E2341"/>
    <w:rsid w:val="463C2CFD"/>
    <w:rsid w:val="4C256E3D"/>
    <w:rsid w:val="4CB52F0F"/>
    <w:rsid w:val="4F2F1129"/>
    <w:rsid w:val="532F1F9A"/>
    <w:rsid w:val="62163194"/>
    <w:rsid w:val="664D2ADA"/>
    <w:rsid w:val="6E806558"/>
    <w:rsid w:val="713D28F7"/>
    <w:rsid w:val="734B4421"/>
    <w:rsid w:val="73951C43"/>
    <w:rsid w:val="772A5FEE"/>
    <w:rsid w:val="7C9D4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font01"/>
    <w:basedOn w:val="5"/>
    <w:uiPriority w:val="0"/>
    <w:rPr>
      <w:rFonts w:hint="default" w:ascii="Times New Roman" w:hAnsi="Times New Roman" w:cs="Times New Roman"/>
      <w:color w:val="000000"/>
      <w:sz w:val="24"/>
      <w:szCs w:val="24"/>
      <w:u w:val="none"/>
    </w:rPr>
  </w:style>
  <w:style w:type="character" w:customStyle="1" w:styleId="8">
    <w:name w:val="font51"/>
    <w:basedOn w:val="5"/>
    <w:qFormat/>
    <w:uiPriority w:val="0"/>
    <w:rPr>
      <w:rFonts w:hint="eastAsia" w:ascii="宋体" w:hAnsi="宋体" w:eastAsia="宋体" w:cs="宋体"/>
      <w:color w:val="000000"/>
      <w:sz w:val="24"/>
      <w:szCs w:val="24"/>
      <w:u w:val="none"/>
    </w:rPr>
  </w:style>
  <w:style w:type="character" w:customStyle="1" w:styleId="9">
    <w:name w:val="font71"/>
    <w:basedOn w:val="5"/>
    <w:qFormat/>
    <w:uiPriority w:val="0"/>
    <w:rPr>
      <w:rFonts w:hint="eastAsia" w:ascii="宋体" w:hAnsi="宋体" w:eastAsia="宋体" w:cs="宋体"/>
      <w:color w:val="000000"/>
      <w:sz w:val="24"/>
      <w:szCs w:val="24"/>
      <w:u w:val="none"/>
    </w:rPr>
  </w:style>
  <w:style w:type="character" w:customStyle="1" w:styleId="10">
    <w:name w:val="font41"/>
    <w:basedOn w:val="5"/>
    <w:qFormat/>
    <w:uiPriority w:val="0"/>
    <w:rPr>
      <w:rFonts w:hint="eastAsia" w:ascii="宋体" w:hAnsi="宋体" w:eastAsia="宋体" w:cs="宋体"/>
      <w:color w:val="000000"/>
      <w:sz w:val="24"/>
      <w:szCs w:val="24"/>
      <w:u w:val="none"/>
    </w:rPr>
  </w:style>
  <w:style w:type="character" w:customStyle="1" w:styleId="11">
    <w:name w:val="font11"/>
    <w:basedOn w:val="5"/>
    <w:uiPriority w:val="0"/>
    <w:rPr>
      <w:rFonts w:hint="default" w:ascii="Times New Roman" w:hAnsi="Times New Roman" w:cs="Times New Roman"/>
      <w:color w:val="000000"/>
      <w:sz w:val="18"/>
      <w:szCs w:val="18"/>
      <w:u w:val="none"/>
    </w:rPr>
  </w:style>
  <w:style w:type="character" w:customStyle="1" w:styleId="12">
    <w:name w:val="font31"/>
    <w:basedOn w:val="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songsong</cp:lastModifiedBy>
  <dcterms:modified xsi:type="dcterms:W3CDTF">2020-09-24T07:49:47Z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