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645"/>
        <w:jc w:val="center"/>
        <w:rPr>
          <w:rFonts w:hint="eastAsia" w:ascii="宋体" w:hAnsi="宋体" w:eastAsia="宋体" w:cs="宋体"/>
          <w:sz w:val="24"/>
          <w:szCs w:val="24"/>
        </w:rPr>
      </w:pPr>
      <w:r>
        <w:rPr>
          <w:rStyle w:val="5"/>
          <w:rFonts w:hint="eastAsia" w:ascii="宋体" w:hAnsi="宋体" w:eastAsia="宋体" w:cs="宋体"/>
          <w:i w:val="0"/>
          <w:caps w:val="0"/>
          <w:color w:val="000000"/>
          <w:spacing w:val="0"/>
          <w:sz w:val="24"/>
          <w:szCs w:val="24"/>
          <w:shd w:val="clear" w:fill="FFFFFF"/>
        </w:rPr>
        <w:t>目</w:t>
      </w:r>
      <w:r>
        <w:rPr>
          <w:rStyle w:val="5"/>
          <w:rFonts w:hint="eastAsia" w:ascii="宋体" w:hAnsi="宋体" w:eastAsia="宋体" w:cs="宋体"/>
          <w:i w:val="0"/>
          <w:caps w:val="0"/>
          <w:color w:val="000000"/>
          <w:spacing w:val="0"/>
          <w:sz w:val="24"/>
          <w:szCs w:val="24"/>
          <w:shd w:val="clear" w:fill="FFFFFF"/>
        </w:rPr>
        <w:t>    录</w:t>
      </w:r>
    </w:p>
    <w:p>
      <w:pPr>
        <w:pStyle w:val="2"/>
        <w:keepNext w:val="0"/>
        <w:keepLines w:val="0"/>
        <w:widowControl/>
        <w:suppressLineNumbers w:val="0"/>
        <w:ind w:left="0" w:firstLine="645"/>
        <w:rPr>
          <w:rFonts w:hint="eastAsia" w:ascii="宋体" w:hAnsi="宋体" w:eastAsia="宋体" w:cs="宋体"/>
          <w:sz w:val="24"/>
          <w:szCs w:val="24"/>
        </w:rPr>
      </w:pPr>
      <w:r>
        <w:rPr>
          <w:rStyle w:val="5"/>
          <w:rFonts w:hint="eastAsia" w:ascii="宋体" w:hAnsi="宋体" w:eastAsia="宋体" w:cs="宋体"/>
          <w:i w:val="0"/>
          <w:caps w:val="0"/>
          <w:color w:val="000000"/>
          <w:spacing w:val="0"/>
          <w:sz w:val="24"/>
          <w:szCs w:val="24"/>
          <w:shd w:val="clear" w:fill="FFFFFF"/>
        </w:rPr>
        <w:t> </w:t>
      </w:r>
    </w:p>
    <w:p>
      <w:pPr>
        <w:pStyle w:val="2"/>
        <w:keepNext w:val="0"/>
        <w:keepLines w:val="0"/>
        <w:widowControl/>
        <w:suppressLineNumbers w:val="0"/>
        <w:ind w:left="0" w:firstLine="645"/>
        <w:rPr>
          <w:rFonts w:hint="eastAsia" w:ascii="宋体" w:hAnsi="宋体" w:eastAsia="宋体" w:cs="宋体"/>
          <w:sz w:val="24"/>
          <w:szCs w:val="24"/>
        </w:rPr>
      </w:pPr>
      <w:r>
        <w:rPr>
          <w:rStyle w:val="5"/>
          <w:rFonts w:hint="eastAsia" w:ascii="宋体" w:hAnsi="宋体" w:eastAsia="宋体" w:cs="宋体"/>
          <w:i w:val="0"/>
          <w:caps w:val="0"/>
          <w:color w:val="000000"/>
          <w:spacing w:val="0"/>
          <w:sz w:val="24"/>
          <w:szCs w:val="24"/>
          <w:shd w:val="clear" w:fill="FFFFFF"/>
        </w:rPr>
        <w:t>第一部分：柳州市委党史研究室概况</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一、主要职能</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二、部门决算单位构成</w:t>
      </w:r>
    </w:p>
    <w:p>
      <w:pPr>
        <w:pStyle w:val="2"/>
        <w:keepNext w:val="0"/>
        <w:keepLines w:val="0"/>
        <w:widowControl/>
        <w:suppressLineNumbers w:val="0"/>
        <w:ind w:left="0" w:firstLine="645"/>
        <w:rPr>
          <w:rFonts w:hint="eastAsia" w:ascii="宋体" w:hAnsi="宋体" w:eastAsia="宋体" w:cs="宋体"/>
          <w:sz w:val="24"/>
          <w:szCs w:val="24"/>
        </w:rPr>
      </w:pPr>
      <w:r>
        <w:rPr>
          <w:rStyle w:val="5"/>
          <w:rFonts w:hint="eastAsia" w:ascii="宋体" w:hAnsi="宋体" w:eastAsia="宋体" w:cs="宋体"/>
          <w:i w:val="0"/>
          <w:caps w:val="0"/>
          <w:color w:val="000000"/>
          <w:spacing w:val="0"/>
          <w:sz w:val="24"/>
          <w:szCs w:val="24"/>
          <w:shd w:val="clear" w:fill="FFFFFF"/>
        </w:rPr>
        <w:t>第二部分：柳州市委党史研究室2019年部门决算报表</w:t>
      </w:r>
    </w:p>
    <w:p>
      <w:pPr>
        <w:pStyle w:val="2"/>
        <w:keepNext w:val="0"/>
        <w:keepLines w:val="0"/>
        <w:widowControl/>
        <w:suppressLineNumbers w:val="0"/>
        <w:ind w:left="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表一：收入支出决算总表</w:t>
      </w:r>
    </w:p>
    <w:p>
      <w:pPr>
        <w:pStyle w:val="2"/>
        <w:keepNext w:val="0"/>
        <w:keepLines w:val="0"/>
        <w:widowControl/>
        <w:suppressLineNumbers w:val="0"/>
        <w:ind w:left="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表二：收入决算表</w:t>
      </w:r>
    </w:p>
    <w:p>
      <w:pPr>
        <w:pStyle w:val="2"/>
        <w:keepNext w:val="0"/>
        <w:keepLines w:val="0"/>
        <w:widowControl/>
        <w:suppressLineNumbers w:val="0"/>
        <w:ind w:left="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表三：支出决算表</w:t>
      </w:r>
    </w:p>
    <w:p>
      <w:pPr>
        <w:pStyle w:val="2"/>
        <w:keepNext w:val="0"/>
        <w:keepLines w:val="0"/>
        <w:widowControl/>
        <w:suppressLineNumbers w:val="0"/>
        <w:ind w:left="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表四：财政拨款收入支出决算总表</w:t>
      </w:r>
    </w:p>
    <w:p>
      <w:pPr>
        <w:pStyle w:val="2"/>
        <w:keepNext w:val="0"/>
        <w:keepLines w:val="0"/>
        <w:widowControl/>
        <w:suppressLineNumbers w:val="0"/>
        <w:ind w:left="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表五：一般公共预算财政拨款支出决算表</w:t>
      </w:r>
    </w:p>
    <w:p>
      <w:pPr>
        <w:pStyle w:val="2"/>
        <w:keepNext w:val="0"/>
        <w:keepLines w:val="0"/>
        <w:widowControl/>
        <w:suppressLineNumbers w:val="0"/>
        <w:ind w:left="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表六：一般公共预算财政拨款基本支出决算表</w:t>
      </w:r>
    </w:p>
    <w:p>
      <w:pPr>
        <w:pStyle w:val="2"/>
        <w:keepNext w:val="0"/>
        <w:keepLines w:val="0"/>
        <w:widowControl/>
        <w:suppressLineNumbers w:val="0"/>
        <w:ind w:left="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表七：一般公共预算财政拨款安排的“三公”经费支出决算表</w:t>
      </w:r>
    </w:p>
    <w:p>
      <w:pPr>
        <w:pStyle w:val="2"/>
        <w:keepNext w:val="0"/>
        <w:keepLines w:val="0"/>
        <w:widowControl/>
        <w:suppressLineNumbers w:val="0"/>
        <w:ind w:left="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表八：政府性基金预算财政拨款收入支出决算表</w:t>
      </w:r>
    </w:p>
    <w:p>
      <w:pPr>
        <w:pStyle w:val="2"/>
        <w:keepNext w:val="0"/>
        <w:keepLines w:val="0"/>
        <w:widowControl/>
        <w:suppressLineNumbers w:val="0"/>
        <w:ind w:left="0" w:firstLine="645"/>
        <w:rPr>
          <w:rFonts w:hint="eastAsia" w:ascii="宋体" w:hAnsi="宋体" w:eastAsia="宋体" w:cs="宋体"/>
          <w:sz w:val="24"/>
          <w:szCs w:val="24"/>
        </w:rPr>
      </w:pPr>
      <w:r>
        <w:rPr>
          <w:rStyle w:val="5"/>
          <w:rFonts w:hint="eastAsia" w:ascii="宋体" w:hAnsi="宋体" w:eastAsia="宋体" w:cs="宋体"/>
          <w:i w:val="0"/>
          <w:caps w:val="0"/>
          <w:color w:val="000000"/>
          <w:spacing w:val="0"/>
          <w:sz w:val="24"/>
          <w:szCs w:val="24"/>
          <w:shd w:val="clear" w:fill="FFFFFF"/>
        </w:rPr>
        <w:t>第三部分：柳州市委党史研究室2019年度部门决算情况说明</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一、2019</w:t>
      </w: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rPr>
        <w:t>年度收入支出决算总体情况。</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二、2019</w:t>
      </w: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rPr>
        <w:t>年度收入决算情况。</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三、2019</w:t>
      </w: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rPr>
        <w:t>年度支出决算情况</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四、2019年度财政拨款收入支出决算情况</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五、2019</w:t>
      </w: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rPr>
        <w:t>年度一般公共预算财政拨款支出决算情况</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六、2019</w:t>
      </w: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rPr>
        <w:t>年度一般公共预算财政拨款基本支出决算情况</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七、2019</w:t>
      </w: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rPr>
        <w:t>年度一般公共预算财政拨款“三公”经费支出决算情况</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八、2019 年度政府性基金预算财政拨款收入支出决算情况</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九、2019 年度预算绩效情况说明</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十、其他重要事项的情况说明</w:t>
      </w:r>
    </w:p>
    <w:p>
      <w:pPr>
        <w:pStyle w:val="2"/>
        <w:keepNext w:val="0"/>
        <w:keepLines w:val="0"/>
        <w:widowControl/>
        <w:suppressLineNumbers w:val="0"/>
        <w:ind w:left="0" w:firstLine="645"/>
        <w:rPr>
          <w:rFonts w:hint="eastAsia" w:ascii="宋体" w:hAnsi="宋体" w:eastAsia="宋体" w:cs="宋体"/>
          <w:sz w:val="24"/>
          <w:szCs w:val="24"/>
        </w:rPr>
      </w:pPr>
      <w:r>
        <w:rPr>
          <w:rStyle w:val="5"/>
          <w:rFonts w:hint="eastAsia" w:ascii="宋体" w:hAnsi="宋体" w:eastAsia="宋体" w:cs="宋体"/>
          <w:i w:val="0"/>
          <w:caps w:val="0"/>
          <w:color w:val="000000"/>
          <w:spacing w:val="0"/>
          <w:sz w:val="24"/>
          <w:szCs w:val="24"/>
          <w:shd w:val="clear" w:fill="FFFFFF"/>
        </w:rPr>
        <w:t>第四部分：名词解释</w:t>
      </w:r>
    </w:p>
    <w:p>
      <w:pPr>
        <w:pStyle w:val="2"/>
        <w:keepNext w:val="0"/>
        <w:keepLines w:val="0"/>
        <w:widowControl/>
        <w:suppressLineNumbers w:val="0"/>
        <w:ind w:left="0" w:firstLine="645"/>
        <w:jc w:val="center"/>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br w:type="textWrapping"/>
      </w:r>
      <w:r>
        <w:rPr>
          <w:rStyle w:val="5"/>
          <w:rFonts w:hint="eastAsia" w:ascii="宋体" w:hAnsi="宋体" w:eastAsia="宋体" w:cs="宋体"/>
          <w:i w:val="0"/>
          <w:caps w:val="0"/>
          <w:color w:val="000000"/>
          <w:spacing w:val="0"/>
          <w:sz w:val="24"/>
          <w:szCs w:val="24"/>
          <w:shd w:val="clear" w:fill="FFFFFF"/>
        </w:rPr>
        <w:t>第一部分：柳州市委党史研究室概况</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一、主要职能</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主要负责柳州市党史资料的征集、研究、整理和宣传、教育工作，全面征集我党在新民主主义革命与社会主义革命和建设时期在柳州市活动的各种资料，对征集到的各种资料认真考证、核实、整理，制定中共柳州地方史稿编写工作的规划和具体的工作方案并负责组织实施，深入开展党史宣传教育活动、党史科研课题研究等。</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二、部门决算单位构成</w:t>
      </w:r>
    </w:p>
    <w:p>
      <w:pPr>
        <w:pStyle w:val="2"/>
        <w:keepNext w:val="0"/>
        <w:keepLines w:val="0"/>
        <w:widowControl/>
        <w:suppressLineNumbers w:val="0"/>
        <w:ind w:left="0" w:firstLine="645"/>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本单位属于参公事业单位，在编人数11人，离休人员1人，退休8人，聘用人员3人。</w:t>
      </w:r>
    </w:p>
    <w:p>
      <w:pPr>
        <w:pStyle w:val="2"/>
        <w:keepNext w:val="0"/>
        <w:keepLines w:val="0"/>
        <w:widowControl/>
        <w:suppressLineNumbers w:val="0"/>
        <w:jc w:val="both"/>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p>
    <w:p>
      <w:pPr>
        <w:pStyle w:val="2"/>
        <w:keepNext w:val="0"/>
        <w:keepLines w:val="0"/>
        <w:widowControl/>
        <w:suppressLineNumbers w:val="0"/>
        <w:ind w:left="0" w:firstLine="0"/>
        <w:jc w:val="both"/>
        <w:rPr>
          <w:rFonts w:hint="eastAsia" w:ascii="宋体" w:hAnsi="宋体" w:eastAsia="宋体" w:cs="宋体"/>
          <w:sz w:val="24"/>
          <w:szCs w:val="24"/>
        </w:rPr>
      </w:pPr>
      <w:r>
        <w:rPr>
          <w:rStyle w:val="5"/>
          <w:rFonts w:hint="eastAsia" w:ascii="宋体" w:hAnsi="宋体" w:eastAsia="宋体" w:cs="宋体"/>
          <w:i w:val="0"/>
          <w:caps w:val="0"/>
          <w:color w:val="000000"/>
          <w:spacing w:val="0"/>
          <w:sz w:val="24"/>
          <w:szCs w:val="24"/>
          <w:shd w:val="clear" w:fill="FFFFFF"/>
        </w:rPr>
        <w:t>第二部分：柳州市委党史研究室 2019年部门决算报表</w:t>
      </w:r>
    </w:p>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p>
    <w:tbl>
      <w:tblPr>
        <w:tblW w:w="11338"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764"/>
        <w:gridCol w:w="1404"/>
        <w:gridCol w:w="4056"/>
        <w:gridCol w:w="2028"/>
        <w:gridCol w:w="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70" w:hRule="atLeast"/>
          <w:tblCellSpacing w:w="0" w:type="dxa"/>
          <w:jc w:val="center"/>
        </w:trPr>
        <w:tc>
          <w:tcPr>
            <w:tcW w:w="8655" w:type="dxa"/>
            <w:gridSpan w:val="4"/>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表一：收入支出决算总表</w:t>
            </w:r>
          </w:p>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单位：万元</w:t>
            </w:r>
          </w:p>
        </w:tc>
        <w:tc>
          <w:tcPr>
            <w:tcW w:w="60" w:type="dxa"/>
            <w:tcBorders>
              <w:top w:val="single" w:color="auto" w:sz="6" w:space="0"/>
              <w:left w:val="single" w:color="auto" w:sz="6" w:space="0"/>
              <w:bottom w:val="single" w:color="auto" w:sz="6" w:space="0"/>
              <w:right w:val="single" w:color="auto" w:sz="6" w:space="0"/>
            </w:tcBorders>
            <w:shd w:val="cle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3975"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ind w:left="0" w:firstLine="405"/>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收    入</w:t>
            </w:r>
          </w:p>
        </w:tc>
        <w:tc>
          <w:tcPr>
            <w:tcW w:w="4740"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项目</w:t>
            </w:r>
          </w:p>
        </w:tc>
        <w:tc>
          <w:tcPr>
            <w:tcW w:w="10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决算数</w:t>
            </w:r>
          </w:p>
        </w:tc>
        <w:tc>
          <w:tcPr>
            <w:tcW w:w="31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项目</w:t>
            </w:r>
          </w:p>
        </w:tc>
        <w:tc>
          <w:tcPr>
            <w:tcW w:w="16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一、一般公共预算财政拨款收入</w:t>
            </w:r>
          </w:p>
        </w:tc>
        <w:tc>
          <w:tcPr>
            <w:tcW w:w="10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334.12</w:t>
            </w:r>
          </w:p>
        </w:tc>
        <w:tc>
          <w:tcPr>
            <w:tcW w:w="31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一、一般公共服务支出</w:t>
            </w:r>
          </w:p>
        </w:tc>
        <w:tc>
          <w:tcPr>
            <w:tcW w:w="16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243.79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二、政府性基金预算财政拨款收入</w:t>
            </w:r>
          </w:p>
        </w:tc>
        <w:tc>
          <w:tcPr>
            <w:tcW w:w="10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31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二、社会保障和就业支出</w:t>
            </w:r>
          </w:p>
        </w:tc>
        <w:tc>
          <w:tcPr>
            <w:tcW w:w="16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三、上级补助收入</w:t>
            </w:r>
          </w:p>
        </w:tc>
        <w:tc>
          <w:tcPr>
            <w:tcW w:w="10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31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三、卫生健康支出</w:t>
            </w:r>
          </w:p>
        </w:tc>
        <w:tc>
          <w:tcPr>
            <w:tcW w:w="16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四、事业收入</w:t>
            </w:r>
          </w:p>
        </w:tc>
        <w:tc>
          <w:tcPr>
            <w:tcW w:w="10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31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四、住房保障支出</w:t>
            </w:r>
          </w:p>
        </w:tc>
        <w:tc>
          <w:tcPr>
            <w:tcW w:w="16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五、经营收入</w:t>
            </w:r>
          </w:p>
        </w:tc>
        <w:tc>
          <w:tcPr>
            <w:tcW w:w="10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31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6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六、附属单位上缴收入</w:t>
            </w:r>
          </w:p>
        </w:tc>
        <w:tc>
          <w:tcPr>
            <w:tcW w:w="10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31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6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七、其他收入</w:t>
            </w:r>
          </w:p>
        </w:tc>
        <w:tc>
          <w:tcPr>
            <w:tcW w:w="10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31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6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31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6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Style w:val="5"/>
                <w:rFonts w:hint="eastAsia" w:ascii="宋体" w:hAnsi="宋体" w:eastAsia="宋体" w:cs="宋体"/>
                <w:sz w:val="24"/>
                <w:szCs w:val="24"/>
                <w:bdr w:val="none" w:color="auto" w:sz="0" w:space="0"/>
              </w:rPr>
              <w:t>本年收入合计</w:t>
            </w:r>
          </w:p>
        </w:tc>
        <w:tc>
          <w:tcPr>
            <w:tcW w:w="10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334.12</w:t>
            </w:r>
          </w:p>
        </w:tc>
        <w:tc>
          <w:tcPr>
            <w:tcW w:w="31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Style w:val="5"/>
                <w:rFonts w:hint="eastAsia" w:ascii="宋体" w:hAnsi="宋体" w:eastAsia="宋体" w:cs="宋体"/>
                <w:sz w:val="24"/>
                <w:szCs w:val="24"/>
                <w:bdr w:val="none" w:color="auto" w:sz="0" w:space="0"/>
              </w:rPr>
              <w:t>本年支出合计</w:t>
            </w:r>
          </w:p>
        </w:tc>
        <w:tc>
          <w:tcPr>
            <w:tcW w:w="16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Style w:val="5"/>
                <w:rFonts w:hint="eastAsia" w:ascii="宋体" w:hAnsi="宋体" w:eastAsia="宋体" w:cs="宋体"/>
                <w:sz w:val="24"/>
                <w:szCs w:val="24"/>
                <w:bdr w:val="none" w:color="auto" w:sz="0" w:space="0"/>
              </w:rPr>
              <w:t>　</w:t>
            </w:r>
            <w:r>
              <w:rPr>
                <w:rStyle w:val="5"/>
                <w:rFonts w:hint="eastAsia" w:ascii="宋体" w:hAnsi="宋体" w:eastAsia="宋体" w:cs="宋体"/>
                <w:sz w:val="24"/>
                <w:szCs w:val="24"/>
                <w:bdr w:val="none" w:color="auto" w:sz="0" w:space="0"/>
              </w:rPr>
              <w:t>336.31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用事业基金弥补收支差额</w:t>
            </w:r>
          </w:p>
        </w:tc>
        <w:tc>
          <w:tcPr>
            <w:tcW w:w="10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31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结余分配</w:t>
            </w:r>
          </w:p>
        </w:tc>
        <w:tc>
          <w:tcPr>
            <w:tcW w:w="16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年初结转和结余</w:t>
            </w:r>
          </w:p>
        </w:tc>
        <w:tc>
          <w:tcPr>
            <w:tcW w:w="10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7.57</w:t>
            </w:r>
          </w:p>
        </w:tc>
        <w:tc>
          <w:tcPr>
            <w:tcW w:w="31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年末结转与结余</w:t>
            </w:r>
          </w:p>
        </w:tc>
        <w:tc>
          <w:tcPr>
            <w:tcW w:w="16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5.38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31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6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Style w:val="5"/>
                <w:rFonts w:hint="eastAsia" w:ascii="宋体" w:hAnsi="宋体" w:eastAsia="宋体" w:cs="宋体"/>
                <w:sz w:val="24"/>
                <w:szCs w:val="24"/>
                <w:bdr w:val="none" w:color="auto" w:sz="0" w:space="0"/>
              </w:rPr>
              <w:t>收入总计</w:t>
            </w:r>
          </w:p>
        </w:tc>
        <w:tc>
          <w:tcPr>
            <w:tcW w:w="10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Style w:val="5"/>
                <w:rFonts w:hint="eastAsia" w:ascii="宋体" w:hAnsi="宋体" w:eastAsia="宋体" w:cs="宋体"/>
                <w:sz w:val="24"/>
                <w:szCs w:val="24"/>
                <w:bdr w:val="none" w:color="auto" w:sz="0" w:space="0"/>
              </w:rPr>
              <w:t>341.69</w:t>
            </w:r>
          </w:p>
        </w:tc>
        <w:tc>
          <w:tcPr>
            <w:tcW w:w="31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Style w:val="5"/>
                <w:rFonts w:hint="eastAsia" w:ascii="宋体" w:hAnsi="宋体" w:eastAsia="宋体" w:cs="宋体"/>
                <w:sz w:val="24"/>
                <w:szCs w:val="24"/>
                <w:bdr w:val="none" w:color="auto" w:sz="0" w:space="0"/>
              </w:rPr>
              <w:t>支出总计</w:t>
            </w:r>
          </w:p>
        </w:tc>
        <w:tc>
          <w:tcPr>
            <w:tcW w:w="16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Style w:val="5"/>
                <w:rFonts w:hint="eastAsia" w:ascii="宋体" w:hAnsi="宋体" w:eastAsia="宋体" w:cs="宋体"/>
                <w:sz w:val="24"/>
                <w:szCs w:val="24"/>
                <w:bdr w:val="none" w:color="auto" w:sz="0" w:space="0"/>
              </w:rPr>
              <w:t>　</w:t>
            </w:r>
            <w:r>
              <w:rPr>
                <w:rStyle w:val="5"/>
                <w:rFonts w:hint="eastAsia" w:ascii="宋体" w:hAnsi="宋体" w:eastAsia="宋体" w:cs="宋体"/>
                <w:sz w:val="24"/>
                <w:szCs w:val="24"/>
                <w:bdr w:val="none" w:color="auto" w:sz="0" w:space="0"/>
              </w:rPr>
              <w:t>341.69</w:t>
            </w:r>
          </w:p>
        </w:tc>
      </w:tr>
    </w:tbl>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注：本表反映部门本年度的总收支和年末结转结余情况。</w:t>
      </w:r>
    </w:p>
    <w:p>
      <w:pPr>
        <w:pStyle w:val="2"/>
        <w:keepNext w:val="0"/>
        <w:keepLines w:val="0"/>
        <w:widowControl/>
        <w:suppressLineNumbers w:val="0"/>
        <w:shd w:val="clear" w:fill="FFFFFF"/>
        <w:ind w:left="0" w:firstLine="0"/>
        <w:rPr>
          <w:rFonts w:hint="eastAsia" w:ascii="宋体" w:hAnsi="宋体" w:eastAsia="宋体" w:cs="宋体"/>
          <w:i w:val="0"/>
          <w:caps w:val="0"/>
          <w:color w:val="000000"/>
          <w:spacing w:val="0"/>
          <w:sz w:val="24"/>
          <w:szCs w:val="24"/>
        </w:rPr>
      </w:pPr>
    </w:p>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表二：收入决算表</w:t>
      </w:r>
    </w:p>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单位：万元                     </w:t>
      </w:r>
    </w:p>
    <w:tbl>
      <w:tblPr>
        <w:tblW w:w="14145"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080"/>
        <w:gridCol w:w="2296"/>
        <w:gridCol w:w="1539"/>
        <w:gridCol w:w="1539"/>
        <w:gridCol w:w="1537"/>
        <w:gridCol w:w="1537"/>
        <w:gridCol w:w="1540"/>
        <w:gridCol w:w="1540"/>
        <w:gridCol w:w="15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3360" w:type="dxa"/>
            <w:gridSpan w:val="2"/>
            <w:tcBorders>
              <w:top w:val="single" w:color="auto" w:sz="6" w:space="0"/>
              <w:left w:val="single" w:color="auto" w:sz="6" w:space="0"/>
              <w:bottom w:val="single" w:color="auto" w:sz="6" w:space="0"/>
              <w:right w:val="single" w:color="000000"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支出功能项 目</w:t>
            </w:r>
          </w:p>
        </w:tc>
        <w:tc>
          <w:tcPr>
            <w:tcW w:w="154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本年收入合计</w:t>
            </w:r>
          </w:p>
        </w:tc>
        <w:tc>
          <w:tcPr>
            <w:tcW w:w="154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财政拨款收入</w:t>
            </w:r>
          </w:p>
        </w:tc>
        <w:tc>
          <w:tcPr>
            <w:tcW w:w="154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上级补助收入</w:t>
            </w:r>
          </w:p>
        </w:tc>
        <w:tc>
          <w:tcPr>
            <w:tcW w:w="154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事业收入</w:t>
            </w:r>
          </w:p>
        </w:tc>
        <w:tc>
          <w:tcPr>
            <w:tcW w:w="154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经营收入</w:t>
            </w:r>
          </w:p>
        </w:tc>
        <w:tc>
          <w:tcPr>
            <w:tcW w:w="154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附属单位上缴收入</w:t>
            </w:r>
          </w:p>
        </w:tc>
        <w:tc>
          <w:tcPr>
            <w:tcW w:w="154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支出功能分类科目编码</w:t>
            </w:r>
          </w:p>
        </w:tc>
        <w:tc>
          <w:tcPr>
            <w:tcW w:w="23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科目名称</w:t>
            </w:r>
          </w:p>
        </w:tc>
        <w:tc>
          <w:tcPr>
            <w:tcW w:w="154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154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154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154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154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154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154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336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Style w:val="5"/>
                <w:rFonts w:hint="eastAsia" w:ascii="宋体" w:hAnsi="宋体" w:eastAsia="宋体" w:cs="宋体"/>
                <w:sz w:val="24"/>
                <w:szCs w:val="24"/>
                <w:bdr w:val="none" w:color="auto" w:sz="0" w:space="0"/>
              </w:rPr>
              <w:t>栏次</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3</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4</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660"/>
              <w:rPr>
                <w:rFonts w:hint="eastAsia" w:ascii="宋体" w:hAnsi="宋体" w:eastAsia="宋体" w:cs="宋体"/>
                <w:sz w:val="24"/>
                <w:szCs w:val="24"/>
              </w:rPr>
            </w:pPr>
            <w:r>
              <w:rPr>
                <w:rFonts w:hint="eastAsia" w:ascii="宋体" w:hAnsi="宋体" w:eastAsia="宋体" w:cs="宋体"/>
                <w:sz w:val="24"/>
                <w:szCs w:val="24"/>
                <w:bdr w:val="none" w:color="auto" w:sz="0" w:space="0"/>
              </w:rPr>
              <w:t>5</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660"/>
              <w:rPr>
                <w:rFonts w:hint="eastAsia" w:ascii="宋体" w:hAnsi="宋体" w:eastAsia="宋体" w:cs="宋体"/>
                <w:sz w:val="24"/>
                <w:szCs w:val="24"/>
              </w:rPr>
            </w:pPr>
            <w:r>
              <w:rPr>
                <w:rFonts w:hint="eastAsia" w:ascii="宋体" w:hAnsi="宋体" w:eastAsia="宋体" w:cs="宋体"/>
                <w:sz w:val="24"/>
                <w:szCs w:val="24"/>
                <w:bdr w:val="none" w:color="auto" w:sz="0" w:space="0"/>
              </w:rPr>
              <w:t>6</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336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合计</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334.12</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334.12</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201</w:t>
            </w:r>
          </w:p>
        </w:tc>
        <w:tc>
          <w:tcPr>
            <w:tcW w:w="23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一般公共服务支出</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242.32</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242.32</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20131</w:t>
            </w:r>
          </w:p>
        </w:tc>
        <w:tc>
          <w:tcPr>
            <w:tcW w:w="23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党委办公厅（室）及相关机构事务</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242.32</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242.32</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2013101</w:t>
            </w:r>
          </w:p>
        </w:tc>
        <w:tc>
          <w:tcPr>
            <w:tcW w:w="23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  行政运行</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173.79</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173.79</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2013102</w:t>
            </w:r>
          </w:p>
        </w:tc>
        <w:tc>
          <w:tcPr>
            <w:tcW w:w="23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  一般行政管理事务</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68.53</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68.53</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208</w:t>
            </w:r>
          </w:p>
        </w:tc>
        <w:tc>
          <w:tcPr>
            <w:tcW w:w="23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社会保障和就业支出</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46.13</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46.13</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20805</w:t>
            </w:r>
          </w:p>
        </w:tc>
        <w:tc>
          <w:tcPr>
            <w:tcW w:w="23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行政事业单位离退休</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46.13</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46.13</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2080501</w:t>
            </w:r>
          </w:p>
        </w:tc>
        <w:tc>
          <w:tcPr>
            <w:tcW w:w="23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  归口管理的行政单位离退休</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23.88</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23.88</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2080505</w:t>
            </w:r>
          </w:p>
        </w:tc>
        <w:tc>
          <w:tcPr>
            <w:tcW w:w="23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  机关事业单位基本养老保险缴费支出</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22.24</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22.24</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5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bl>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注：本表反映部门本年度取得的各项收入情况。</w:t>
      </w:r>
    </w:p>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p>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p>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p>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表三：支出决算表</w:t>
      </w:r>
    </w:p>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单位：万元</w:t>
      </w:r>
    </w:p>
    <w:tbl>
      <w:tblPr>
        <w:tblW w:w="14055"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186"/>
        <w:gridCol w:w="1817"/>
        <w:gridCol w:w="1982"/>
        <w:gridCol w:w="1847"/>
        <w:gridCol w:w="1697"/>
        <w:gridCol w:w="1697"/>
        <w:gridCol w:w="1847"/>
        <w:gridCol w:w="19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2985"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支出功能项 目</w:t>
            </w:r>
          </w:p>
        </w:tc>
        <w:tc>
          <w:tcPr>
            <w:tcW w:w="198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本年支出合计</w:t>
            </w:r>
          </w:p>
        </w:tc>
        <w:tc>
          <w:tcPr>
            <w:tcW w:w="184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基本支出</w:t>
            </w:r>
          </w:p>
        </w:tc>
        <w:tc>
          <w:tcPr>
            <w:tcW w:w="169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项目支出</w:t>
            </w:r>
          </w:p>
        </w:tc>
        <w:tc>
          <w:tcPr>
            <w:tcW w:w="169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上缴上级支出</w:t>
            </w:r>
          </w:p>
        </w:tc>
        <w:tc>
          <w:tcPr>
            <w:tcW w:w="184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经营支出</w:t>
            </w:r>
          </w:p>
        </w:tc>
        <w:tc>
          <w:tcPr>
            <w:tcW w:w="198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1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支出功能分类科目编码</w:t>
            </w:r>
          </w:p>
        </w:tc>
        <w:tc>
          <w:tcPr>
            <w:tcW w:w="18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科目名称</w:t>
            </w:r>
          </w:p>
        </w:tc>
        <w:tc>
          <w:tcPr>
            <w:tcW w:w="198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184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16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184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198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2985"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1980"/>
              <w:rPr>
                <w:rFonts w:hint="eastAsia" w:ascii="宋体" w:hAnsi="宋体" w:eastAsia="宋体" w:cs="宋体"/>
                <w:sz w:val="24"/>
                <w:szCs w:val="24"/>
              </w:rPr>
            </w:pPr>
            <w:r>
              <w:rPr>
                <w:rFonts w:hint="eastAsia" w:ascii="宋体" w:hAnsi="宋体" w:eastAsia="宋体" w:cs="宋体"/>
                <w:sz w:val="24"/>
                <w:szCs w:val="24"/>
                <w:bdr w:val="none" w:color="auto" w:sz="0" w:space="0"/>
              </w:rPr>
              <w:t>栏次</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885"/>
              <w:rPr>
                <w:rFonts w:hint="eastAsia" w:ascii="宋体" w:hAnsi="宋体" w:eastAsia="宋体" w:cs="宋体"/>
                <w:sz w:val="24"/>
                <w:szCs w:val="24"/>
              </w:rPr>
            </w:pPr>
            <w:r>
              <w:rPr>
                <w:rFonts w:hint="eastAsia" w:ascii="宋体" w:hAnsi="宋体" w:eastAsia="宋体" w:cs="宋体"/>
                <w:sz w:val="24"/>
                <w:szCs w:val="24"/>
                <w:bdr w:val="none" w:color="auto" w:sz="0" w:space="0"/>
              </w:rPr>
              <w:t>2</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885"/>
              <w:rPr>
                <w:rFonts w:hint="eastAsia" w:ascii="宋体" w:hAnsi="宋体" w:eastAsia="宋体" w:cs="宋体"/>
                <w:sz w:val="24"/>
                <w:szCs w:val="24"/>
              </w:rPr>
            </w:pPr>
            <w:r>
              <w:rPr>
                <w:rFonts w:hint="eastAsia" w:ascii="宋体" w:hAnsi="宋体" w:eastAsia="宋体" w:cs="宋体"/>
                <w:sz w:val="24"/>
                <w:szCs w:val="24"/>
                <w:bdr w:val="none" w:color="auto" w:sz="0" w:space="0"/>
              </w:rPr>
              <w:t>3</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4</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885"/>
              <w:rPr>
                <w:rFonts w:hint="eastAsia" w:ascii="宋体" w:hAnsi="宋体" w:eastAsia="宋体" w:cs="宋体"/>
                <w:sz w:val="24"/>
                <w:szCs w:val="24"/>
              </w:rPr>
            </w:pPr>
            <w:r>
              <w:rPr>
                <w:rFonts w:hint="eastAsia" w:ascii="宋体" w:hAnsi="宋体" w:eastAsia="宋体" w:cs="宋体"/>
                <w:sz w:val="24"/>
                <w:szCs w:val="24"/>
                <w:bdr w:val="none" w:color="auto" w:sz="0" w:space="0"/>
              </w:rPr>
              <w:t>5</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885"/>
              <w:rPr>
                <w:rFonts w:hint="eastAsia" w:ascii="宋体" w:hAnsi="宋体" w:eastAsia="宋体" w:cs="宋体"/>
                <w:sz w:val="24"/>
                <w:szCs w:val="24"/>
              </w:rPr>
            </w:pPr>
            <w:r>
              <w:rPr>
                <w:rFonts w:hint="eastAsia" w:ascii="宋体" w:hAnsi="宋体" w:eastAsia="宋体" w:cs="宋体"/>
                <w:sz w:val="24"/>
                <w:szCs w:val="24"/>
                <w:bdr w:val="none" w:color="auto" w:sz="0" w:space="0"/>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2985"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1980"/>
              <w:rPr>
                <w:rFonts w:hint="eastAsia" w:ascii="宋体" w:hAnsi="宋体" w:eastAsia="宋体" w:cs="宋体"/>
                <w:sz w:val="24"/>
                <w:szCs w:val="24"/>
              </w:rPr>
            </w:pPr>
            <w:r>
              <w:rPr>
                <w:rFonts w:hint="eastAsia" w:ascii="宋体" w:hAnsi="宋体" w:eastAsia="宋体" w:cs="宋体"/>
                <w:sz w:val="24"/>
                <w:szCs w:val="24"/>
                <w:bdr w:val="none" w:color="auto" w:sz="0" w:space="0"/>
              </w:rPr>
              <w:t>合计</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336.31</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268.21</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68.10</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11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201</w:t>
            </w:r>
          </w:p>
        </w:tc>
        <w:tc>
          <w:tcPr>
            <w:tcW w:w="18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一般公共服务支出</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243.79</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175.69</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68.10</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11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20131</w:t>
            </w:r>
          </w:p>
        </w:tc>
        <w:tc>
          <w:tcPr>
            <w:tcW w:w="18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党委办公厅（室）及相关机构事务</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243.79</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175.69</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68.10</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11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2013101</w:t>
            </w:r>
          </w:p>
        </w:tc>
        <w:tc>
          <w:tcPr>
            <w:tcW w:w="18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  行政运行</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175.69</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175.69</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1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2013102</w:t>
            </w:r>
          </w:p>
        </w:tc>
        <w:tc>
          <w:tcPr>
            <w:tcW w:w="18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  一般行政管理事务</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68.10</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68.10</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11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208</w:t>
            </w:r>
          </w:p>
        </w:tc>
        <w:tc>
          <w:tcPr>
            <w:tcW w:w="18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社会保障和就业支出</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46.85</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46.85</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11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20805</w:t>
            </w:r>
          </w:p>
        </w:tc>
        <w:tc>
          <w:tcPr>
            <w:tcW w:w="18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行政事业单位离退休</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46.85</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46.85</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11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2080501</w:t>
            </w:r>
          </w:p>
        </w:tc>
        <w:tc>
          <w:tcPr>
            <w:tcW w:w="18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  归口管理的行政单位离退休</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24.00</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24.00</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11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2080502</w:t>
            </w:r>
          </w:p>
        </w:tc>
        <w:tc>
          <w:tcPr>
            <w:tcW w:w="18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  事业单位离退休</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0.60</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0.60</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1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2080505</w:t>
            </w:r>
          </w:p>
        </w:tc>
        <w:tc>
          <w:tcPr>
            <w:tcW w:w="18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  机关事业单位基本养老保险缴费支出</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22.24</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22.24</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6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8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bl>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p>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注：本表反映部门本年度各项支出情况。</w:t>
      </w:r>
    </w:p>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p>
    <w:p>
      <w:pPr>
        <w:pStyle w:val="2"/>
        <w:keepNext w:val="0"/>
        <w:keepLines w:val="0"/>
        <w:widowControl/>
        <w:suppressLineNumbers w:val="0"/>
        <w:ind w:left="0" w:firstLine="3600"/>
        <w:jc w:val="both"/>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表四：财政拨款收入支出决算总表</w:t>
      </w:r>
    </w:p>
    <w:tbl>
      <w:tblPr>
        <w:tblW w:w="13770"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470"/>
        <w:gridCol w:w="540"/>
        <w:gridCol w:w="975"/>
        <w:gridCol w:w="3375"/>
        <w:gridCol w:w="675"/>
        <w:gridCol w:w="1260"/>
        <w:gridCol w:w="1155"/>
        <w:gridCol w:w="1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00" w:hRule="atLeast"/>
          <w:tblCellSpacing w:w="0" w:type="dxa"/>
          <w:jc w:val="center"/>
        </w:trPr>
        <w:tc>
          <w:tcPr>
            <w:tcW w:w="5985" w:type="dxa"/>
            <w:gridSpan w:val="3"/>
            <w:tcBorders>
              <w:top w:val="single" w:color="auto" w:sz="6" w:space="0"/>
              <w:left w:val="single" w:color="auto" w:sz="6" w:space="0"/>
              <w:bottom w:val="single" w:color="auto" w:sz="6" w:space="0"/>
              <w:right w:val="single" w:color="000000"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收 入</w:t>
            </w:r>
          </w:p>
        </w:tc>
        <w:tc>
          <w:tcPr>
            <w:tcW w:w="7785" w:type="dxa"/>
            <w:gridSpan w:val="5"/>
            <w:tcBorders>
              <w:top w:val="single" w:color="auto" w:sz="6" w:space="0"/>
              <w:left w:val="single" w:color="auto" w:sz="6" w:space="0"/>
              <w:bottom w:val="single" w:color="auto" w:sz="6" w:space="0"/>
              <w:right w:val="single" w:color="000000"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项 目</w:t>
            </w: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行次</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金额</w:t>
            </w: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项 目</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行次</w:t>
            </w:r>
          </w:p>
        </w:tc>
        <w:tc>
          <w:tcPr>
            <w:tcW w:w="12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合计</w:t>
            </w:r>
          </w:p>
        </w:tc>
        <w:tc>
          <w:tcPr>
            <w:tcW w:w="11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一般公共预算财政拨款</w:t>
            </w:r>
          </w:p>
        </w:tc>
        <w:tc>
          <w:tcPr>
            <w:tcW w:w="13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政府性基金预算财政拨款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栏 次</w:t>
            </w: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w:t>
            </w: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885"/>
              <w:rPr>
                <w:rFonts w:hint="eastAsia" w:ascii="宋体" w:hAnsi="宋体" w:eastAsia="宋体" w:cs="宋体"/>
                <w:sz w:val="24"/>
                <w:szCs w:val="24"/>
              </w:rPr>
            </w:pPr>
            <w:r>
              <w:rPr>
                <w:rFonts w:hint="eastAsia" w:ascii="宋体" w:hAnsi="宋体" w:eastAsia="宋体" w:cs="宋体"/>
                <w:sz w:val="24"/>
                <w:szCs w:val="24"/>
                <w:bdr w:val="none" w:color="auto" w:sz="0" w:space="0"/>
              </w:rPr>
              <w:t>栏 次</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12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w:t>
            </w:r>
          </w:p>
        </w:tc>
        <w:tc>
          <w:tcPr>
            <w:tcW w:w="11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3</w:t>
            </w:r>
          </w:p>
        </w:tc>
        <w:tc>
          <w:tcPr>
            <w:tcW w:w="13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一、一般公共预算财政拨款收入</w:t>
            </w: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334.12</w:t>
            </w: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一、一般公共服务支出</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18</w:t>
            </w:r>
          </w:p>
        </w:tc>
        <w:tc>
          <w:tcPr>
            <w:tcW w:w="12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243.79</w:t>
            </w:r>
          </w:p>
        </w:tc>
        <w:tc>
          <w:tcPr>
            <w:tcW w:w="11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243.79</w:t>
            </w:r>
          </w:p>
        </w:tc>
        <w:tc>
          <w:tcPr>
            <w:tcW w:w="13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二、政府性基金预算财政拨款收入</w:t>
            </w: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二、外交支出</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19</w:t>
            </w:r>
          </w:p>
        </w:tc>
        <w:tc>
          <w:tcPr>
            <w:tcW w:w="12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11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13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3</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三、教育支出</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20</w:t>
            </w:r>
          </w:p>
        </w:tc>
        <w:tc>
          <w:tcPr>
            <w:tcW w:w="12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11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13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4</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四、科学技术支出</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21</w:t>
            </w:r>
          </w:p>
        </w:tc>
        <w:tc>
          <w:tcPr>
            <w:tcW w:w="12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11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13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5</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五、文化旅游体育与传媒支出</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22</w:t>
            </w:r>
          </w:p>
        </w:tc>
        <w:tc>
          <w:tcPr>
            <w:tcW w:w="12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11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13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6</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六、社会保障和就业支出</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23</w:t>
            </w:r>
          </w:p>
        </w:tc>
        <w:tc>
          <w:tcPr>
            <w:tcW w:w="12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46.85</w:t>
            </w:r>
          </w:p>
        </w:tc>
        <w:tc>
          <w:tcPr>
            <w:tcW w:w="11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46.85</w:t>
            </w:r>
          </w:p>
        </w:tc>
        <w:tc>
          <w:tcPr>
            <w:tcW w:w="13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7</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七、卫生健康支出</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24</w:t>
            </w:r>
          </w:p>
        </w:tc>
        <w:tc>
          <w:tcPr>
            <w:tcW w:w="12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28.94</w:t>
            </w:r>
          </w:p>
        </w:tc>
        <w:tc>
          <w:tcPr>
            <w:tcW w:w="11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28.94</w:t>
            </w:r>
          </w:p>
        </w:tc>
        <w:tc>
          <w:tcPr>
            <w:tcW w:w="13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8</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八、住房保障支出</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25</w:t>
            </w:r>
          </w:p>
        </w:tc>
        <w:tc>
          <w:tcPr>
            <w:tcW w:w="12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16.73</w:t>
            </w:r>
          </w:p>
        </w:tc>
        <w:tc>
          <w:tcPr>
            <w:tcW w:w="11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16.73</w:t>
            </w:r>
          </w:p>
        </w:tc>
        <w:tc>
          <w:tcPr>
            <w:tcW w:w="13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9</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26</w:t>
            </w:r>
          </w:p>
        </w:tc>
        <w:tc>
          <w:tcPr>
            <w:tcW w:w="12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11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13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10</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27</w:t>
            </w:r>
          </w:p>
        </w:tc>
        <w:tc>
          <w:tcPr>
            <w:tcW w:w="12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11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13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11</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28</w:t>
            </w:r>
          </w:p>
        </w:tc>
        <w:tc>
          <w:tcPr>
            <w:tcW w:w="3735"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1545"/>
              <w:rPr>
                <w:rFonts w:hint="eastAsia" w:ascii="宋体" w:hAnsi="宋体" w:eastAsia="宋体" w:cs="宋体"/>
                <w:sz w:val="24"/>
                <w:szCs w:val="24"/>
              </w:rPr>
            </w:pPr>
            <w:r>
              <w:rPr>
                <w:rFonts w:hint="eastAsia" w:ascii="宋体" w:hAnsi="宋体" w:eastAsia="宋体" w:cs="宋体"/>
                <w:sz w:val="24"/>
                <w:szCs w:val="24"/>
                <w:bdr w:val="none" w:color="auto" w:sz="0" w:space="0"/>
              </w:rPr>
              <w:t>本年收入合计</w:t>
            </w: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12</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334.12</w:t>
            </w: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本年支出合计</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29</w:t>
            </w:r>
          </w:p>
        </w:tc>
        <w:tc>
          <w:tcPr>
            <w:tcW w:w="3735"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336.31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885"/>
              <w:rPr>
                <w:rFonts w:hint="eastAsia" w:ascii="宋体" w:hAnsi="宋体" w:eastAsia="宋体" w:cs="宋体"/>
                <w:sz w:val="24"/>
                <w:szCs w:val="24"/>
              </w:rPr>
            </w:pPr>
            <w:r>
              <w:rPr>
                <w:rFonts w:hint="eastAsia" w:ascii="宋体" w:hAnsi="宋体" w:eastAsia="宋体" w:cs="宋体"/>
                <w:sz w:val="24"/>
                <w:szCs w:val="24"/>
                <w:bdr w:val="none" w:color="auto" w:sz="0" w:space="0"/>
              </w:rPr>
              <w:t>年初财政拨款结转和结余</w:t>
            </w: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13</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7.57</w:t>
            </w: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年末财政拨款结转和结余</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30</w:t>
            </w:r>
          </w:p>
        </w:tc>
        <w:tc>
          <w:tcPr>
            <w:tcW w:w="3735"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5.38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1545"/>
              <w:rPr>
                <w:rFonts w:hint="eastAsia" w:ascii="宋体" w:hAnsi="宋体" w:eastAsia="宋体" w:cs="宋体"/>
                <w:sz w:val="24"/>
                <w:szCs w:val="24"/>
              </w:rPr>
            </w:pPr>
            <w:r>
              <w:rPr>
                <w:rFonts w:hint="eastAsia" w:ascii="宋体" w:hAnsi="宋体" w:eastAsia="宋体" w:cs="宋体"/>
                <w:sz w:val="24"/>
                <w:szCs w:val="24"/>
                <w:bdr w:val="none" w:color="auto" w:sz="0" w:space="0"/>
              </w:rPr>
              <w:t>一般公共预算财政拨款</w:t>
            </w: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14</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7.57</w:t>
            </w: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31</w:t>
            </w:r>
          </w:p>
        </w:tc>
        <w:tc>
          <w:tcPr>
            <w:tcW w:w="3735"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1545"/>
              <w:rPr>
                <w:rFonts w:hint="eastAsia" w:ascii="宋体" w:hAnsi="宋体" w:eastAsia="宋体" w:cs="宋体"/>
                <w:sz w:val="24"/>
                <w:szCs w:val="24"/>
              </w:rPr>
            </w:pPr>
            <w:r>
              <w:rPr>
                <w:rFonts w:hint="eastAsia" w:ascii="宋体" w:hAnsi="宋体" w:eastAsia="宋体" w:cs="宋体"/>
                <w:sz w:val="24"/>
                <w:szCs w:val="24"/>
                <w:bdr w:val="none" w:color="auto" w:sz="0" w:space="0"/>
              </w:rPr>
              <w:t>政府性基金预算财政拨款</w:t>
            </w: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15</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32</w:t>
            </w:r>
          </w:p>
        </w:tc>
        <w:tc>
          <w:tcPr>
            <w:tcW w:w="3735"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16</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33</w:t>
            </w:r>
          </w:p>
        </w:tc>
        <w:tc>
          <w:tcPr>
            <w:tcW w:w="3735"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44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合计</w:t>
            </w:r>
          </w:p>
        </w:tc>
        <w:tc>
          <w:tcPr>
            <w:tcW w:w="5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17</w:t>
            </w:r>
          </w:p>
        </w:tc>
        <w:tc>
          <w:tcPr>
            <w:tcW w:w="9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341.69</w:t>
            </w:r>
          </w:p>
        </w:tc>
        <w:tc>
          <w:tcPr>
            <w:tcW w:w="33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合计</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34</w:t>
            </w:r>
          </w:p>
        </w:tc>
        <w:tc>
          <w:tcPr>
            <w:tcW w:w="3735"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341.69</w:t>
            </w:r>
          </w:p>
        </w:tc>
      </w:tr>
    </w:tbl>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单位：万元</w:t>
      </w:r>
    </w:p>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注：本表反映部门本年度一般公共预算财政拨款和政府性基金预算财政拨款的总收支和年末结转结余情况。</w:t>
      </w:r>
    </w:p>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p>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表五：一般公共预算财政拨款支出决算表</w:t>
      </w:r>
    </w:p>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单位：万元</w:t>
      </w:r>
    </w:p>
    <w:tbl>
      <w:tblPr>
        <w:tblW w:w="13485"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291"/>
        <w:gridCol w:w="3003"/>
        <w:gridCol w:w="2898"/>
        <w:gridCol w:w="2898"/>
        <w:gridCol w:w="33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00" w:hRule="atLeast"/>
          <w:tblCellSpacing w:w="0" w:type="dxa"/>
          <w:jc w:val="center"/>
        </w:trPr>
        <w:tc>
          <w:tcPr>
            <w:tcW w:w="429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支出功能</w:t>
            </w:r>
            <w:r>
              <w:rPr>
                <w:rFonts w:hint="eastAsia" w:ascii="宋体" w:hAnsi="宋体" w:eastAsia="宋体" w:cs="宋体"/>
                <w:sz w:val="24"/>
                <w:szCs w:val="24"/>
                <w:bdr w:val="none" w:color="auto" w:sz="0" w:space="0"/>
              </w:rPr>
              <w:t>项 目</w:t>
            </w:r>
          </w:p>
        </w:tc>
        <w:tc>
          <w:tcPr>
            <w:tcW w:w="289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合计</w:t>
            </w:r>
          </w:p>
        </w:tc>
        <w:tc>
          <w:tcPr>
            <w:tcW w:w="289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基本支出</w:t>
            </w:r>
          </w:p>
        </w:tc>
        <w:tc>
          <w:tcPr>
            <w:tcW w:w="339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both"/>
              <w:rPr>
                <w:rFonts w:hint="eastAsia" w:ascii="宋体" w:hAnsi="宋体" w:eastAsia="宋体" w:cs="宋体"/>
                <w:sz w:val="24"/>
                <w:szCs w:val="24"/>
              </w:rPr>
            </w:pPr>
            <w:r>
              <w:rPr>
                <w:rFonts w:hint="eastAsia" w:ascii="宋体" w:hAnsi="宋体" w:eastAsia="宋体" w:cs="宋体"/>
                <w:sz w:val="24"/>
                <w:szCs w:val="24"/>
                <w:bdr w:val="none" w:color="auto" w:sz="0" w:space="0"/>
              </w:rPr>
              <w:t>支出功能分类</w:t>
            </w:r>
            <w:r>
              <w:rPr>
                <w:rFonts w:hint="eastAsia" w:ascii="宋体" w:hAnsi="宋体" w:eastAsia="宋体" w:cs="宋体"/>
                <w:sz w:val="24"/>
                <w:szCs w:val="24"/>
                <w:bdr w:val="none" w:color="auto" w:sz="0" w:space="0"/>
              </w:rPr>
              <w:t>科目编码</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科目名称</w:t>
            </w:r>
          </w:p>
        </w:tc>
        <w:tc>
          <w:tcPr>
            <w:tcW w:w="28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28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339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429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Style w:val="5"/>
                <w:rFonts w:hint="eastAsia" w:ascii="宋体" w:hAnsi="宋体" w:eastAsia="宋体" w:cs="宋体"/>
                <w:sz w:val="24"/>
                <w:szCs w:val="24"/>
                <w:bdr w:val="none" w:color="auto" w:sz="0" w:space="0"/>
              </w:rPr>
              <w:t>栏次</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blCellSpacing w:w="0" w:type="dxa"/>
          <w:jc w:val="center"/>
        </w:trPr>
        <w:tc>
          <w:tcPr>
            <w:tcW w:w="429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合计</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336.31</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268.21</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68.10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201</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一般公共服务支出</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243.79</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175.69</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68.10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20131</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党委办公厅（室）及相关机构事务</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243.79</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175.69</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68.10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2013101</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  行政运行</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175.69</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175.69</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2013102</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  一般行政管理事务</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68.10</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68.10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208</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社会保障和就业支出</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46.85</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46.85</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20805</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行政事业单位离退休</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46.85</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46.85</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2080501</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  归口管理的行政单位离退休</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24.00</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24.00</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2080502</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  事业单位离退休</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0.60</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0.60</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2080505</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  机关事业单位基本养老保险缴费支出</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22.24</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22.24</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210</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卫生健康支出</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28.94</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28.94</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21011</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行政事业单位医疗</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28.94</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28.94</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2101101</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  行政单位医疗</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9.62</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9.62</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2101103</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  公务员医疗补助</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19.32</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19.32</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221</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住房保障支出</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16.73</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16.73</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22102</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住房改革支出</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16.73</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16.73</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12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2210201</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  住房公积金</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16.73</w:t>
            </w:r>
          </w:p>
        </w:tc>
        <w:tc>
          <w:tcPr>
            <w:tcW w:w="28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16.73</w:t>
            </w:r>
          </w:p>
        </w:tc>
        <w:tc>
          <w:tcPr>
            <w:tcW w:w="33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0.00</w:t>
            </w:r>
          </w:p>
        </w:tc>
      </w:tr>
    </w:tbl>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注：本表反映部门本年度一般公共预算财政拨款实际支出情况。</w:t>
      </w:r>
    </w:p>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p>
    <w:p>
      <w:pPr>
        <w:pStyle w:val="2"/>
        <w:keepNext w:val="0"/>
        <w:keepLines w:val="0"/>
        <w:widowControl/>
        <w:suppressLineNumbers w:val="0"/>
        <w:shd w:val="clear" w:fill="FFFFFF"/>
        <w:ind w:left="0" w:firstLine="0"/>
        <w:rPr>
          <w:rFonts w:hint="eastAsia" w:ascii="宋体" w:hAnsi="宋体" w:eastAsia="宋体" w:cs="宋体"/>
          <w:i w:val="0"/>
          <w:caps w:val="0"/>
          <w:color w:val="000000"/>
          <w:spacing w:val="0"/>
          <w:sz w:val="24"/>
          <w:szCs w:val="24"/>
        </w:rPr>
      </w:pPr>
    </w:p>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表六：一般公共预算财政拨款基本支出决算表</w:t>
      </w:r>
    </w:p>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p>
    <w:p>
      <w:pPr>
        <w:pStyle w:val="2"/>
        <w:keepNext w:val="0"/>
        <w:keepLines w:val="0"/>
        <w:widowControl/>
        <w:suppressLineNumbers w:val="0"/>
        <w:ind w:right="330"/>
        <w:jc w:val="righ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单位：万元</w:t>
      </w:r>
    </w:p>
    <w:tbl>
      <w:tblPr>
        <w:tblW w:w="11338"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167"/>
        <w:gridCol w:w="3937"/>
        <w:gridCol w:w="1167"/>
        <w:gridCol w:w="1039"/>
        <w:gridCol w:w="2078"/>
        <w:gridCol w:w="1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70" w:hRule="atLeast"/>
          <w:tblCellSpacing w:w="0" w:type="dxa"/>
          <w:jc w:val="center"/>
        </w:trPr>
        <w:tc>
          <w:tcPr>
            <w:tcW w:w="4980"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人员经费</w:t>
            </w:r>
          </w:p>
        </w:tc>
        <w:tc>
          <w:tcPr>
            <w:tcW w:w="4170"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5"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支出经济分类科目编码</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科目名称</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金额</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经济分类科目编码</w:t>
            </w: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科目名称</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301</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工资福利支出</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211.56</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302</w:t>
            </w: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商品和服务支出</w:t>
            </w:r>
            <w:r>
              <w:rPr>
                <w:rFonts w:hint="eastAsia" w:ascii="宋体" w:hAnsi="宋体" w:eastAsia="宋体" w:cs="宋体"/>
                <w:sz w:val="24"/>
                <w:szCs w:val="24"/>
                <w:bdr w:val="none" w:color="auto" w:sz="0" w:space="0"/>
              </w:rPr>
              <w:t>　</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33.76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 30101</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基本工资</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93.24</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30201</w:t>
            </w: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办公费</w:t>
            </w:r>
            <w:r>
              <w:rPr>
                <w:rFonts w:hint="eastAsia" w:ascii="宋体" w:hAnsi="宋体" w:eastAsia="宋体" w:cs="宋体"/>
                <w:sz w:val="24"/>
                <w:szCs w:val="24"/>
                <w:bdr w:val="none" w:color="auto" w:sz="0" w:space="0"/>
              </w:rPr>
              <w:t>　</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4.99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 30102</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津贴补贴</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2.07</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30214</w:t>
            </w: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  租赁费</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 30103</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  奖金  </w:t>
            </w:r>
            <w:r>
              <w:rPr>
                <w:rFonts w:hint="eastAsia" w:ascii="宋体" w:hAnsi="宋体" w:eastAsia="宋体" w:cs="宋体"/>
                <w:sz w:val="24"/>
                <w:szCs w:val="24"/>
                <w:bdr w:val="none" w:color="auto" w:sz="0" w:space="0"/>
              </w:rPr>
              <w:t>　</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34.52</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30211</w:t>
            </w: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  差旅费</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 30104</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其他社会保障缴费</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1.28</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30213</w:t>
            </w: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  维修（护）费</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 30106</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伙食补助费</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30214</w:t>
            </w: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  租赁费</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 30107</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绩效工资</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12.54</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30216</w:t>
            </w: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  培训费</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 30108</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机关事业单位基本养老保险缴费</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22.24</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30217</w:t>
            </w: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  公务接待费</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303</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对个人家庭的补助</w:t>
            </w:r>
            <w:r>
              <w:rPr>
                <w:rFonts w:hint="eastAsia" w:ascii="宋体" w:hAnsi="宋体" w:eastAsia="宋体" w:cs="宋体"/>
                <w:sz w:val="24"/>
                <w:szCs w:val="24"/>
                <w:bdr w:val="none" w:color="auto" w:sz="0" w:space="0"/>
              </w:rPr>
              <w:t>　</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22.89</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30239</w:t>
            </w: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  其他交通费用</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11.64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ind w:left="0" w:firstLine="0"/>
              <w:rPr>
                <w:rFonts w:hint="eastAsia" w:ascii="宋体" w:hAnsi="宋体" w:eastAsia="宋体" w:cs="宋体"/>
                <w:sz w:val="24"/>
                <w:szCs w:val="24"/>
              </w:rPr>
            </w:pPr>
            <w:r>
              <w:rPr>
                <w:rFonts w:hint="eastAsia" w:ascii="宋体" w:hAnsi="宋体" w:eastAsia="宋体" w:cs="宋体"/>
                <w:sz w:val="24"/>
                <w:szCs w:val="24"/>
                <w:bdr w:val="none" w:color="auto" w:sz="0" w:space="0"/>
              </w:rPr>
              <w:t>30301</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离休费</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14.70</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30226</w:t>
            </w: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  劳务费</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1.33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30302</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退休费</w:t>
            </w:r>
            <w:r>
              <w:rPr>
                <w:rFonts w:hint="eastAsia" w:ascii="宋体" w:hAnsi="宋体" w:eastAsia="宋体" w:cs="宋体"/>
                <w:sz w:val="24"/>
                <w:szCs w:val="24"/>
                <w:bdr w:val="none" w:color="auto" w:sz="0" w:space="0"/>
              </w:rPr>
              <w:t>　</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8.14</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30228</w:t>
            </w: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  工会经费</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2.99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30110</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  职工基本医疗保险缴费</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9.62</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30299</w:t>
            </w: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  其他商品和服务支出</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6.11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30111</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  公务员医疗补助缴费</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19.32</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30113</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  住房公积金</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16.73</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30399</w:t>
            </w: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textAlignment w:val="center"/>
              <w:rPr>
                <w:rFonts w:hint="eastAsia" w:ascii="宋体" w:hAnsi="宋体" w:eastAsia="宋体" w:cs="宋体"/>
                <w:sz w:val="24"/>
                <w:szCs w:val="24"/>
              </w:rPr>
            </w:pPr>
            <w:r>
              <w:rPr>
                <w:rFonts w:hint="eastAsia" w:ascii="宋体" w:hAnsi="宋体" w:eastAsia="宋体" w:cs="宋体"/>
                <w:sz w:val="24"/>
                <w:szCs w:val="24"/>
                <w:bdr w:val="none" w:color="auto" w:sz="0" w:space="0"/>
              </w:rPr>
              <w:t>  其他对个人和家庭的补助</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0.05</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blCellSpacing w:w="0" w:type="dxa"/>
          <w:jc w:val="center"/>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324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7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70" w:hRule="atLeast"/>
          <w:tblCellSpacing w:w="0" w:type="dxa"/>
          <w:jc w:val="center"/>
        </w:trPr>
        <w:tc>
          <w:tcPr>
            <w:tcW w:w="4155"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 </w:t>
            </w:r>
          </w:p>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人员经费合计</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textAlignment w:val="bottom"/>
              <w:rPr>
                <w:rFonts w:hint="eastAsia" w:ascii="宋体" w:hAnsi="宋体" w:eastAsia="宋体" w:cs="宋体"/>
                <w:sz w:val="24"/>
                <w:szCs w:val="24"/>
              </w:rPr>
            </w:pPr>
            <w:r>
              <w:rPr>
                <w:rFonts w:hint="eastAsia" w:ascii="宋体" w:hAnsi="宋体" w:eastAsia="宋体" w:cs="宋体"/>
                <w:sz w:val="24"/>
                <w:szCs w:val="24"/>
                <w:bdr w:val="none" w:color="auto" w:sz="0" w:space="0"/>
              </w:rPr>
              <w:t>234.45</w:t>
            </w:r>
          </w:p>
        </w:tc>
        <w:tc>
          <w:tcPr>
            <w:tcW w:w="2565"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公用经费合计</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33.76</w:t>
            </w:r>
          </w:p>
        </w:tc>
      </w:tr>
    </w:tbl>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注：本表反映部门本年度一般公共预算财政拨款基本支出明细情况。</w:t>
      </w:r>
    </w:p>
    <w:p>
      <w:pPr>
        <w:pStyle w:val="2"/>
        <w:keepNext w:val="0"/>
        <w:keepLines w:val="0"/>
        <w:widowControl/>
        <w:suppressLineNumbers w:val="0"/>
        <w:shd w:val="clear" w:fill="FFFFFF"/>
        <w:ind w:left="0" w:firstLine="0"/>
        <w:rPr>
          <w:rFonts w:hint="eastAsia" w:ascii="宋体" w:hAnsi="宋体" w:eastAsia="宋体" w:cs="宋体"/>
          <w:i w:val="0"/>
          <w:caps w:val="0"/>
          <w:color w:val="000000"/>
          <w:spacing w:val="0"/>
          <w:sz w:val="24"/>
          <w:szCs w:val="24"/>
        </w:rPr>
      </w:pPr>
    </w:p>
    <w:p>
      <w:pPr>
        <w:pStyle w:val="2"/>
        <w:keepNext w:val="0"/>
        <w:keepLines w:val="0"/>
        <w:widowControl/>
        <w:suppressLineNumbers w:val="0"/>
        <w:jc w:val="center"/>
        <w:rPr>
          <w:rFonts w:hint="eastAsia" w:ascii="宋体" w:hAnsi="宋体" w:eastAsia="宋体" w:cs="宋体"/>
          <w:sz w:val="24"/>
          <w:szCs w:val="24"/>
        </w:rPr>
      </w:pPr>
    </w:p>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表七：一般公共预算财政拨款安排的“三公”经费支出决算表</w:t>
      </w:r>
    </w:p>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p>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单位：万元</w:t>
      </w:r>
    </w:p>
    <w:tbl>
      <w:tblPr>
        <w:tblW w:w="13920"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25"/>
        <w:gridCol w:w="1603"/>
        <w:gridCol w:w="824"/>
        <w:gridCol w:w="1243"/>
        <w:gridCol w:w="1243"/>
        <w:gridCol w:w="1214"/>
        <w:gridCol w:w="809"/>
        <w:gridCol w:w="1558"/>
        <w:gridCol w:w="809"/>
        <w:gridCol w:w="1394"/>
        <w:gridCol w:w="1214"/>
        <w:gridCol w:w="11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blCellSpacing w:w="0" w:type="dxa"/>
          <w:jc w:val="center"/>
        </w:trPr>
        <w:tc>
          <w:tcPr>
            <w:tcW w:w="6960" w:type="dxa"/>
            <w:gridSpan w:val="6"/>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2019年度预算数</w:t>
            </w:r>
          </w:p>
        </w:tc>
        <w:tc>
          <w:tcPr>
            <w:tcW w:w="6960" w:type="dxa"/>
            <w:gridSpan w:val="6"/>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2019年度决算数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blCellSpacing w:w="0" w:type="dxa"/>
          <w:jc w:val="center"/>
        </w:trPr>
        <w:tc>
          <w:tcPr>
            <w:tcW w:w="82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合计</w:t>
            </w:r>
          </w:p>
        </w:tc>
        <w:tc>
          <w:tcPr>
            <w:tcW w:w="160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因公出国(境）费</w:t>
            </w:r>
          </w:p>
        </w:tc>
        <w:tc>
          <w:tcPr>
            <w:tcW w:w="3315"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公务用车购置及运行费</w:t>
            </w:r>
          </w:p>
        </w:tc>
        <w:tc>
          <w:tcPr>
            <w:tcW w:w="121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公务接待费</w:t>
            </w:r>
          </w:p>
        </w:tc>
        <w:tc>
          <w:tcPr>
            <w:tcW w:w="81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合计</w:t>
            </w:r>
          </w:p>
        </w:tc>
        <w:tc>
          <w:tcPr>
            <w:tcW w:w="156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因公出国(境）费</w:t>
            </w:r>
          </w:p>
        </w:tc>
        <w:tc>
          <w:tcPr>
            <w:tcW w:w="3405"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公务用车购置及运行费</w:t>
            </w:r>
          </w:p>
        </w:tc>
        <w:tc>
          <w:tcPr>
            <w:tcW w:w="118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0" w:type="dxa"/>
          <w:jc w:val="center"/>
        </w:trPr>
        <w:tc>
          <w:tcPr>
            <w:tcW w:w="82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160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小计</w:t>
            </w:r>
          </w:p>
        </w:tc>
        <w:tc>
          <w:tcPr>
            <w:tcW w:w="12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公务用车 购置费</w:t>
            </w:r>
          </w:p>
        </w:tc>
        <w:tc>
          <w:tcPr>
            <w:tcW w:w="12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公务用车 运行费</w:t>
            </w:r>
          </w:p>
        </w:tc>
        <w:tc>
          <w:tcPr>
            <w:tcW w:w="12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81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15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小计</w:t>
            </w:r>
          </w:p>
        </w:tc>
        <w:tc>
          <w:tcPr>
            <w:tcW w:w="13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公务用车 购置费</w:t>
            </w:r>
          </w:p>
        </w:tc>
        <w:tc>
          <w:tcPr>
            <w:tcW w:w="12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公务用车 运行费</w:t>
            </w:r>
          </w:p>
        </w:tc>
        <w:tc>
          <w:tcPr>
            <w:tcW w:w="118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blCellSpacing w:w="0" w:type="dxa"/>
          <w:jc w:val="center"/>
        </w:trPr>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2</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3</w:t>
            </w:r>
          </w:p>
        </w:tc>
        <w:tc>
          <w:tcPr>
            <w:tcW w:w="12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4</w:t>
            </w:r>
          </w:p>
        </w:tc>
        <w:tc>
          <w:tcPr>
            <w:tcW w:w="12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5</w:t>
            </w:r>
          </w:p>
        </w:tc>
        <w:tc>
          <w:tcPr>
            <w:tcW w:w="12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6</w:t>
            </w:r>
          </w:p>
        </w:tc>
        <w:tc>
          <w:tcPr>
            <w:tcW w:w="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7</w:t>
            </w:r>
          </w:p>
        </w:tc>
        <w:tc>
          <w:tcPr>
            <w:tcW w:w="15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8</w:t>
            </w:r>
          </w:p>
        </w:tc>
        <w:tc>
          <w:tcPr>
            <w:tcW w:w="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9</w:t>
            </w:r>
          </w:p>
        </w:tc>
        <w:tc>
          <w:tcPr>
            <w:tcW w:w="13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10</w:t>
            </w:r>
          </w:p>
        </w:tc>
        <w:tc>
          <w:tcPr>
            <w:tcW w:w="12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11</w:t>
            </w:r>
          </w:p>
        </w:tc>
        <w:tc>
          <w:tcPr>
            <w:tcW w:w="11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0" w:type="dxa"/>
          <w:jc w:val="center"/>
        </w:trPr>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195"/>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0.44</w:t>
            </w:r>
          </w:p>
        </w:tc>
        <w:tc>
          <w:tcPr>
            <w:tcW w:w="16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195"/>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0</w:t>
            </w:r>
          </w:p>
        </w:tc>
        <w:tc>
          <w:tcPr>
            <w:tcW w:w="82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195"/>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0</w:t>
            </w:r>
          </w:p>
        </w:tc>
        <w:tc>
          <w:tcPr>
            <w:tcW w:w="12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0</w:t>
            </w:r>
          </w:p>
        </w:tc>
        <w:tc>
          <w:tcPr>
            <w:tcW w:w="12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0</w:t>
            </w:r>
          </w:p>
        </w:tc>
        <w:tc>
          <w:tcPr>
            <w:tcW w:w="12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195"/>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0.44</w:t>
            </w:r>
          </w:p>
        </w:tc>
        <w:tc>
          <w:tcPr>
            <w:tcW w:w="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c>
          <w:tcPr>
            <w:tcW w:w="15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195"/>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0</w:t>
            </w:r>
          </w:p>
        </w:tc>
        <w:tc>
          <w:tcPr>
            <w:tcW w:w="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195"/>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0</w:t>
            </w:r>
          </w:p>
        </w:tc>
        <w:tc>
          <w:tcPr>
            <w:tcW w:w="139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0" w:firstLine="405"/>
              <w:rPr>
                <w:rFonts w:hint="eastAsia" w:ascii="宋体" w:hAnsi="宋体" w:eastAsia="宋体" w:cs="宋体"/>
                <w:sz w:val="24"/>
                <w:szCs w:val="24"/>
              </w:rPr>
            </w:pPr>
            <w:r>
              <w:rPr>
                <w:rFonts w:hint="eastAsia" w:ascii="宋体" w:hAnsi="宋体" w:eastAsia="宋体" w:cs="宋体"/>
                <w:sz w:val="24"/>
                <w:szCs w:val="24"/>
                <w:bdr w:val="none" w:color="auto" w:sz="0" w:space="0"/>
              </w:rPr>
              <w:t>　</w:t>
            </w:r>
            <w:r>
              <w:rPr>
                <w:rFonts w:hint="eastAsia" w:ascii="宋体" w:hAnsi="宋体" w:eastAsia="宋体" w:cs="宋体"/>
                <w:sz w:val="24"/>
                <w:szCs w:val="24"/>
                <w:bdr w:val="none" w:color="auto" w:sz="0" w:space="0"/>
              </w:rPr>
              <w:t>0</w:t>
            </w:r>
          </w:p>
        </w:tc>
        <w:tc>
          <w:tcPr>
            <w:tcW w:w="12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0</w:t>
            </w:r>
            <w:r>
              <w:rPr>
                <w:rFonts w:hint="eastAsia" w:ascii="宋体" w:hAnsi="宋体" w:eastAsia="宋体" w:cs="宋体"/>
                <w:sz w:val="24"/>
                <w:szCs w:val="24"/>
                <w:bdr w:val="none" w:color="auto" w:sz="0" w:space="0"/>
              </w:rPr>
              <w:t>　</w:t>
            </w:r>
          </w:p>
        </w:tc>
        <w:tc>
          <w:tcPr>
            <w:tcW w:w="11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sz w:val="24"/>
                <w:szCs w:val="24"/>
              </w:rPr>
            </w:pPr>
          </w:p>
        </w:tc>
      </w:tr>
    </w:tbl>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注：本表反映部门本年度“三公”经费支出预决算情况。其中，2019年度预算数为“三公”经费年初预算数，决算数是包括当年一般公共预算财政拨款和以前年度结转资金安排的实际支出。</w:t>
      </w:r>
    </w:p>
    <w:p>
      <w:pPr>
        <w:pStyle w:val="2"/>
        <w:keepNext w:val="0"/>
        <w:keepLines w:val="0"/>
        <w:widowControl/>
        <w:suppressLineNumbers w:val="0"/>
        <w:shd w:val="clear" w:fill="FFFFFF"/>
        <w:ind w:left="0" w:firstLine="0"/>
        <w:rPr>
          <w:rFonts w:hint="eastAsia" w:ascii="宋体" w:hAnsi="宋体" w:eastAsia="宋体" w:cs="宋体"/>
          <w:i w:val="0"/>
          <w:caps w:val="0"/>
          <w:color w:val="000000"/>
          <w:spacing w:val="0"/>
          <w:sz w:val="24"/>
          <w:szCs w:val="24"/>
        </w:rPr>
      </w:pPr>
    </w:p>
    <w:p>
      <w:pPr>
        <w:pStyle w:val="2"/>
        <w:keepNext w:val="0"/>
        <w:keepLines w:val="0"/>
        <w:widowControl/>
        <w:suppressLineNumbers w:val="0"/>
        <w:rPr>
          <w:rFonts w:hint="eastAsia" w:ascii="宋体" w:hAnsi="宋体" w:eastAsia="宋体" w:cs="宋体"/>
          <w:sz w:val="24"/>
          <w:szCs w:val="24"/>
        </w:rPr>
      </w:pPr>
    </w:p>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w:t>
      </w:r>
    </w:p>
    <w:tbl>
      <w:tblPr>
        <w:tblW w:w="12480"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032"/>
        <w:gridCol w:w="1390"/>
        <w:gridCol w:w="763"/>
        <w:gridCol w:w="1033"/>
        <w:gridCol w:w="1047"/>
        <w:gridCol w:w="1033"/>
        <w:gridCol w:w="1033"/>
        <w:gridCol w:w="1033"/>
        <w:gridCol w:w="1047"/>
        <w:gridCol w:w="1033"/>
        <w:gridCol w:w="1018"/>
        <w:gridCol w:w="10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70" w:hRule="atLeast"/>
          <w:tblCellSpacing w:w="0" w:type="dxa"/>
          <w:jc w:val="center"/>
        </w:trPr>
        <w:tc>
          <w:tcPr>
            <w:tcW w:w="12480" w:type="dxa"/>
            <w:gridSpan w:val="1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center"/>
              <w:rPr>
                <w:rFonts w:hint="eastAsia" w:ascii="宋体" w:hAnsi="宋体" w:eastAsia="宋体" w:cs="宋体"/>
                <w:sz w:val="24"/>
                <w:szCs w:val="24"/>
              </w:rPr>
            </w:pPr>
            <w:bookmarkStart w:id="0" w:name="_GoBack"/>
            <w:r>
              <w:rPr>
                <w:rFonts w:hint="eastAsia" w:ascii="宋体" w:hAnsi="宋体" w:eastAsia="宋体" w:cs="宋体"/>
                <w:sz w:val="24"/>
                <w:szCs w:val="24"/>
                <w:bdr w:val="none" w:color="auto" w:sz="0" w:space="0"/>
              </w:rPr>
              <w:t>表八：政府性基金预算财政拨款收入支出决算表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3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76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rPr>
                <w:rFonts w:hint="eastAsia" w:ascii="宋体" w:hAnsi="宋体" w:eastAsia="宋体" w:cs="宋体"/>
                <w:sz w:val="24"/>
                <w:szCs w:val="24"/>
              </w:rPr>
            </w:pPr>
          </w:p>
        </w:tc>
        <w:tc>
          <w:tcPr>
            <w:tcW w:w="201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0" w:type="dxa"/>
          <w:jc w:val="center"/>
        </w:trPr>
        <w:tc>
          <w:tcPr>
            <w:tcW w:w="103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支出功能分类科目编码</w:t>
            </w:r>
          </w:p>
        </w:tc>
        <w:tc>
          <w:tcPr>
            <w:tcW w:w="138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科目名称</w:t>
            </w:r>
          </w:p>
        </w:tc>
        <w:tc>
          <w:tcPr>
            <w:tcW w:w="2850"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年初结转和结余</w:t>
            </w:r>
          </w:p>
        </w:tc>
        <w:tc>
          <w:tcPr>
            <w:tcW w:w="103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本年收入</w:t>
            </w:r>
          </w:p>
        </w:tc>
        <w:tc>
          <w:tcPr>
            <w:tcW w:w="3120"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本年支出</w:t>
            </w:r>
          </w:p>
        </w:tc>
        <w:tc>
          <w:tcPr>
            <w:tcW w:w="30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5" w:hRule="atLeast"/>
          <w:tblCellSpacing w:w="0" w:type="dxa"/>
          <w:jc w:val="center"/>
        </w:trPr>
        <w:tc>
          <w:tcPr>
            <w:tcW w:w="103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138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76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合计</w:t>
            </w:r>
          </w:p>
        </w:tc>
        <w:tc>
          <w:tcPr>
            <w:tcW w:w="103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基本支出结转</w:t>
            </w:r>
          </w:p>
        </w:tc>
        <w:tc>
          <w:tcPr>
            <w:tcW w:w="103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项目支出结转和结余</w:t>
            </w:r>
          </w:p>
        </w:tc>
        <w:tc>
          <w:tcPr>
            <w:tcW w:w="103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hAnsi="宋体" w:eastAsia="宋体" w:cs="宋体"/>
                <w:sz w:val="24"/>
                <w:szCs w:val="24"/>
              </w:rPr>
            </w:pPr>
          </w:p>
        </w:tc>
        <w:tc>
          <w:tcPr>
            <w:tcW w:w="103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合计</w:t>
            </w:r>
          </w:p>
        </w:tc>
        <w:tc>
          <w:tcPr>
            <w:tcW w:w="103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基本支出</w:t>
            </w:r>
          </w:p>
        </w:tc>
        <w:tc>
          <w:tcPr>
            <w:tcW w:w="103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项目支出</w:t>
            </w:r>
          </w:p>
        </w:tc>
        <w:tc>
          <w:tcPr>
            <w:tcW w:w="1035"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合计</w:t>
            </w:r>
          </w:p>
        </w:tc>
        <w:tc>
          <w:tcPr>
            <w:tcW w:w="1020"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基本支出结转</w:t>
            </w:r>
          </w:p>
        </w:tc>
        <w:tc>
          <w:tcPr>
            <w:tcW w:w="990"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5" w:hRule="atLeast"/>
          <w:tblCellSpacing w:w="0" w:type="dxa"/>
          <w:jc w:val="center"/>
        </w:trPr>
        <w:tc>
          <w:tcPr>
            <w:tcW w:w="103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138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hAnsi="宋体" w:eastAsia="宋体" w:cs="宋体"/>
                <w:sz w:val="24"/>
                <w:szCs w:val="24"/>
              </w:rPr>
            </w:pPr>
          </w:p>
        </w:tc>
        <w:tc>
          <w:tcPr>
            <w:tcW w:w="76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hAnsi="宋体" w:eastAsia="宋体" w:cs="宋体"/>
                <w:sz w:val="24"/>
                <w:szCs w:val="24"/>
              </w:rPr>
            </w:pPr>
          </w:p>
        </w:tc>
        <w:tc>
          <w:tcPr>
            <w:tcW w:w="103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hAnsi="宋体" w:eastAsia="宋体" w:cs="宋体"/>
                <w:sz w:val="24"/>
                <w:szCs w:val="24"/>
              </w:rPr>
            </w:pPr>
          </w:p>
        </w:tc>
        <w:tc>
          <w:tcPr>
            <w:tcW w:w="103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hAnsi="宋体" w:eastAsia="宋体" w:cs="宋体"/>
                <w:sz w:val="24"/>
                <w:szCs w:val="24"/>
              </w:rPr>
            </w:pPr>
          </w:p>
        </w:tc>
        <w:tc>
          <w:tcPr>
            <w:tcW w:w="103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hAnsi="宋体" w:eastAsia="宋体" w:cs="宋体"/>
                <w:sz w:val="24"/>
                <w:szCs w:val="24"/>
              </w:rPr>
            </w:pPr>
          </w:p>
        </w:tc>
        <w:tc>
          <w:tcPr>
            <w:tcW w:w="103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hAnsi="宋体" w:eastAsia="宋体" w:cs="宋体"/>
                <w:sz w:val="24"/>
                <w:szCs w:val="24"/>
              </w:rPr>
            </w:pPr>
          </w:p>
        </w:tc>
        <w:tc>
          <w:tcPr>
            <w:tcW w:w="103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hAnsi="宋体" w:eastAsia="宋体" w:cs="宋体"/>
                <w:sz w:val="24"/>
                <w:szCs w:val="24"/>
              </w:rPr>
            </w:pPr>
          </w:p>
        </w:tc>
        <w:tc>
          <w:tcPr>
            <w:tcW w:w="103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hAnsi="宋体" w:eastAsia="宋体" w:cs="宋体"/>
                <w:sz w:val="24"/>
                <w:szCs w:val="24"/>
              </w:rPr>
            </w:pPr>
          </w:p>
        </w:tc>
        <w:tc>
          <w:tcPr>
            <w:tcW w:w="1035"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hAnsi="宋体" w:eastAsia="宋体" w:cs="宋体"/>
                <w:sz w:val="24"/>
                <w:szCs w:val="24"/>
              </w:rPr>
            </w:pPr>
          </w:p>
        </w:tc>
        <w:tc>
          <w:tcPr>
            <w:tcW w:w="1020"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hAnsi="宋体" w:eastAsia="宋体" w:cs="宋体"/>
                <w:sz w:val="24"/>
                <w:szCs w:val="24"/>
              </w:rPr>
            </w:pPr>
          </w:p>
        </w:tc>
        <w:tc>
          <w:tcPr>
            <w:tcW w:w="990"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243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　合  计</w:t>
            </w:r>
          </w:p>
        </w:tc>
        <w:tc>
          <w:tcPr>
            <w:tcW w:w="76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0</w:t>
            </w:r>
            <w:r>
              <w:rPr>
                <w:rFonts w:hint="eastAsia" w:ascii="宋体" w:hAnsi="宋体" w:eastAsia="宋体" w:cs="宋体"/>
                <w:sz w:val="24"/>
                <w:szCs w:val="24"/>
                <w:bdr w:val="none" w:color="auto" w:sz="0" w:space="0"/>
              </w:rPr>
              <w:t>　</w:t>
            </w: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0</w:t>
            </w:r>
            <w:r>
              <w:rPr>
                <w:rFonts w:hint="eastAsia" w:ascii="宋体" w:hAnsi="宋体" w:eastAsia="宋体" w:cs="宋体"/>
                <w:sz w:val="24"/>
                <w:szCs w:val="24"/>
                <w:bdr w:val="none" w:color="auto" w:sz="0" w:space="0"/>
              </w:rPr>
              <w:t>　</w:t>
            </w: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0</w:t>
            </w:r>
            <w:r>
              <w:rPr>
                <w:rFonts w:hint="eastAsia" w:ascii="宋体" w:hAnsi="宋体" w:eastAsia="宋体" w:cs="宋体"/>
                <w:sz w:val="24"/>
                <w:szCs w:val="24"/>
                <w:bdr w:val="none" w:color="auto" w:sz="0" w:space="0"/>
              </w:rPr>
              <w:t>　</w:t>
            </w: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0</w:t>
            </w:r>
            <w:r>
              <w:rPr>
                <w:rFonts w:hint="eastAsia" w:ascii="宋体" w:hAnsi="宋体" w:eastAsia="宋体" w:cs="宋体"/>
                <w:sz w:val="24"/>
                <w:szCs w:val="24"/>
                <w:bdr w:val="none" w:color="auto" w:sz="0" w:space="0"/>
              </w:rPr>
              <w:t>　</w:t>
            </w: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0</w:t>
            </w:r>
            <w:r>
              <w:rPr>
                <w:rFonts w:hint="eastAsia" w:ascii="宋体" w:hAnsi="宋体" w:eastAsia="宋体" w:cs="宋体"/>
                <w:sz w:val="24"/>
                <w:szCs w:val="24"/>
                <w:bdr w:val="none" w:color="auto" w:sz="0" w:space="0"/>
              </w:rPr>
              <w:t>　</w:t>
            </w: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0</w:t>
            </w:r>
            <w:r>
              <w:rPr>
                <w:rFonts w:hint="eastAsia" w:ascii="宋体" w:hAnsi="宋体" w:eastAsia="宋体" w:cs="宋体"/>
                <w:sz w:val="24"/>
                <w:szCs w:val="24"/>
                <w:bdr w:val="none" w:color="auto" w:sz="0" w:space="0"/>
              </w:rPr>
              <w:t>　</w:t>
            </w: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0</w:t>
            </w:r>
            <w:r>
              <w:rPr>
                <w:rFonts w:hint="eastAsia" w:ascii="宋体" w:hAnsi="宋体" w:eastAsia="宋体" w:cs="宋体"/>
                <w:sz w:val="24"/>
                <w:szCs w:val="24"/>
                <w:bdr w:val="none" w:color="auto" w:sz="0" w:space="0"/>
              </w:rPr>
              <w:t>　</w:t>
            </w: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0</w:t>
            </w:r>
            <w:r>
              <w:rPr>
                <w:rFonts w:hint="eastAsia" w:ascii="宋体" w:hAnsi="宋体" w:eastAsia="宋体" w:cs="宋体"/>
                <w:sz w:val="24"/>
                <w:szCs w:val="24"/>
                <w:bdr w:val="none" w:color="auto" w:sz="0" w:space="0"/>
              </w:rPr>
              <w:t>　</w:t>
            </w:r>
          </w:p>
        </w:tc>
        <w:tc>
          <w:tcPr>
            <w:tcW w:w="10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0</w:t>
            </w:r>
            <w:r>
              <w:rPr>
                <w:rFonts w:hint="eastAsia" w:ascii="宋体" w:hAnsi="宋体" w:eastAsia="宋体" w:cs="宋体"/>
                <w:sz w:val="24"/>
                <w:szCs w:val="24"/>
                <w:bdr w:val="none" w:color="auto" w:sz="0" w:space="0"/>
              </w:rPr>
              <w:t>　</w:t>
            </w:r>
          </w:p>
        </w:tc>
        <w:tc>
          <w:tcPr>
            <w:tcW w:w="9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0</w:t>
            </w:r>
            <w:r>
              <w:rPr>
                <w:rFonts w:hint="eastAsia" w:ascii="宋体" w:hAnsi="宋体" w:eastAsia="宋体" w:cs="宋体"/>
                <w:sz w:val="24"/>
                <w:szCs w:val="24"/>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rPr>
                <w:rFonts w:hint="eastAsia" w:ascii="宋体" w:hAnsi="宋体" w:eastAsia="宋体" w:cs="宋体"/>
                <w:sz w:val="24"/>
                <w:szCs w:val="24"/>
              </w:rPr>
            </w:pPr>
            <w:r>
              <w:rPr>
                <w:rFonts w:hint="eastAsia" w:ascii="宋体" w:hAnsi="宋体" w:eastAsia="宋体" w:cs="宋体"/>
                <w:sz w:val="24"/>
                <w:szCs w:val="24"/>
                <w:bdr w:val="none" w:color="auto" w:sz="0" w:space="0"/>
              </w:rPr>
              <w:t>　类</w:t>
            </w:r>
          </w:p>
        </w:tc>
        <w:tc>
          <w:tcPr>
            <w:tcW w:w="13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76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9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　款</w:t>
            </w:r>
          </w:p>
        </w:tc>
        <w:tc>
          <w:tcPr>
            <w:tcW w:w="13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76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9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　项</w:t>
            </w:r>
          </w:p>
        </w:tc>
        <w:tc>
          <w:tcPr>
            <w:tcW w:w="13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76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9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3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76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9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3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76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9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3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76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9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3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76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9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3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76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9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jc w:val="center"/>
        </w:trPr>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3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76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3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10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c>
          <w:tcPr>
            <w:tcW w:w="9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4"/>
                <w:szCs w:val="24"/>
              </w:rPr>
            </w:pPr>
          </w:p>
        </w:tc>
      </w:tr>
      <w:bookmarkEnd w:id="0"/>
    </w:tbl>
    <w:p>
      <w:pPr>
        <w:pStyle w:val="2"/>
        <w:keepNext w:val="0"/>
        <w:keepLines w:val="0"/>
        <w:widowControl/>
        <w:suppressLineNumbers w:val="0"/>
        <w:spacing w:line="55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     注：</w:t>
      </w:r>
      <w:r>
        <w:rPr>
          <w:rFonts w:hint="eastAsia" w:ascii="宋体" w:hAnsi="宋体" w:eastAsia="宋体" w:cs="宋体"/>
          <w:i w:val="0"/>
          <w:caps w:val="0"/>
          <w:color w:val="000000"/>
          <w:spacing w:val="0"/>
          <w:sz w:val="24"/>
          <w:szCs w:val="24"/>
          <w:shd w:val="clear" w:fill="FFFFFF"/>
        </w:rPr>
        <w:t>中共柳州市委党史研究室没有政府性基金预算财政拨款收入，也没有政府性基金预算财政拨款安排的支出，故本表无数据</w:t>
      </w:r>
      <w:r>
        <w:rPr>
          <w:rStyle w:val="5"/>
          <w:rFonts w:hint="eastAsia" w:ascii="宋体" w:hAnsi="宋体" w:eastAsia="宋体" w:cs="宋体"/>
          <w:i w:val="0"/>
          <w:caps w:val="0"/>
          <w:color w:val="000000"/>
          <w:spacing w:val="0"/>
          <w:sz w:val="24"/>
          <w:szCs w:val="24"/>
          <w:shd w:val="clear" w:fill="FFFFFF"/>
        </w:rPr>
        <w:t>。</w:t>
      </w:r>
    </w:p>
    <w:p>
      <w:pPr>
        <w:pStyle w:val="2"/>
        <w:keepNext w:val="0"/>
        <w:keepLines w:val="0"/>
        <w:widowControl/>
        <w:suppressLineNumbers w:val="0"/>
        <w:shd w:val="clear" w:fill="FFFFFF"/>
        <w:ind w:left="0" w:firstLine="0"/>
        <w:rPr>
          <w:rFonts w:hint="eastAsia" w:ascii="宋体" w:hAnsi="宋体" w:eastAsia="宋体" w:cs="宋体"/>
          <w:i w:val="0"/>
          <w:caps w:val="0"/>
          <w:color w:val="000000"/>
          <w:spacing w:val="0"/>
          <w:sz w:val="24"/>
          <w:szCs w:val="24"/>
        </w:rPr>
      </w:pPr>
    </w:p>
    <w:p>
      <w:pPr>
        <w:pStyle w:val="2"/>
        <w:keepNext w:val="0"/>
        <w:keepLines w:val="0"/>
        <w:widowControl/>
        <w:suppressLineNumbers w:val="0"/>
        <w:shd w:val="clear" w:fill="FFFFFF"/>
        <w:spacing w:line="555" w:lineRule="atLeast"/>
        <w:ind w:left="0" w:firstLine="0"/>
        <w:rPr>
          <w:rFonts w:hint="eastAsia" w:ascii="宋体" w:hAnsi="宋体" w:eastAsia="宋体" w:cs="宋体"/>
          <w:i w:val="0"/>
          <w:caps w:val="0"/>
          <w:color w:val="000000"/>
          <w:spacing w:val="0"/>
          <w:sz w:val="24"/>
          <w:szCs w:val="24"/>
        </w:rPr>
      </w:pPr>
      <w:r>
        <w:rPr>
          <w:rStyle w:val="5"/>
          <w:rFonts w:hint="eastAsia" w:ascii="宋体" w:hAnsi="宋体" w:eastAsia="宋体" w:cs="宋体"/>
          <w:i w:val="0"/>
          <w:caps w:val="0"/>
          <w:color w:val="000000"/>
          <w:spacing w:val="0"/>
          <w:sz w:val="24"/>
          <w:szCs w:val="24"/>
          <w:shd w:val="clear" w:fill="FFFFFF"/>
        </w:rPr>
        <w:t>第三部分：柳州市委党史研究室2019年度部门决算情况说明</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Style w:val="5"/>
          <w:rFonts w:hint="eastAsia" w:ascii="宋体" w:hAnsi="宋体" w:eastAsia="宋体" w:cs="宋体"/>
          <w:i w:val="0"/>
          <w:caps w:val="0"/>
          <w:color w:val="000000"/>
          <w:spacing w:val="0"/>
          <w:sz w:val="24"/>
          <w:szCs w:val="24"/>
          <w:shd w:val="clear" w:fill="FFFFFF"/>
        </w:rPr>
        <w:t>一、2019年度收入支出决算总体情况</w:t>
      </w:r>
    </w:p>
    <w:p>
      <w:pPr>
        <w:pStyle w:val="2"/>
        <w:keepNext w:val="0"/>
        <w:keepLines w:val="0"/>
        <w:widowControl/>
        <w:suppressLineNumbers w:val="0"/>
        <w:shd w:val="clear" w:fill="FFFFFF"/>
        <w:spacing w:line="525" w:lineRule="atLeast"/>
        <w:ind w:left="0" w:firstLine="645"/>
        <w:rPr>
          <w:rFonts w:hint="eastAsia" w:ascii="宋体" w:hAnsi="宋体" w:eastAsia="宋体" w:cs="宋体"/>
          <w:i w:val="0"/>
          <w:caps w:val="0"/>
          <w:color w:val="000000"/>
          <w:spacing w:val="0"/>
          <w:sz w:val="24"/>
          <w:szCs w:val="24"/>
        </w:rPr>
      </w:pPr>
      <w:r>
        <w:rPr>
          <w:rStyle w:val="5"/>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rPr>
        <w:t>2019年度收入总计</w:t>
      </w:r>
      <w:r>
        <w:rPr>
          <w:rFonts w:hint="eastAsia" w:ascii="宋体" w:hAnsi="宋体" w:eastAsia="宋体" w:cs="宋体"/>
          <w:i w:val="0"/>
          <w:caps w:val="0"/>
          <w:color w:val="000000"/>
          <w:spacing w:val="0"/>
          <w:sz w:val="24"/>
          <w:szCs w:val="24"/>
          <w:shd w:val="clear" w:fill="FFFFFF"/>
        </w:rPr>
        <w:t>334.12</w:t>
      </w:r>
      <w:r>
        <w:rPr>
          <w:rFonts w:hint="eastAsia" w:ascii="宋体" w:hAnsi="宋体" w:eastAsia="宋体" w:cs="宋体"/>
          <w:i w:val="0"/>
          <w:caps w:val="0"/>
          <w:color w:val="000000"/>
          <w:spacing w:val="0"/>
          <w:sz w:val="24"/>
          <w:szCs w:val="24"/>
          <w:shd w:val="clear" w:fill="FFFFFF"/>
        </w:rPr>
        <w:t>万元，支出总计</w:t>
      </w:r>
      <w:r>
        <w:rPr>
          <w:rFonts w:hint="eastAsia" w:ascii="宋体" w:hAnsi="宋体" w:eastAsia="宋体" w:cs="宋体"/>
          <w:i w:val="0"/>
          <w:caps w:val="0"/>
          <w:color w:val="000000"/>
          <w:spacing w:val="0"/>
          <w:sz w:val="24"/>
          <w:szCs w:val="24"/>
          <w:shd w:val="clear" w:fill="FFFFFF"/>
        </w:rPr>
        <w:t>336.31</w:t>
      </w:r>
      <w:r>
        <w:rPr>
          <w:rFonts w:hint="eastAsia" w:ascii="宋体" w:hAnsi="宋体" w:eastAsia="宋体" w:cs="宋体"/>
          <w:i w:val="0"/>
          <w:caps w:val="0"/>
          <w:color w:val="000000"/>
          <w:spacing w:val="0"/>
          <w:sz w:val="24"/>
          <w:szCs w:val="24"/>
          <w:shd w:val="clear" w:fill="FFFFFF"/>
        </w:rPr>
        <w:t>万元，与2018年相比，收入同比增加18.64万元，增长5.9%，增长的主要原因是一般公共服务支出收入增加；支出同比减少0.28万元，减少0.08%，减少的主要原因是今年项目经费支出减少。</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Style w:val="5"/>
          <w:rFonts w:hint="eastAsia" w:ascii="宋体" w:hAnsi="宋体" w:eastAsia="宋体" w:cs="宋体"/>
          <w:i w:val="0"/>
          <w:caps w:val="0"/>
          <w:color w:val="000000"/>
          <w:spacing w:val="0"/>
          <w:sz w:val="24"/>
          <w:szCs w:val="24"/>
          <w:shd w:val="clear" w:fill="FFFFFF"/>
        </w:rPr>
        <w:t>二、2019年度收入决算情况</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本年收入总计334.12万元 ，其中：一般公共预算财政拨款收入334.12万元；占比100% 。</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按项目划分：一般公共服务支出242.32万元，占总收入72.52%；社会保障和就业支出46.13万，占13.81%；医疗卫生与计划生育支出28.94万，占8.66%；住房保障支出16.73万，占5.01%。</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按功能科目划分：基本支出265.59万元，占79.49%；项目支出68.53万元， 占20.51%。</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Style w:val="5"/>
          <w:rFonts w:hint="eastAsia" w:ascii="宋体" w:hAnsi="宋体" w:eastAsia="宋体" w:cs="宋体"/>
          <w:i w:val="0"/>
          <w:caps w:val="0"/>
          <w:color w:val="000000"/>
          <w:spacing w:val="0"/>
          <w:sz w:val="24"/>
          <w:szCs w:val="24"/>
          <w:shd w:val="clear" w:fill="FFFFFF"/>
        </w:rPr>
        <w:t>三、2019年度支出决算情况</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本年支出合计336.31万元，其中财政拨款支出336.31万元，占比100%。</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按项目划分：一般公共服务支出243.79万元，占总支出72.49%；社会保障和就业支出46.85万，占13.93%；医疗卫生与计划生育支出28.94万，占8.61%；住房保障支出16.73万，占4.97%。</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按功能科目划分：基本支出268.21万元，占79.75%；项目支出68.1万元， 占20.25%。</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Style w:val="5"/>
          <w:rFonts w:hint="eastAsia" w:ascii="宋体" w:hAnsi="宋体" w:eastAsia="宋体" w:cs="宋体"/>
          <w:i w:val="0"/>
          <w:caps w:val="0"/>
          <w:color w:val="000000"/>
          <w:spacing w:val="0"/>
          <w:sz w:val="24"/>
          <w:szCs w:val="24"/>
          <w:shd w:val="clear" w:fill="FFFFFF"/>
        </w:rPr>
        <w:t>四、2019年度财政拨款收入支出决算情况</w:t>
      </w:r>
    </w:p>
    <w:p>
      <w:pPr>
        <w:pStyle w:val="2"/>
        <w:keepNext w:val="0"/>
        <w:keepLines w:val="0"/>
        <w:widowControl/>
        <w:suppressLineNumbers w:val="0"/>
        <w:shd w:val="clear" w:fill="FFFFFF"/>
        <w:spacing w:line="52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 本部门 2019年度财政拨款收、支总决算334.12万元、336.31万元。与 2018 年相比，财政拨款收增加18.64万元，增长5.9%，增长的主要原因是一般公共服务支出收入增加。支出同比减少0.28万元，减少0.08%，减少的主要原因是今年项目经费支出减少。</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Style w:val="5"/>
          <w:rFonts w:hint="eastAsia" w:ascii="宋体" w:hAnsi="宋体" w:eastAsia="宋体" w:cs="宋体"/>
          <w:i w:val="0"/>
          <w:caps w:val="0"/>
          <w:color w:val="000000"/>
          <w:spacing w:val="0"/>
          <w:sz w:val="24"/>
          <w:szCs w:val="24"/>
          <w:shd w:val="clear" w:fill="FFFFFF"/>
        </w:rPr>
        <w:t>五、2019年度一般公共预算财政拨款支出决算情况</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（一）财政拨款支出决算情况。</w:t>
      </w:r>
    </w:p>
    <w:p>
      <w:pPr>
        <w:pStyle w:val="2"/>
        <w:keepNext w:val="0"/>
        <w:keepLines w:val="0"/>
        <w:widowControl/>
        <w:suppressLineNumbers w:val="0"/>
        <w:shd w:val="clear" w:fill="FFFFFF"/>
        <w:spacing w:line="52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本年支出合计336.31万元，其中财政拨款支出336.31万元，占比100%。与2018年相比，财政拨款支出减少0.28万元，减少0.08%，减少的主要原因是今年项目经费支出减少。</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（二）财政拨款支出决算结构情况（根据公开表格作表述）</w:t>
      </w:r>
    </w:p>
    <w:p>
      <w:pPr>
        <w:pStyle w:val="2"/>
        <w:keepNext w:val="0"/>
        <w:keepLines w:val="0"/>
        <w:widowControl/>
        <w:suppressLineNumbers w:val="0"/>
        <w:shd w:val="clear" w:fill="FFFFFF"/>
        <w:spacing w:line="55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     2019 年度财政拨款支出 336.31万元，主要用于以下方面：一般公共服务（类）支出 243.79万元， 占72.49%； 社会保障和就业（类）支出46.85万元，占13.93%；卫生健康（类）支出28.95 万元，占8.61%； 住房保障（类）支出16.73万元，占4.97%。</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（三）财政拨款支出决算具体情况</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 2019 年度财政拨款支出年初预算为336.31万元，支出决算为336.31万元，完成年初预算的100%。其中：</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1.一般公共服务（类）财政事务（款）行政运行（项）。 年初预算为175.69万元，支出决算为 175.69万元，完成年初预算的100%。</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2.一般公共服务（类）财政事务（款）一般行政管理事 务（项）。年初预算为 68.1万元，支出决算为68.1万元，完成年初预算的100%。</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3.社会保障和就业支出（类）行政事业单位离退休（款）归口管理的行政单位离退休（项）。年初预算为24万元，支出决算为24万元，完成年初预算的100%。</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4.社会保障和就业支出（类）行政事业单位离退休（款）事业单位离退休（项）。年初预算为0.6万元，支出决算为0.6万元，完成年初预算的100%。</w:t>
      </w:r>
    </w:p>
    <w:p>
      <w:pPr>
        <w:pStyle w:val="2"/>
        <w:keepNext w:val="0"/>
        <w:keepLines w:val="0"/>
        <w:widowControl/>
        <w:suppressLineNumbers w:val="0"/>
        <w:shd w:val="clear" w:fill="FFFFFF"/>
        <w:spacing w:before="105" w:beforeAutospacing="0" w:after="105" w:afterAutospacing="0" w:line="555" w:lineRule="atLeast"/>
        <w:ind w:left="0" w:righ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5. 社会保障和就业支出（类）行政事业单位离退休（款）机关事业单位基本养老保险缴费支出（项）。年初预算为22.24万元，支出决算为22.24万元，完成年初预算的100%。</w:t>
      </w:r>
    </w:p>
    <w:p>
      <w:pPr>
        <w:pStyle w:val="2"/>
        <w:keepNext w:val="0"/>
        <w:keepLines w:val="0"/>
        <w:widowControl/>
        <w:suppressLineNumbers w:val="0"/>
        <w:shd w:val="clear" w:fill="FFFFFF"/>
        <w:spacing w:before="105" w:beforeAutospacing="0" w:after="105" w:afterAutospacing="0" w:line="555" w:lineRule="atLeast"/>
        <w:ind w:left="0" w:righ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6.</w:t>
      </w: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rPr>
        <w:t>医疗卫生与计划生育支出（类）行政事业单位医疗（款）行政单位医疗（项）。年初预算为9.62万元，支出决算为9.62万元，完成年初预算的100%。</w:t>
      </w:r>
    </w:p>
    <w:p>
      <w:pPr>
        <w:pStyle w:val="2"/>
        <w:keepNext w:val="0"/>
        <w:keepLines w:val="0"/>
        <w:widowControl/>
        <w:suppressLineNumbers w:val="0"/>
        <w:shd w:val="clear" w:fill="FFFFFF"/>
        <w:spacing w:before="105" w:beforeAutospacing="0" w:after="105" w:afterAutospacing="0" w:line="555" w:lineRule="atLeast"/>
        <w:ind w:left="0" w:righ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7.</w:t>
      </w: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rPr>
        <w:t>医疗卫生与计划生育支出（类）行政事业单位医疗（款）公务员医疗补助（项）。年初预算为19.32万元，支出决算为19.32万元，完成年初预算的100%。</w:t>
      </w:r>
    </w:p>
    <w:p>
      <w:pPr>
        <w:pStyle w:val="2"/>
        <w:keepNext w:val="0"/>
        <w:keepLines w:val="0"/>
        <w:widowControl/>
        <w:suppressLineNumbers w:val="0"/>
        <w:shd w:val="clear" w:fill="FFFFFF"/>
        <w:spacing w:before="105" w:beforeAutospacing="0" w:after="105" w:afterAutospacing="0" w:line="555" w:lineRule="atLeast"/>
        <w:ind w:left="0" w:righ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8.</w:t>
      </w: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rPr>
        <w:t>住房保障支出（类）住房改革支出（款）住房公积金（项）。年初预算为16.73万元，支出决算为16.73万元，完成年初预算的100%。</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六、</w:t>
      </w:r>
      <w:r>
        <w:rPr>
          <w:rStyle w:val="5"/>
          <w:rFonts w:hint="eastAsia" w:ascii="宋体" w:hAnsi="宋体" w:eastAsia="宋体" w:cs="宋体"/>
          <w:i w:val="0"/>
          <w:caps w:val="0"/>
          <w:color w:val="000000"/>
          <w:spacing w:val="0"/>
          <w:sz w:val="24"/>
          <w:szCs w:val="24"/>
          <w:shd w:val="clear" w:fill="FFFFFF"/>
        </w:rPr>
        <w:t>2019年度一般公共预算财政拨款基本支出决算情况（根据实际情况作表述 ）</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2019年度财政拨款基本支出268.21万元，其中：</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 人员经费234.45万元，主要包括：基本工资、津贴补贴、 奖金、伙食补助费、绩效工资、机关事业单位基本养老保险缴费、职业年金缴费、其他社会保障缴费、其他工资福利支出、 离休费、退休费、抚恤金、生活补助、医疗费、奖励金、住房公积金；</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公用经费33.76万元，主要 包括：办公费、印刷费、咨询费、手续费、水费、电费、邮电 费、取暖费、物业管理费、差旅费、因公出国（境）费用、维 修（护）费、租赁费、会议费、培训费、公务接待费、专用材 料费、劳务费、委托业务费、工会经费、福利费、公务用车运行维护费、其他交通费用、税金及附加费用、其他商品和服务支出、办公设备购置、专用设备购置、信息网络及软件购置更新</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七、</w:t>
      </w:r>
      <w:r>
        <w:rPr>
          <w:rStyle w:val="5"/>
          <w:rFonts w:hint="eastAsia" w:ascii="宋体" w:hAnsi="宋体" w:eastAsia="宋体" w:cs="宋体"/>
          <w:i w:val="0"/>
          <w:caps w:val="0"/>
          <w:color w:val="000000"/>
          <w:spacing w:val="0"/>
          <w:sz w:val="24"/>
          <w:szCs w:val="24"/>
          <w:shd w:val="clear" w:fill="FFFFFF"/>
        </w:rPr>
        <w:t>2019 年度一般公共预算财政拨款“三公” 经费支出决算情况</w:t>
      </w:r>
      <w:r>
        <w:rPr>
          <w:rFonts w:hint="eastAsia" w:ascii="宋体" w:hAnsi="宋体" w:eastAsia="宋体" w:cs="宋体"/>
          <w:i w:val="0"/>
          <w:caps w:val="0"/>
          <w:color w:val="000000"/>
          <w:spacing w:val="0"/>
          <w:sz w:val="24"/>
          <w:szCs w:val="24"/>
          <w:shd w:val="clear" w:fill="FFFFFF"/>
        </w:rPr>
        <w:t> </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（一）“三公”经费财政拨款支出决算总体情况</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2019 年度“三公”经费财政拨款支出预算为 0.4万元，支出决算为0.26万元，完成预算的65%，其中：公务接待费支出决算为0.26万元，完成预算的65%。</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2019年度“三公”经费财政拨款支出决算数比2018年减少0.14万元，下降43.49%，其中：公务接待费支出决算减少0.14万元，下降43.49%。</w:t>
      </w:r>
    </w:p>
    <w:p>
      <w:pPr>
        <w:pStyle w:val="2"/>
        <w:keepNext w:val="0"/>
        <w:keepLines w:val="0"/>
        <w:widowControl/>
        <w:suppressLineNumbers w:val="0"/>
        <w:shd w:val="clear" w:fill="FFFFFF"/>
        <w:spacing w:line="55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   公务接待费支出减少的主要原因是2019年接待人次减少。</w:t>
      </w:r>
    </w:p>
    <w:p>
      <w:pPr>
        <w:pStyle w:val="2"/>
        <w:keepNext w:val="0"/>
        <w:keepLines w:val="0"/>
        <w:widowControl/>
        <w:suppressLineNumbers w:val="0"/>
        <w:shd w:val="clear" w:fill="FFFFFF"/>
        <w:spacing w:line="55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    （二）“三公”经费财政拨款支出决算具体情况</w:t>
      </w:r>
    </w:p>
    <w:p>
      <w:pPr>
        <w:pStyle w:val="2"/>
        <w:keepNext w:val="0"/>
        <w:keepLines w:val="0"/>
        <w:widowControl/>
        <w:suppressLineNumbers w:val="0"/>
        <w:shd w:val="clear" w:fill="FFFFFF"/>
        <w:spacing w:line="55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     2019年度“三公”经费财政拨款支出决算中，因公出国（境）费支出决算0万元；公务用车购置及运行费支出决算0万元；公务接待费支出决算0.26万元，占100%。</w:t>
      </w:r>
    </w:p>
    <w:p>
      <w:pPr>
        <w:pStyle w:val="2"/>
        <w:keepNext w:val="0"/>
        <w:keepLines w:val="0"/>
        <w:widowControl/>
        <w:suppressLineNumbers w:val="0"/>
        <w:shd w:val="clear" w:fill="FFFFFF"/>
        <w:spacing w:line="555" w:lineRule="atLeast"/>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其中：</w:t>
      </w:r>
    </w:p>
    <w:p>
      <w:pPr>
        <w:pStyle w:val="2"/>
        <w:keepNext w:val="0"/>
        <w:keepLines w:val="0"/>
        <w:widowControl/>
        <w:suppressLineNumbers w:val="0"/>
        <w:shd w:val="clear" w:fill="FFFFFF"/>
        <w:spacing w:line="55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    国内公务接待支出0.26万元。主要用于用于接待上级部门业务检查指导、区内外本系统单位来访交流。2019 年共接待国内来访团组4个、来宾16人次</w:t>
      </w:r>
    </w:p>
    <w:p>
      <w:pPr>
        <w:pStyle w:val="2"/>
        <w:keepNext w:val="0"/>
        <w:keepLines w:val="0"/>
        <w:widowControl/>
        <w:suppressLineNumbers w:val="0"/>
        <w:shd w:val="clear" w:fill="FFFFFF"/>
        <w:spacing w:line="55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   八、</w:t>
      </w:r>
      <w:r>
        <w:rPr>
          <w:rStyle w:val="5"/>
          <w:rFonts w:hint="eastAsia" w:ascii="宋体" w:hAnsi="宋体" w:eastAsia="宋体" w:cs="宋体"/>
          <w:i w:val="0"/>
          <w:caps w:val="0"/>
          <w:color w:val="000000"/>
          <w:spacing w:val="0"/>
          <w:sz w:val="24"/>
          <w:szCs w:val="24"/>
          <w:shd w:val="clear" w:fill="FFFFFF"/>
        </w:rPr>
        <w:t>2019 年度政府性基金预算财政拨款收入支出决算情况说明</w:t>
      </w:r>
    </w:p>
    <w:p>
      <w:pPr>
        <w:pStyle w:val="2"/>
        <w:keepNext w:val="0"/>
        <w:keepLines w:val="0"/>
        <w:widowControl/>
        <w:suppressLineNumbers w:val="0"/>
        <w:shd w:val="clear" w:fill="FFFFFF"/>
        <w:spacing w:line="55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   中共柳州市委党史研究室没有政府性基金预算财政拨款收入，也没有政府性基金预算财政拨款安排的支出。</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Style w:val="5"/>
          <w:rFonts w:hint="eastAsia" w:ascii="宋体" w:hAnsi="宋体" w:eastAsia="宋体" w:cs="宋体"/>
          <w:i w:val="0"/>
          <w:caps w:val="0"/>
          <w:color w:val="000000"/>
          <w:spacing w:val="0"/>
          <w:sz w:val="24"/>
          <w:szCs w:val="24"/>
          <w:shd w:val="clear" w:fill="FFFFFF"/>
        </w:rPr>
        <w:t>九、2019 年度预算绩效情况说明</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（一）绩效管理工作开展情况</w:t>
      </w:r>
    </w:p>
    <w:p>
      <w:pPr>
        <w:pStyle w:val="2"/>
        <w:keepNext w:val="0"/>
        <w:keepLines w:val="0"/>
        <w:widowControl/>
        <w:suppressLineNumbers w:val="0"/>
        <w:shd w:val="clear" w:fill="FFFFFF"/>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    根据财政预算管理要求，本部门组织对2019年度一般公共预算整体支出全面开展绩效自评，年内预算支出绩效管理工作有序开展，年度预算支出绩效各项指标基本达到预期。</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（二）部门决算中项目绩效自评结果。</w:t>
      </w:r>
    </w:p>
    <w:p>
      <w:pPr>
        <w:pStyle w:val="2"/>
        <w:keepNext w:val="0"/>
        <w:keepLines w:val="0"/>
        <w:widowControl/>
        <w:suppressLineNumbers w:val="0"/>
        <w:shd w:val="clear" w:fill="FFFFFF"/>
        <w:ind w:left="0" w:firstLine="61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部门整体支出绩效情况理想，达到整体支出设定的各项绩效目标。</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Style w:val="5"/>
          <w:rFonts w:hint="eastAsia" w:ascii="宋体" w:hAnsi="宋体" w:eastAsia="宋体" w:cs="宋体"/>
          <w:i w:val="0"/>
          <w:caps w:val="0"/>
          <w:color w:val="000000"/>
          <w:spacing w:val="0"/>
          <w:sz w:val="24"/>
          <w:szCs w:val="24"/>
          <w:shd w:val="clear" w:fill="FFFFFF"/>
        </w:rPr>
        <w:t>十、其他重要事项的情况</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（一）机关运行经费支出情况。2019年度部门机关运行经费支出33.76万元，比 2018年增加2.47万元，增长7.3 %，增原因劳务费中</w:t>
      </w:r>
      <w:r>
        <w:rPr>
          <w:rFonts w:hint="eastAsia" w:ascii="宋体" w:hAnsi="宋体" w:eastAsia="宋体" w:cs="宋体"/>
          <w:i w:val="0"/>
          <w:caps w:val="0"/>
          <w:color w:val="000000"/>
          <w:spacing w:val="0"/>
          <w:sz w:val="24"/>
          <w:szCs w:val="24"/>
          <w:shd w:val="clear" w:fill="FFFFFF"/>
        </w:rPr>
        <w:t>付工程款及设计款</w:t>
      </w:r>
      <w:r>
        <w:rPr>
          <w:rFonts w:hint="eastAsia" w:ascii="宋体" w:hAnsi="宋体" w:eastAsia="宋体" w:cs="宋体"/>
          <w:i w:val="0"/>
          <w:caps w:val="0"/>
          <w:color w:val="000000"/>
          <w:spacing w:val="0"/>
          <w:sz w:val="24"/>
          <w:szCs w:val="24"/>
          <w:shd w:val="clear" w:fill="FFFFFF"/>
        </w:rPr>
        <w:t>。</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（二）政府采购支出情况。2019年度部门政府采购支出总额13.6万元，其中：货物支出7万元、工程支出0万元、服务支出6.6万元。</w:t>
      </w:r>
    </w:p>
    <w:p>
      <w:pPr>
        <w:pStyle w:val="2"/>
        <w:keepNext w:val="0"/>
        <w:keepLines w:val="0"/>
        <w:widowControl/>
        <w:suppressLineNumbers w:val="0"/>
        <w:shd w:val="clear" w:fill="FFFFFF"/>
        <w:spacing w:line="555" w:lineRule="atLeast"/>
        <w:ind w:left="0" w:firstLine="63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（三）国有资产占用情况。截至年末部门共有车辆0辆；单价50万元 以上通用设备0台（套），单价100 万元以上专用设备0台（套）。</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Style w:val="5"/>
          <w:rFonts w:hint="eastAsia" w:ascii="宋体" w:hAnsi="宋体" w:eastAsia="宋体" w:cs="宋体"/>
          <w:i w:val="0"/>
          <w:caps w:val="0"/>
          <w:color w:val="000000"/>
          <w:spacing w:val="0"/>
          <w:sz w:val="24"/>
          <w:szCs w:val="24"/>
          <w:shd w:val="clear" w:fill="FFFFFF"/>
        </w:rPr>
        <w:t>第四部分：名词解释</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一、财政拨款收入：指市本级财政当年拨付的资金。</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二、事业收入：指事业单位开展专业活动用辅助活动所取得的收入。如：......</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三、经营收入：指事业单位在专业业务活动及辅助活动之外开展非独立核算经营活动取得的收入。</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四、其他收入：指除上述“财政拨款收入”、“事业收入”、“经营收入”等以外的收入。主要是：......</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六、年初结转和结余：指以前年度尚未完成、结转到本年按规定继续使用的资金。</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七、结余分配：指事业单位按规定提取的职工福利基金、事业基金和缴纳的所得税，以及建设单位按规定应交回的基本建设竣工项目结余资金。</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八、年末结转和结余：指本年度或以前年度预算安排、因客观条件发生变化无法按原计划实施，需延迟到以后年度按有关规定继续使用的资金。</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九、基本支出：指为保障机构正常运转、完成日常工作任务而发生的人员支出和公用支出。</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十、项目支出：指在基本支出之外为完成特定行政任务和事业发展目标所发生的支出。</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十一、经营支出：指事业单位在专业业务活动及其辅助活动之外开展非独立核算经营活动发生的支出。</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十二、“三公”经费：纳入市本级财政预决算管理的“三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
        <w:keepNext w:val="0"/>
        <w:keepLines w:val="0"/>
        <w:widowControl/>
        <w:suppressLineNumbers w:val="0"/>
        <w:shd w:val="clear" w:fill="FFFFFF"/>
        <w:ind w:left="0" w:firstLine="645"/>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十三、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p>
      <w:pPr>
        <w:pStyle w:val="2"/>
        <w:keepNext w:val="0"/>
        <w:keepLines w:val="0"/>
        <w:widowControl/>
        <w:suppressLineNumbers w:val="0"/>
        <w:shd w:val="clear" w:fill="FFFFFF"/>
        <w:spacing w:line="555" w:lineRule="atLeast"/>
        <w:ind w:left="0" w:firstLine="63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w:t>
      </w:r>
    </w:p>
    <w:p>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黑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MingLiU">
    <w:altName w:val="QIJIC"/>
    <w:panose1 w:val="00000000000000000000"/>
    <w:charset w:val="00"/>
    <w:family w:val="auto"/>
    <w:pitch w:val="default"/>
    <w:sig w:usb0="00000000" w:usb1="00000000" w:usb2="00000000" w:usb3="00000000" w:csb0="00000000" w:csb1="00000000"/>
  </w:font>
  <w:font w:name="QIJIC">
    <w:panose1 w:val="02000509000000000000"/>
    <w:charset w:val="88"/>
    <w:family w:val="auto"/>
    <w:pitch w:val="default"/>
    <w:sig w:usb0="00000000" w:usb1="0A010000" w:usb2="00000000" w:usb3="00000000" w:csb0="00100000" w:csb1="00000000"/>
  </w:font>
  <w:font w:name="Arial">
    <w:panose1 w:val="020B0604020202020204"/>
    <w:charset w:val="00"/>
    <w:family w:val="auto"/>
    <w:pitch w:val="default"/>
    <w:sig w:usb0="E0002EFF" w:usb1="C000785B" w:usb2="00000009" w:usb3="00000000" w:csb0="400001FF" w:csb1="FFFF0000"/>
  </w:font>
  <w:font w:name="寰蒋闆呴粦">
    <w:altName w:val="QIJIC"/>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CD2DD2"/>
    <w:rsid w:val="17CD2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2020-08-19T08:15:00Z</dcterms:created>
  <dc:creator></dc:creator>
  <cp:lastModifiedBy></cp:lastModifiedBy>
  <dcterms:modified xsi:type="dcterms:W3CDTF">2020-08-19T08:17:35Z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