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_GB2312" w:eastAsia="仿宋_GB2312"/>
          <w:b/>
          <w:sz w:val="32"/>
          <w:szCs w:val="32"/>
        </w:rPr>
      </w:pPr>
      <w:r>
        <w:rPr>
          <w:rFonts w:hint="eastAsia" w:ascii="仿宋_GB2312" w:eastAsia="仿宋_GB2312"/>
          <w:b/>
          <w:sz w:val="32"/>
          <w:szCs w:val="32"/>
        </w:rPr>
        <w:t>附件：</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黑体" w:hAnsi="黑体" w:eastAsia="黑体" w:cs="黑体"/>
          <w:sz w:val="44"/>
          <w:szCs w:val="44"/>
          <w:lang w:eastAsia="zh-CN"/>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柳州市机关事务管理</w:t>
      </w:r>
      <w:r>
        <w:rPr>
          <w:rFonts w:hint="eastAsia" w:ascii="仿宋_GB2312" w:eastAsia="仿宋_GB2312"/>
          <w:b/>
          <w:sz w:val="32"/>
          <w:szCs w:val="32"/>
          <w:lang w:eastAsia="zh-CN"/>
        </w:rPr>
        <w:t>局</w:t>
      </w:r>
      <w:r>
        <w:rPr>
          <w:rFonts w:hint="eastAsia" w:ascii="仿宋_GB2312" w:eastAsia="仿宋_GB2312"/>
          <w:b/>
          <w:sz w:val="32"/>
          <w:szCs w:val="32"/>
        </w:rPr>
        <w:t>201</w:t>
      </w:r>
      <w:r>
        <w:rPr>
          <w:rFonts w:hint="eastAsia" w:ascii="仿宋_GB2312" w:eastAsia="仿宋_GB2312"/>
          <w:b/>
          <w:sz w:val="32"/>
          <w:szCs w:val="32"/>
          <w:lang w:val="en-US" w:eastAsia="zh-CN"/>
        </w:rPr>
        <w:t>9</w:t>
      </w:r>
      <w:r>
        <w:rPr>
          <w:rFonts w:hint="eastAsia" w:ascii="仿宋_GB2312" w:eastAsia="仿宋_GB2312"/>
          <w:b/>
          <w:sz w:val="32"/>
          <w:szCs w:val="32"/>
        </w:rPr>
        <w:t>年</w:t>
      </w:r>
      <w:r>
        <w:rPr>
          <w:rFonts w:hint="eastAsia" w:ascii="仿宋_GB2312" w:eastAsia="仿宋_GB2312"/>
          <w:b/>
          <w:sz w:val="32"/>
          <w:szCs w:val="32"/>
          <w:lang w:eastAsia="zh-CN"/>
        </w:rPr>
        <w:t>度</w:t>
      </w:r>
      <w:r>
        <w:rPr>
          <w:rFonts w:hint="eastAsia" w:ascii="仿宋_GB2312" w:eastAsia="仿宋_GB2312"/>
          <w:b/>
          <w:sz w:val="32"/>
          <w:szCs w:val="32"/>
        </w:rPr>
        <w:t>部门决算报表</w:t>
      </w:r>
    </w:p>
    <w:tbl>
      <w:tblPr>
        <w:tblStyle w:val="4"/>
        <w:tblW w:w="11640" w:type="dxa"/>
        <w:jc w:val="center"/>
        <w:tblLayout w:type="fixed"/>
        <w:tblCellMar>
          <w:top w:w="0" w:type="dxa"/>
          <w:left w:w="108" w:type="dxa"/>
          <w:bottom w:w="0" w:type="dxa"/>
          <w:right w:w="108" w:type="dxa"/>
        </w:tblCellMar>
      </w:tblPr>
      <w:tblGrid>
        <w:gridCol w:w="3517"/>
        <w:gridCol w:w="2362"/>
        <w:gridCol w:w="2853"/>
        <w:gridCol w:w="2908"/>
      </w:tblGrid>
      <w:tr>
        <w:tblPrEx>
          <w:tblCellMar>
            <w:top w:w="0" w:type="dxa"/>
            <w:left w:w="108" w:type="dxa"/>
            <w:bottom w:w="0" w:type="dxa"/>
            <w:right w:w="108" w:type="dxa"/>
          </w:tblCellMar>
        </w:tblPrEx>
        <w:trPr>
          <w:trHeight w:val="1166" w:hRule="atLeast"/>
          <w:jc w:val="center"/>
        </w:trPr>
        <w:tc>
          <w:tcPr>
            <w:tcW w:w="1164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313" w:hRule="atLeast"/>
          <w:jc w:val="center"/>
        </w:trPr>
        <w:tc>
          <w:tcPr>
            <w:tcW w:w="5879"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576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444"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23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85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29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91"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一般公共预算财政拨款收入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12159.83</w:t>
            </w:r>
          </w:p>
        </w:tc>
        <w:tc>
          <w:tcPr>
            <w:tcW w:w="28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11617.94</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180.18</w:t>
            </w:r>
          </w:p>
        </w:tc>
        <w:tc>
          <w:tcPr>
            <w:tcW w:w="28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三、</w:t>
            </w:r>
            <w:r>
              <w:rPr>
                <w:rFonts w:hint="eastAsia" w:ascii="宋体" w:hAnsi="宋体" w:cs="宋体"/>
                <w:color w:val="000000"/>
                <w:kern w:val="0"/>
                <w:sz w:val="22"/>
                <w:szCs w:val="22"/>
                <w:lang w:eastAsia="zh-CN"/>
              </w:rPr>
              <w:t>国防支出</w:t>
            </w:r>
          </w:p>
        </w:tc>
        <w:tc>
          <w:tcPr>
            <w:tcW w:w="29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事业</w:t>
            </w:r>
            <w:r>
              <w:rPr>
                <w:rFonts w:hint="eastAsia" w:ascii="宋体" w:hAnsi="宋体" w:cs="宋体"/>
                <w:color w:val="000000"/>
                <w:kern w:val="0"/>
                <w:sz w:val="22"/>
                <w:szCs w:val="22"/>
              </w:rPr>
              <w:t>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四、</w:t>
            </w:r>
            <w:r>
              <w:rPr>
                <w:rFonts w:hint="eastAsia" w:ascii="宋体" w:hAnsi="宋体" w:cs="宋体"/>
                <w:color w:val="000000"/>
                <w:kern w:val="0"/>
                <w:sz w:val="22"/>
                <w:szCs w:val="22"/>
                <w:lang w:eastAsia="zh-CN"/>
              </w:rPr>
              <w:t>公共安全支出</w:t>
            </w:r>
          </w:p>
        </w:tc>
        <w:tc>
          <w:tcPr>
            <w:tcW w:w="29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经营</w:t>
            </w:r>
            <w:r>
              <w:rPr>
                <w:rFonts w:hint="eastAsia" w:ascii="宋体" w:hAnsi="宋体" w:cs="宋体"/>
                <w:color w:val="000000"/>
                <w:kern w:val="0"/>
                <w:sz w:val="22"/>
                <w:szCs w:val="22"/>
              </w:rPr>
              <w:t>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五、社会保障和就业支出</w:t>
            </w:r>
          </w:p>
        </w:tc>
        <w:tc>
          <w:tcPr>
            <w:tcW w:w="29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199.49</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六、附属单位上缴收入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六、卫生健康支出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127.00</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七、城乡社区支出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180.18</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36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八、资源勘探信息等支出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277.82</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36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九、住房保障支出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108.16</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36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十、其他支出</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34.04</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36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85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12340.01</w:t>
            </w:r>
          </w:p>
        </w:tc>
        <w:tc>
          <w:tcPr>
            <w:tcW w:w="285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12545.53</w:t>
            </w:r>
          </w:p>
        </w:tc>
      </w:tr>
      <w:tr>
        <w:tblPrEx>
          <w:tblCellMar>
            <w:top w:w="0" w:type="dxa"/>
            <w:left w:w="108" w:type="dxa"/>
            <w:bottom w:w="0" w:type="dxa"/>
            <w:right w:w="108" w:type="dxa"/>
          </w:tblCellMar>
        </w:tblPrEx>
        <w:trPr>
          <w:trHeight w:val="313"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8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338"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w:t>
            </w:r>
            <w:r>
              <w:rPr>
                <w:rFonts w:hint="eastAsia" w:ascii="宋体" w:hAnsi="宋体" w:cs="宋体"/>
                <w:color w:val="000000"/>
                <w:kern w:val="0"/>
                <w:sz w:val="22"/>
                <w:szCs w:val="22"/>
                <w:lang w:eastAsia="zh-CN"/>
              </w:rPr>
              <w:t>和结余</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1171.48</w:t>
            </w:r>
          </w:p>
        </w:tc>
        <w:tc>
          <w:tcPr>
            <w:tcW w:w="28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965.96</w:t>
            </w:r>
          </w:p>
        </w:tc>
      </w:tr>
      <w:tr>
        <w:tblPrEx>
          <w:tblCellMar>
            <w:top w:w="0" w:type="dxa"/>
            <w:left w:w="108" w:type="dxa"/>
            <w:bottom w:w="0" w:type="dxa"/>
            <w:right w:w="108" w:type="dxa"/>
          </w:tblCellMar>
        </w:tblPrEx>
        <w:trPr>
          <w:trHeight w:val="322" w:hRule="atLeast"/>
          <w:jc w:val="center"/>
        </w:trPr>
        <w:tc>
          <w:tcPr>
            <w:tcW w:w="35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236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13511.49</w:t>
            </w:r>
          </w:p>
        </w:tc>
        <w:tc>
          <w:tcPr>
            <w:tcW w:w="285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2908"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13511.49</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lang w:eastAsia="zh-CN"/>
        </w:rPr>
      </w:pPr>
      <w:r>
        <w:rPr>
          <w:rFonts w:hint="eastAsia"/>
          <w:lang w:eastAsia="zh-CN"/>
        </w:rPr>
        <w:t>注：本表反映部门本年度的总收支和年末结转结余情况。</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1701" w:bottom="1418" w:left="1134" w:header="851" w:footer="992" w:gutter="0"/>
          <w:cols w:space="720" w:num="1"/>
          <w:docGrid w:type="lines" w:linePitch="312" w:charSpace="0"/>
        </w:sectPr>
      </w:pP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13662" w:type="dxa"/>
        <w:jc w:val="center"/>
        <w:tblLayout w:type="fixed"/>
        <w:tblCellMar>
          <w:top w:w="0" w:type="dxa"/>
          <w:left w:w="108" w:type="dxa"/>
          <w:bottom w:w="0" w:type="dxa"/>
          <w:right w:w="108" w:type="dxa"/>
        </w:tblCellMar>
      </w:tblPr>
      <w:tblGrid>
        <w:gridCol w:w="1186"/>
        <w:gridCol w:w="3347"/>
        <w:gridCol w:w="1650"/>
        <w:gridCol w:w="1609"/>
        <w:gridCol w:w="1078"/>
        <w:gridCol w:w="1159"/>
        <w:gridCol w:w="1200"/>
        <w:gridCol w:w="1254"/>
        <w:gridCol w:w="1179"/>
      </w:tblGrid>
      <w:tr>
        <w:tblPrEx>
          <w:tblCellMar>
            <w:top w:w="0" w:type="dxa"/>
            <w:left w:w="108" w:type="dxa"/>
            <w:bottom w:w="0" w:type="dxa"/>
            <w:right w:w="108" w:type="dxa"/>
          </w:tblCellMar>
        </w:tblPrEx>
        <w:trPr>
          <w:trHeight w:val="288" w:hRule="atLeast"/>
          <w:jc w:val="center"/>
        </w:trPr>
        <w:tc>
          <w:tcPr>
            <w:tcW w:w="4533"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0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334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53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6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0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07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5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0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254"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17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453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12,340.01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12,340.01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11,484.88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11,484.88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5,513.45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5,513.45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592.51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592.51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2010302</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1,464.93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1,464.93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2010303</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机关服务</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3,268.15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3,268.15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2010350</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39.42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39.42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2010399</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148.43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148.43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w:t>
            </w:r>
          </w:p>
        </w:tc>
        <w:tc>
          <w:tcPr>
            <w:tcW w:w="334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6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9.78 </w:t>
            </w:r>
          </w:p>
        </w:tc>
        <w:tc>
          <w:tcPr>
            <w:tcW w:w="160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9.78 </w:t>
            </w: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2011308</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招商引资</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9.78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9.78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5,961.65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5,961.65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5,961.65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5,961.65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205.39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205.39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205.39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205.39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62.34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62.34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7.85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7.85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135.19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135.19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133.59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133.59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5.00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5.00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5.00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5.00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128.59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128.59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25.94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25.94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35.42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35.42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67.23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67.23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资源勘探信息等支出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21502</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制造业</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2150299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193.79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103.79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103.79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4.37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4.37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33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11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bl>
    <w:p>
      <w:pPr>
        <w:rPr>
          <w:rFonts w:hint="eastAsia"/>
        </w:rPr>
      </w:pPr>
    </w:p>
    <w:p>
      <w:pPr>
        <w:rPr>
          <w:rFonts w:hint="eastAsia" w:eastAsia="宋体"/>
          <w:lang w:eastAsia="zh-CN"/>
        </w:rPr>
      </w:pPr>
      <w:r>
        <w:rPr>
          <w:rFonts w:hint="eastAsia"/>
          <w:lang w:eastAsia="zh-CN"/>
        </w:rPr>
        <w:t>注：本表反映部门本年度取得的各项收入情况。</w:t>
      </w: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180"/>
        <w:gridCol w:w="4516"/>
        <w:gridCol w:w="1622"/>
        <w:gridCol w:w="1405"/>
        <w:gridCol w:w="1459"/>
        <w:gridCol w:w="1268"/>
        <w:gridCol w:w="1255"/>
        <w:gridCol w:w="1344"/>
      </w:tblGrid>
      <w:tr>
        <w:tblPrEx>
          <w:tblCellMar>
            <w:top w:w="0" w:type="dxa"/>
            <w:left w:w="108" w:type="dxa"/>
            <w:bottom w:w="0" w:type="dxa"/>
            <w:right w:w="108" w:type="dxa"/>
          </w:tblCellMar>
        </w:tblPrEx>
        <w:trPr>
          <w:trHeight w:val="288" w:hRule="atLeast"/>
          <w:jc w:val="center"/>
        </w:trPr>
        <w:tc>
          <w:tcPr>
            <w:tcW w:w="56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6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2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451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5696"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2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45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26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5</w:t>
            </w:r>
          </w:p>
        </w:tc>
        <w:tc>
          <w:tcPr>
            <w:tcW w:w="134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5696"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bookmarkStart w:id="0" w:name="_GoBack" w:colFirst="2" w:colLast="7"/>
            <w:r>
              <w:rPr>
                <w:rFonts w:hint="eastAsia" w:ascii="宋体" w:hAnsi="宋体" w:cs="Arial"/>
                <w:kern w:val="0"/>
                <w:sz w:val="22"/>
                <w:szCs w:val="22"/>
              </w:rPr>
              <w:t>合计</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12,545.53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1,668.11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10,877.41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bookmarkEnd w:id="0"/>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11,617.94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1,234.56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10,383.38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5,761.73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1,234.56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4,527.17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590.90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590.90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2010302</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1,433.13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1,433.13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2010303</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机关服务</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3,577.26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611.44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2,965.82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2010350</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32.21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32.21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2010399</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128.22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128.22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w:t>
            </w:r>
          </w:p>
        </w:tc>
        <w:tc>
          <w:tcPr>
            <w:tcW w:w="451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62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9.71 </w:t>
            </w:r>
          </w:p>
        </w:tc>
        <w:tc>
          <w:tcPr>
            <w:tcW w:w="14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9.71 </w:t>
            </w:r>
          </w:p>
        </w:tc>
        <w:tc>
          <w:tcPr>
            <w:tcW w:w="126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2011308</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招商引资</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9.71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9.71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其他一般公共服务支出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5,846.51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5,846.51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2019999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5,846.51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5,846.51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199.49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199.49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199.49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199.49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62.53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62.53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7.85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7.85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129.11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129.11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127.90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125.90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2.00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2.00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125.90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125.90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25.94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25.94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32.73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32.73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67.23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67.23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180.18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资源勘探信息等支出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21502</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制造业</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2150299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277.82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108.16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103.79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103.79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4.37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4.37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34.03 </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0.00 </w:t>
            </w: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r>
        <w:rPr>
          <w:rFonts w:hint="eastAsia"/>
        </w:rPr>
        <w:br w:type="page"/>
      </w:r>
    </w:p>
    <w:p>
      <w:pPr>
        <w:ind w:firstLine="3600" w:firstLineChars="1000"/>
        <w:jc w:val="both"/>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2"/>
          <w:szCs w:val="32"/>
        </w:rPr>
      </w:pPr>
      <w:r>
        <w:rPr>
          <w:rFonts w:hint="eastAsia"/>
          <w:sz w:val="22"/>
          <w:szCs w:val="22"/>
        </w:rPr>
        <w:t>单位：万元</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712"/>
        <w:gridCol w:w="764"/>
        <w:gridCol w:w="1459"/>
        <w:gridCol w:w="3417"/>
        <w:gridCol w:w="681"/>
        <w:gridCol w:w="1267"/>
        <w:gridCol w:w="1149"/>
        <w:gridCol w:w="1316"/>
      </w:tblGrid>
      <w:tr>
        <w:tblPrEx>
          <w:tblCellMar>
            <w:top w:w="0" w:type="dxa"/>
            <w:left w:w="108" w:type="dxa"/>
            <w:bottom w:w="0" w:type="dxa"/>
            <w:right w:w="108" w:type="dxa"/>
          </w:tblCellMar>
        </w:tblPrEx>
        <w:trPr>
          <w:trHeight w:val="300" w:hRule="atLeast"/>
        </w:trPr>
        <w:tc>
          <w:tcPr>
            <w:tcW w:w="5935"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830"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71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64"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5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4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6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5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417"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59"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12159.83</w:t>
            </w: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11617.94</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11617.94</w:t>
            </w: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59"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180.18</w:t>
            </w: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三、</w:t>
            </w:r>
            <w:r>
              <w:rPr>
                <w:rFonts w:hint="eastAsia" w:ascii="宋体" w:hAnsi="宋体" w:cs="Arial"/>
                <w:kern w:val="0"/>
                <w:sz w:val="22"/>
                <w:szCs w:val="22"/>
                <w:lang w:eastAsia="zh-CN"/>
              </w:rPr>
              <w:t>国防支出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四、</w:t>
            </w:r>
            <w:r>
              <w:rPr>
                <w:rFonts w:hint="eastAsia" w:ascii="宋体" w:hAnsi="宋体" w:cs="Arial"/>
                <w:kern w:val="0"/>
                <w:sz w:val="22"/>
                <w:szCs w:val="22"/>
                <w:lang w:eastAsia="zh-CN"/>
              </w:rPr>
              <w:t>公共安全支出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五、</w:t>
            </w:r>
            <w:r>
              <w:rPr>
                <w:rFonts w:hint="eastAsia" w:ascii="宋体" w:hAnsi="宋体" w:cs="Arial"/>
                <w:kern w:val="0"/>
                <w:sz w:val="22"/>
                <w:szCs w:val="22"/>
                <w:lang w:eastAsia="zh-CN"/>
              </w:rPr>
              <w:t>教育支出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199.49</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199.49</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七、卫生健康支出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127.90</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127.90</w:t>
            </w:r>
          </w:p>
        </w:tc>
        <w:tc>
          <w:tcPr>
            <w:tcW w:w="1316"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八、城乡社区支出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180.18</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180.18</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九、资源勘探信息等支出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277.82</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277.82</w:t>
            </w:r>
          </w:p>
        </w:tc>
        <w:tc>
          <w:tcPr>
            <w:tcW w:w="1316"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十、住房保障支出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108.16</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108.16</w:t>
            </w:r>
          </w:p>
        </w:tc>
        <w:tc>
          <w:tcPr>
            <w:tcW w:w="1316"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59" w:type="dxa"/>
            <w:tcBorders>
              <w:top w:val="nil"/>
              <w:left w:val="nil"/>
              <w:bottom w:val="single" w:color="auto" w:sz="4" w:space="0"/>
              <w:right w:val="single" w:color="auto" w:sz="4" w:space="0"/>
            </w:tcBorders>
            <w:vAlign w:val="top"/>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十一、其他支出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67" w:type="dxa"/>
            <w:tcBorders>
              <w:top w:val="single" w:color="auto" w:sz="4" w:space="0"/>
              <w:left w:val="nil"/>
              <w:bottom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34.03</w:t>
            </w:r>
            <w:r>
              <w:rPr>
                <w:rFonts w:hint="eastAsia" w:ascii="宋体" w:hAnsi="宋体" w:cs="Arial"/>
                <w:color w:val="000000"/>
                <w:kern w:val="0"/>
                <w:sz w:val="22"/>
                <w:szCs w:val="22"/>
              </w:rPr>
              <w:t>　</w:t>
            </w:r>
          </w:p>
        </w:tc>
        <w:tc>
          <w:tcPr>
            <w:tcW w:w="1149" w:type="dxa"/>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34.03</w:t>
            </w:r>
          </w:p>
        </w:tc>
        <w:tc>
          <w:tcPr>
            <w:tcW w:w="1316" w:type="dxa"/>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45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12340.01</w:t>
            </w:r>
          </w:p>
        </w:tc>
        <w:tc>
          <w:tcPr>
            <w:tcW w:w="34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12545.53</w:t>
            </w:r>
          </w:p>
        </w:tc>
      </w:tr>
      <w:tr>
        <w:tblPrEx>
          <w:tblCellMar>
            <w:top w:w="0" w:type="dxa"/>
            <w:left w:w="108" w:type="dxa"/>
            <w:bottom w:w="0" w:type="dxa"/>
            <w:right w:w="108" w:type="dxa"/>
          </w:tblCellMar>
        </w:tblPrEx>
        <w:trPr>
          <w:trHeight w:val="33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459" w:type="dxa"/>
            <w:tcBorders>
              <w:top w:val="nil"/>
              <w:left w:val="nil"/>
              <w:bottom w:val="single" w:color="auto" w:sz="4" w:space="0"/>
              <w:right w:val="single" w:color="auto" w:sz="4" w:space="0"/>
            </w:tcBorders>
            <w:vAlign w:val="top"/>
          </w:tcPr>
          <w:p>
            <w:pPr>
              <w:widowControl/>
              <w:ind w:firstLine="440" w:firstLineChars="200"/>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1171.41</w:t>
            </w:r>
          </w:p>
        </w:tc>
        <w:tc>
          <w:tcPr>
            <w:tcW w:w="34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top"/>
          </w:tcPr>
          <w:p>
            <w:pPr>
              <w:widowControl/>
              <w:tabs>
                <w:tab w:val="left" w:pos="415"/>
              </w:tabs>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965.96</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25"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45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1171.47</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459" w:type="dxa"/>
            <w:tcBorders>
              <w:top w:val="nil"/>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459"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712"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6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459"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13511.49</w:t>
            </w:r>
          </w:p>
        </w:tc>
        <w:tc>
          <w:tcPr>
            <w:tcW w:w="34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top"/>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13511.49</w:t>
            </w:r>
            <w:r>
              <w:rPr>
                <w:rFonts w:hint="eastAsia" w:ascii="宋体" w:hAnsi="宋体" w:cs="Arial"/>
                <w:color w:val="000000"/>
                <w:kern w:val="0"/>
                <w:sz w:val="22"/>
                <w:szCs w:val="22"/>
              </w:rPr>
              <w:t>　</w:t>
            </w:r>
          </w:p>
        </w:tc>
      </w:tr>
    </w:tbl>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283"/>
        <w:gridCol w:w="4796"/>
        <w:gridCol w:w="2632"/>
        <w:gridCol w:w="2441"/>
        <w:gridCol w:w="2327"/>
      </w:tblGrid>
      <w:tr>
        <w:tblPrEx>
          <w:tblCellMar>
            <w:top w:w="0" w:type="dxa"/>
            <w:left w:w="108" w:type="dxa"/>
            <w:bottom w:w="0" w:type="dxa"/>
            <w:right w:w="108" w:type="dxa"/>
          </w:tblCellMar>
        </w:tblPrEx>
        <w:trPr>
          <w:trHeight w:val="300" w:hRule="atLeast"/>
          <w:jc w:val="center"/>
        </w:trPr>
        <w:tc>
          <w:tcPr>
            <w:tcW w:w="60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4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3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479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3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6079"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632"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441"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327"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6079"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63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12,365.35 </w:t>
            </w:r>
          </w:p>
        </w:tc>
        <w:tc>
          <w:tcPr>
            <w:tcW w:w="24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1,668.11 </w:t>
            </w:r>
          </w:p>
        </w:tc>
        <w:tc>
          <w:tcPr>
            <w:tcW w:w="232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10,697.23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7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63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11,617.94 </w:t>
            </w:r>
          </w:p>
        </w:tc>
        <w:tc>
          <w:tcPr>
            <w:tcW w:w="24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1,234.56 </w:t>
            </w:r>
          </w:p>
        </w:tc>
        <w:tc>
          <w:tcPr>
            <w:tcW w:w="232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10,383.38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7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63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5,761.73 </w:t>
            </w:r>
          </w:p>
        </w:tc>
        <w:tc>
          <w:tcPr>
            <w:tcW w:w="24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1,234.56 </w:t>
            </w:r>
          </w:p>
        </w:tc>
        <w:tc>
          <w:tcPr>
            <w:tcW w:w="232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4,527.17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47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63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590.90 </w:t>
            </w:r>
          </w:p>
        </w:tc>
        <w:tc>
          <w:tcPr>
            <w:tcW w:w="24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590.90 </w:t>
            </w:r>
          </w:p>
        </w:tc>
        <w:tc>
          <w:tcPr>
            <w:tcW w:w="232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2010302</w:t>
            </w:r>
          </w:p>
        </w:tc>
        <w:tc>
          <w:tcPr>
            <w:tcW w:w="479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63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1,433.13 </w:t>
            </w:r>
          </w:p>
        </w:tc>
        <w:tc>
          <w:tcPr>
            <w:tcW w:w="24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1,433.13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2010303</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机关服务</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3,577.26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611.44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2,965.82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2010350</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32.21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32.21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2010399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128.22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128.22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20113</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商贸事务</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9.71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9.71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2011308</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招商引资</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9.71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9.71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20199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其他一般公共服务支出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5,846.51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5,846.51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2019999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5,846.51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5,846.51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199.49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199.49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行政事业单位离退休</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199.49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199.49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62.53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62.53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7.85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7.85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129.11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129.11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127.90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125.90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公共卫生</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2.00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2.00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125.90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125.90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25.94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25.94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2101102</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事业单位医疗</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32.73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32.73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67.23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67.23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215</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资源勘探信息等支出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21502</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制造业</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2150299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其他制造业支出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277.82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108.16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108.16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108.16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108.16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103.79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103.79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4.37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4.37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2299901</w:t>
            </w:r>
          </w:p>
        </w:tc>
        <w:tc>
          <w:tcPr>
            <w:tcW w:w="4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其他支出</w:t>
            </w:r>
          </w:p>
        </w:tc>
        <w:tc>
          <w:tcPr>
            <w:tcW w:w="26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c>
          <w:tcPr>
            <w:tcW w:w="244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c>
          <w:tcPr>
            <w:tcW w:w="232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34.03 </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4"/>
        <w:tblW w:w="13377" w:type="dxa"/>
        <w:tblInd w:w="276" w:type="dxa"/>
        <w:tblLayout w:type="fixed"/>
        <w:tblCellMar>
          <w:top w:w="0" w:type="dxa"/>
          <w:left w:w="108" w:type="dxa"/>
          <w:bottom w:w="0" w:type="dxa"/>
          <w:right w:w="108" w:type="dxa"/>
        </w:tblCellMar>
      </w:tblPr>
      <w:tblGrid>
        <w:gridCol w:w="1186"/>
        <w:gridCol w:w="3437"/>
        <w:gridCol w:w="1813"/>
        <w:gridCol w:w="1146"/>
        <w:gridCol w:w="4091"/>
        <w:gridCol w:w="1704"/>
      </w:tblGrid>
      <w:tr>
        <w:tblPrEx>
          <w:tblCellMar>
            <w:top w:w="0" w:type="dxa"/>
            <w:left w:w="108" w:type="dxa"/>
            <w:bottom w:w="0" w:type="dxa"/>
            <w:right w:w="108" w:type="dxa"/>
          </w:tblCellMar>
        </w:tblPrEx>
        <w:trPr>
          <w:trHeight w:val="564" w:hRule="atLeast"/>
        </w:trPr>
        <w:tc>
          <w:tcPr>
            <w:tcW w:w="64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694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CellMar>
            <w:top w:w="0" w:type="dxa"/>
            <w:left w:w="108" w:type="dxa"/>
            <w:bottom w:w="0" w:type="dxa"/>
            <w:right w:w="108" w:type="dxa"/>
          </w:tblCellMar>
        </w:tblPrEx>
        <w:trPr>
          <w:trHeight w:val="312" w:hRule="atLeast"/>
        </w:trPr>
        <w:tc>
          <w:tcPr>
            <w:tcW w:w="118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支出经济分类科目编码</w:t>
            </w:r>
          </w:p>
        </w:tc>
        <w:tc>
          <w:tcPr>
            <w:tcW w:w="343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813" w:type="dxa"/>
            <w:tcBorders>
              <w:top w:val="nil"/>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114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409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70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rPr>
          <w:trHeight w:val="264"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工资福利支出</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1,312.68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商品和服务支出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238.14 </w:t>
            </w:r>
          </w:p>
        </w:tc>
      </w:tr>
      <w:tr>
        <w:trPr>
          <w:trHeight w:val="264"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30101</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基本工资</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368.15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办公费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19.75 </w:t>
            </w:r>
          </w:p>
        </w:tc>
      </w:tr>
      <w:tr>
        <w:trPr>
          <w:trHeight w:val="264"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30102</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津贴补贴</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102.10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印刷费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2.02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30103</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奖金</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70.43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30203</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咨询费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4.20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30106</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伙食补助费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36.92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30204</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手续费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0.00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30107</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绩效工资</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359.91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30205</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水费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0.14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30108</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122.27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30206</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电费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0.45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30109</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职业年金缴费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邮电费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9.13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30110</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56.81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30208</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取暖费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30111</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69.82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物业管理费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30112</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15.08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差旅费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16.31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30113</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110.67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30114</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医疗费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30213</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维修（护）费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7.79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30199</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0.53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30214</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租赁费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0.58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对个人和家庭的补助</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76.82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30215</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会议费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0.18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30301</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离休费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30216</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培训费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2.50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30302</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退休费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55.97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公务接待费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1.57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30303</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退职（役）费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30218</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专用材料费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0.11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30304</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抚恤金</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30224</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被装购置费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30305</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生活补助</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14.36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30225</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专用燃料费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30306</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救济费</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30226</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劳务费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6.86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30307</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医疗费补助</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委托业务费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30308</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助学金</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30228</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工会经费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18.65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30309</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奖励金</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0.07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福利费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0.03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30310</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30231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117.16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30399</w:t>
            </w:r>
          </w:p>
        </w:tc>
        <w:tc>
          <w:tcPr>
            <w:tcW w:w="343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6.43 </w:t>
            </w: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30239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其他交通费用</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24.13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30240</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1.09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30299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5.51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债务利息及费用支出</w:t>
            </w:r>
          </w:p>
        </w:tc>
        <w:tc>
          <w:tcPr>
            <w:tcW w:w="170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30701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国内债务付息</w:t>
            </w:r>
          </w:p>
        </w:tc>
        <w:tc>
          <w:tcPr>
            <w:tcW w:w="170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30702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国外债务付息</w:t>
            </w:r>
          </w:p>
        </w:tc>
        <w:tc>
          <w:tcPr>
            <w:tcW w:w="170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资本性支出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40.48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办公设备购置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1.38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31003</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专用设备购置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31005</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基础设施建设</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31006</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大型修缮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0.59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31008</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物资储备</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31009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土地补偿</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31010</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安置补助</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31011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31012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拆迁补偿</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31013</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公务用车购置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38.50 </w:t>
            </w: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31019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31021</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31022</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无形资产购置</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31099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其他支出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39906</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赠与</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39907</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39908</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76" w:hRule="atLeast"/>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343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c>
          <w:tcPr>
            <w:tcW w:w="11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39999</w:t>
            </w:r>
          </w:p>
        </w:tc>
        <w:tc>
          <w:tcPr>
            <w:tcW w:w="40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 xml:space="preserve">  其他支出</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p>
        </w:tc>
      </w:tr>
      <w:tr>
        <w:trPr>
          <w:trHeight w:val="264" w:hRule="atLeast"/>
        </w:trPr>
        <w:tc>
          <w:tcPr>
            <w:tcW w:w="4623"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人员经费合计</w:t>
            </w:r>
          </w:p>
        </w:tc>
        <w:tc>
          <w:tcPr>
            <w:tcW w:w="1813"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1,389.50 </w:t>
            </w:r>
          </w:p>
        </w:tc>
        <w:tc>
          <w:tcPr>
            <w:tcW w:w="523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公用经费合计</w:t>
            </w:r>
          </w:p>
        </w:tc>
        <w:tc>
          <w:tcPr>
            <w:tcW w:w="1704" w:type="dxa"/>
            <w:tcBorders>
              <w:top w:val="nil"/>
              <w:left w:val="nil"/>
              <w:bottom w:val="single" w:color="auto" w:sz="4" w:space="0"/>
              <w:right w:val="single" w:color="auto" w:sz="4" w:space="0"/>
            </w:tcBorders>
            <w:vAlign w:val="bottom"/>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278.61 </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both"/>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1268"/>
        <w:gridCol w:w="982"/>
        <w:gridCol w:w="1118"/>
        <w:gridCol w:w="1186"/>
        <w:gridCol w:w="1132"/>
        <w:gridCol w:w="968"/>
        <w:gridCol w:w="1091"/>
        <w:gridCol w:w="982"/>
        <w:gridCol w:w="1145"/>
        <w:gridCol w:w="1419"/>
        <w:gridCol w:w="1447"/>
        <w:gridCol w:w="1183"/>
      </w:tblGrid>
      <w:tr>
        <w:tblPrEx>
          <w:tblCellMar>
            <w:top w:w="0" w:type="dxa"/>
            <w:left w:w="108" w:type="dxa"/>
            <w:bottom w:w="0" w:type="dxa"/>
            <w:right w:w="108" w:type="dxa"/>
          </w:tblCellMar>
        </w:tblPrEx>
        <w:trPr>
          <w:trHeight w:val="540" w:hRule="atLeast"/>
          <w:jc w:val="center"/>
        </w:trPr>
        <w:tc>
          <w:tcPr>
            <w:tcW w:w="665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726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126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82"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968"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0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82"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40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2"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18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13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968"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2"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41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44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26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8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1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6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9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8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4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1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4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268" w:type="dxa"/>
            <w:tcBorders>
              <w:top w:val="nil"/>
              <w:left w:val="single" w:color="auto" w:sz="4" w:space="0"/>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413.10　</w:t>
            </w:r>
          </w:p>
        </w:tc>
        <w:tc>
          <w:tcPr>
            <w:tcW w:w="98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0</w:t>
            </w:r>
          </w:p>
        </w:tc>
        <w:tc>
          <w:tcPr>
            <w:tcW w:w="1118"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409.33　</w:t>
            </w:r>
          </w:p>
        </w:tc>
        <w:tc>
          <w:tcPr>
            <w:tcW w:w="1186"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287.33</w:t>
            </w:r>
          </w:p>
        </w:tc>
        <w:tc>
          <w:tcPr>
            <w:tcW w:w="1132"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122</w:t>
            </w:r>
          </w:p>
        </w:tc>
        <w:tc>
          <w:tcPr>
            <w:tcW w:w="968"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3.77</w:t>
            </w:r>
          </w:p>
        </w:tc>
        <w:tc>
          <w:tcPr>
            <w:tcW w:w="1091"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553.29　</w:t>
            </w:r>
          </w:p>
        </w:tc>
        <w:tc>
          <w:tcPr>
            <w:tcW w:w="982"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0</w:t>
            </w:r>
          </w:p>
        </w:tc>
        <w:tc>
          <w:tcPr>
            <w:tcW w:w="1145"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551.25　</w:t>
            </w:r>
          </w:p>
        </w:tc>
        <w:tc>
          <w:tcPr>
            <w:tcW w:w="1419"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432.69</w:t>
            </w:r>
          </w:p>
        </w:tc>
        <w:tc>
          <w:tcPr>
            <w:tcW w:w="1447" w:type="dxa"/>
            <w:tcBorders>
              <w:top w:val="nil"/>
              <w:left w:val="nil"/>
              <w:bottom w:val="single" w:color="auto" w:sz="4" w:space="0"/>
              <w:right w:val="single" w:color="auto" w:sz="4" w:space="0"/>
            </w:tcBorders>
            <w:vAlign w:val="top"/>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118.56　</w:t>
            </w:r>
          </w:p>
        </w:tc>
        <w:tc>
          <w:tcPr>
            <w:tcW w:w="1183" w:type="dxa"/>
            <w:tcBorders>
              <w:top w:val="nil"/>
              <w:left w:val="nil"/>
              <w:bottom w:val="single" w:color="auto" w:sz="4" w:space="0"/>
              <w:right w:val="single" w:color="auto" w:sz="4" w:space="0"/>
            </w:tcBorders>
            <w:vAlign w:val="top"/>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2.04</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4"/>
        <w:tblW w:w="12480" w:type="dxa"/>
        <w:jc w:val="center"/>
        <w:tblLayout w:type="fixed"/>
        <w:tblCellMar>
          <w:top w:w="0" w:type="dxa"/>
          <w:left w:w="108" w:type="dxa"/>
          <w:bottom w:w="0" w:type="dxa"/>
          <w:right w:w="108" w:type="dxa"/>
        </w:tblCellMar>
      </w:tblPr>
      <w:tblGrid>
        <w:gridCol w:w="1065"/>
        <w:gridCol w:w="3014"/>
        <w:gridCol w:w="654"/>
        <w:gridCol w:w="887"/>
        <w:gridCol w:w="913"/>
        <w:gridCol w:w="941"/>
        <w:gridCol w:w="982"/>
        <w:gridCol w:w="818"/>
        <w:gridCol w:w="941"/>
        <w:gridCol w:w="791"/>
        <w:gridCol w:w="709"/>
        <w:gridCol w:w="765"/>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65" w:type="dxa"/>
            <w:tcBorders>
              <w:top w:val="nil"/>
              <w:left w:val="nil"/>
              <w:bottom w:val="nil"/>
              <w:right w:val="nil"/>
            </w:tcBorders>
            <w:vAlign w:val="bottom"/>
          </w:tcPr>
          <w:p>
            <w:pPr>
              <w:widowControl/>
              <w:jc w:val="left"/>
              <w:rPr>
                <w:rFonts w:ascii="仿宋_GB2312" w:hAnsi="宋体" w:cs="宋体"/>
                <w:kern w:val="0"/>
                <w:sz w:val="24"/>
              </w:rPr>
            </w:pPr>
          </w:p>
        </w:tc>
        <w:tc>
          <w:tcPr>
            <w:tcW w:w="3014" w:type="dxa"/>
            <w:tcBorders>
              <w:top w:val="nil"/>
              <w:left w:val="nil"/>
              <w:bottom w:val="nil"/>
              <w:right w:val="nil"/>
            </w:tcBorders>
            <w:vAlign w:val="bottom"/>
          </w:tcPr>
          <w:p>
            <w:pPr>
              <w:widowControl/>
              <w:jc w:val="left"/>
              <w:rPr>
                <w:rFonts w:ascii="仿宋_GB2312" w:hAnsi="宋体" w:cs="宋体"/>
                <w:kern w:val="0"/>
                <w:sz w:val="24"/>
              </w:rPr>
            </w:pPr>
          </w:p>
        </w:tc>
        <w:tc>
          <w:tcPr>
            <w:tcW w:w="654" w:type="dxa"/>
            <w:tcBorders>
              <w:top w:val="nil"/>
              <w:left w:val="nil"/>
              <w:bottom w:val="nil"/>
              <w:right w:val="nil"/>
            </w:tcBorders>
            <w:vAlign w:val="bottom"/>
          </w:tcPr>
          <w:p>
            <w:pPr>
              <w:widowControl/>
              <w:jc w:val="left"/>
              <w:rPr>
                <w:rFonts w:ascii="仿宋_GB2312" w:hAnsi="宋体" w:cs="宋体"/>
                <w:kern w:val="0"/>
                <w:sz w:val="24"/>
              </w:rPr>
            </w:pPr>
          </w:p>
        </w:tc>
        <w:tc>
          <w:tcPr>
            <w:tcW w:w="887" w:type="dxa"/>
            <w:tcBorders>
              <w:top w:val="nil"/>
              <w:left w:val="nil"/>
              <w:bottom w:val="nil"/>
              <w:right w:val="nil"/>
            </w:tcBorders>
            <w:vAlign w:val="bottom"/>
          </w:tcPr>
          <w:p>
            <w:pPr>
              <w:widowControl/>
              <w:jc w:val="left"/>
              <w:rPr>
                <w:rFonts w:ascii="仿宋_GB2312" w:hAnsi="宋体" w:cs="宋体"/>
                <w:kern w:val="0"/>
                <w:sz w:val="24"/>
              </w:rPr>
            </w:pPr>
          </w:p>
        </w:tc>
        <w:tc>
          <w:tcPr>
            <w:tcW w:w="913" w:type="dxa"/>
            <w:tcBorders>
              <w:top w:val="nil"/>
              <w:left w:val="nil"/>
              <w:bottom w:val="nil"/>
              <w:right w:val="nil"/>
            </w:tcBorders>
            <w:vAlign w:val="bottom"/>
          </w:tcPr>
          <w:p>
            <w:pPr>
              <w:widowControl/>
              <w:jc w:val="left"/>
              <w:rPr>
                <w:rFonts w:ascii="仿宋_GB2312" w:hAnsi="宋体" w:cs="宋体"/>
                <w:kern w:val="0"/>
                <w:sz w:val="24"/>
              </w:rPr>
            </w:pPr>
          </w:p>
        </w:tc>
        <w:tc>
          <w:tcPr>
            <w:tcW w:w="941" w:type="dxa"/>
            <w:tcBorders>
              <w:top w:val="nil"/>
              <w:left w:val="nil"/>
              <w:bottom w:val="nil"/>
              <w:right w:val="nil"/>
            </w:tcBorders>
            <w:vAlign w:val="bottom"/>
          </w:tcPr>
          <w:p>
            <w:pPr>
              <w:widowControl/>
              <w:jc w:val="left"/>
              <w:rPr>
                <w:rFonts w:ascii="仿宋_GB2312" w:hAnsi="宋体" w:cs="宋体"/>
                <w:kern w:val="0"/>
                <w:sz w:val="24"/>
              </w:rPr>
            </w:pPr>
          </w:p>
        </w:tc>
        <w:tc>
          <w:tcPr>
            <w:tcW w:w="982" w:type="dxa"/>
            <w:tcBorders>
              <w:top w:val="nil"/>
              <w:left w:val="nil"/>
              <w:bottom w:val="nil"/>
              <w:right w:val="nil"/>
            </w:tcBorders>
            <w:vAlign w:val="bottom"/>
          </w:tcPr>
          <w:p>
            <w:pPr>
              <w:widowControl/>
              <w:jc w:val="left"/>
              <w:rPr>
                <w:rFonts w:ascii="仿宋_GB2312" w:hAnsi="宋体" w:cs="宋体"/>
                <w:kern w:val="0"/>
                <w:sz w:val="24"/>
              </w:rPr>
            </w:pPr>
          </w:p>
        </w:tc>
        <w:tc>
          <w:tcPr>
            <w:tcW w:w="818" w:type="dxa"/>
            <w:tcBorders>
              <w:top w:val="nil"/>
              <w:left w:val="nil"/>
              <w:bottom w:val="nil"/>
              <w:right w:val="nil"/>
            </w:tcBorders>
            <w:vAlign w:val="bottom"/>
          </w:tcPr>
          <w:p>
            <w:pPr>
              <w:widowControl/>
              <w:jc w:val="left"/>
              <w:rPr>
                <w:rFonts w:ascii="仿宋_GB2312" w:hAnsi="宋体" w:cs="宋体"/>
                <w:kern w:val="0"/>
                <w:sz w:val="24"/>
              </w:rPr>
            </w:pPr>
          </w:p>
        </w:tc>
        <w:tc>
          <w:tcPr>
            <w:tcW w:w="941" w:type="dxa"/>
            <w:tcBorders>
              <w:top w:val="nil"/>
              <w:left w:val="nil"/>
              <w:bottom w:val="nil"/>
              <w:right w:val="nil"/>
            </w:tcBorders>
            <w:vAlign w:val="bottom"/>
          </w:tcPr>
          <w:p>
            <w:pPr>
              <w:widowControl/>
              <w:jc w:val="left"/>
              <w:rPr>
                <w:rFonts w:ascii="仿宋_GB2312" w:hAnsi="宋体" w:cs="宋体"/>
                <w:kern w:val="0"/>
                <w:sz w:val="24"/>
              </w:rPr>
            </w:pPr>
          </w:p>
        </w:tc>
        <w:tc>
          <w:tcPr>
            <w:tcW w:w="791" w:type="dxa"/>
            <w:tcBorders>
              <w:top w:val="nil"/>
              <w:left w:val="nil"/>
              <w:bottom w:val="nil"/>
              <w:right w:val="nil"/>
            </w:tcBorders>
            <w:vAlign w:val="bottom"/>
          </w:tcPr>
          <w:p>
            <w:pPr>
              <w:widowControl/>
              <w:jc w:val="left"/>
              <w:rPr>
                <w:rFonts w:ascii="仿宋_GB2312" w:hAnsi="宋体" w:cs="宋体"/>
                <w:kern w:val="0"/>
                <w:sz w:val="24"/>
              </w:rPr>
            </w:pPr>
          </w:p>
        </w:tc>
        <w:tc>
          <w:tcPr>
            <w:tcW w:w="1474"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65"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30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45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年</w:t>
            </w:r>
            <w:r>
              <w:rPr>
                <w:rFonts w:hint="eastAsia" w:ascii="宋体" w:hAnsi="宋体" w:cs="宋体"/>
                <w:kern w:val="0"/>
                <w:sz w:val="22"/>
                <w:szCs w:val="22"/>
                <w:lang w:eastAsia="zh-CN"/>
              </w:rPr>
              <w:t>初</w:t>
            </w:r>
            <w:r>
              <w:rPr>
                <w:rFonts w:hint="eastAsia" w:ascii="宋体" w:hAnsi="宋体" w:cs="宋体"/>
                <w:kern w:val="0"/>
                <w:sz w:val="22"/>
                <w:szCs w:val="22"/>
              </w:rPr>
              <w:t>结转和结余</w:t>
            </w:r>
          </w:p>
        </w:tc>
        <w:tc>
          <w:tcPr>
            <w:tcW w:w="94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本年收入</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本年支出</w:t>
            </w:r>
          </w:p>
        </w:tc>
        <w:tc>
          <w:tcPr>
            <w:tcW w:w="226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65"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30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654"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88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基本支出结转</w:t>
            </w:r>
          </w:p>
        </w:tc>
        <w:tc>
          <w:tcPr>
            <w:tcW w:w="913"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项目支出结转和结余</w:t>
            </w:r>
          </w:p>
        </w:tc>
        <w:tc>
          <w:tcPr>
            <w:tcW w:w="941"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cs="宋体"/>
                <w:kern w:val="0"/>
                <w:sz w:val="22"/>
                <w:szCs w:val="22"/>
              </w:rPr>
            </w:pPr>
          </w:p>
        </w:tc>
        <w:tc>
          <w:tcPr>
            <w:tcW w:w="98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基本支出</w:t>
            </w:r>
          </w:p>
        </w:tc>
        <w:tc>
          <w:tcPr>
            <w:tcW w:w="94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项目支出</w:t>
            </w:r>
          </w:p>
        </w:tc>
        <w:tc>
          <w:tcPr>
            <w:tcW w:w="79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基本支出结转</w:t>
            </w:r>
          </w:p>
        </w:tc>
        <w:tc>
          <w:tcPr>
            <w:tcW w:w="76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65"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30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5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88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913"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94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9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654"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88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13"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98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818"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79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09"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01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65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88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98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818"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79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09"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01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65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88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98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818"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79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09"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301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654"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887"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982"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818"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4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180.18</w:t>
            </w:r>
          </w:p>
        </w:tc>
        <w:tc>
          <w:tcPr>
            <w:tcW w:w="791"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09"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301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65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8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8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9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p>
        </w:tc>
        <w:tc>
          <w:tcPr>
            <w:tcW w:w="301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65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8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8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9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tabs>
                <w:tab w:val="left" w:pos="507"/>
              </w:tabs>
              <w:jc w:val="left"/>
              <w:textAlignment w:val="center"/>
              <w:rPr>
                <w:rFonts w:ascii="宋体" w:hAnsi="宋体" w:cs="宋体"/>
                <w:kern w:val="0"/>
                <w:sz w:val="22"/>
                <w:szCs w:val="22"/>
              </w:rPr>
            </w:pPr>
          </w:p>
        </w:tc>
        <w:tc>
          <w:tcPr>
            <w:tcW w:w="301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65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8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8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8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4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91"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rPr>
          <w:lang w:val="en-US" w:eastAsia="zh-CN"/>
        </w:rPr>
      </w:pPr>
      <w:r>
        <w:rPr>
          <w:rFonts w:hint="eastAsia"/>
          <w:lang w:val="en-US" w:eastAsia="zh-CN"/>
        </w:rPr>
        <w:t xml:space="preserve">    </w:t>
      </w:r>
      <w:r>
        <w:rPr>
          <w:rFonts w:hint="eastAsia"/>
          <w:lang w:eastAsia="zh-CN"/>
        </w:rPr>
        <w:t>注：本表反映部门本年度政府性基金预算财政拨款收入支出及结转和结余情况。</w:t>
      </w:r>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18F5188"/>
    <w:rsid w:val="03BB5F55"/>
    <w:rsid w:val="05750BDD"/>
    <w:rsid w:val="084051DF"/>
    <w:rsid w:val="0A7E72F2"/>
    <w:rsid w:val="0C7852B1"/>
    <w:rsid w:val="0C936B75"/>
    <w:rsid w:val="0FC85563"/>
    <w:rsid w:val="112A214D"/>
    <w:rsid w:val="1225157A"/>
    <w:rsid w:val="13DA474F"/>
    <w:rsid w:val="14150F5E"/>
    <w:rsid w:val="14726A82"/>
    <w:rsid w:val="170E4A08"/>
    <w:rsid w:val="177E0516"/>
    <w:rsid w:val="19795AE0"/>
    <w:rsid w:val="1A444208"/>
    <w:rsid w:val="1BBF0B88"/>
    <w:rsid w:val="1CD17D2D"/>
    <w:rsid w:val="1D890334"/>
    <w:rsid w:val="20AB203E"/>
    <w:rsid w:val="22217558"/>
    <w:rsid w:val="26460DBA"/>
    <w:rsid w:val="2B2C1D39"/>
    <w:rsid w:val="2C4219FE"/>
    <w:rsid w:val="2EF70D29"/>
    <w:rsid w:val="2FE97F46"/>
    <w:rsid w:val="3335181B"/>
    <w:rsid w:val="34013043"/>
    <w:rsid w:val="349A1902"/>
    <w:rsid w:val="37E55A26"/>
    <w:rsid w:val="39A63F06"/>
    <w:rsid w:val="3ACC7E26"/>
    <w:rsid w:val="3AD905B5"/>
    <w:rsid w:val="3ED1439F"/>
    <w:rsid w:val="3FF44E07"/>
    <w:rsid w:val="415A36B9"/>
    <w:rsid w:val="4445686D"/>
    <w:rsid w:val="45716FAF"/>
    <w:rsid w:val="48160537"/>
    <w:rsid w:val="487C5DB5"/>
    <w:rsid w:val="4B462E6C"/>
    <w:rsid w:val="4BCA4E8D"/>
    <w:rsid w:val="4C256E3D"/>
    <w:rsid w:val="4CB52F0F"/>
    <w:rsid w:val="4D2A2D00"/>
    <w:rsid w:val="51437140"/>
    <w:rsid w:val="51D9661D"/>
    <w:rsid w:val="532F1F9A"/>
    <w:rsid w:val="559455B8"/>
    <w:rsid w:val="57C342A0"/>
    <w:rsid w:val="596E73E6"/>
    <w:rsid w:val="598B6F9E"/>
    <w:rsid w:val="59BD142D"/>
    <w:rsid w:val="5A115DE3"/>
    <w:rsid w:val="5B273B13"/>
    <w:rsid w:val="5E8D6A34"/>
    <w:rsid w:val="5EC0344E"/>
    <w:rsid w:val="5EE7634B"/>
    <w:rsid w:val="5FF27EF7"/>
    <w:rsid w:val="607A2504"/>
    <w:rsid w:val="617F6A27"/>
    <w:rsid w:val="62163194"/>
    <w:rsid w:val="62437066"/>
    <w:rsid w:val="66BB3A69"/>
    <w:rsid w:val="6782168F"/>
    <w:rsid w:val="6E9A5898"/>
    <w:rsid w:val="71C05D5A"/>
    <w:rsid w:val="7201214D"/>
    <w:rsid w:val="72834472"/>
    <w:rsid w:val="734B680D"/>
    <w:rsid w:val="75E64DF0"/>
    <w:rsid w:val="76DF37DA"/>
    <w:rsid w:val="773B4FEB"/>
    <w:rsid w:val="77FF7F53"/>
    <w:rsid w:val="7B22523C"/>
    <w:rsid w:val="7BA842BD"/>
    <w:rsid w:val="7C4E306C"/>
    <w:rsid w:val="7D4422B9"/>
    <w:rsid w:val="7EC45B94"/>
    <w:rsid w:val="7FA9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dcterms:modified xsi:type="dcterms:W3CDTF">2020-08-07T02:23:13Z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