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416" w:lineRule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bookmarkStart w:id="4" w:name="_GoBack"/>
      <w:bookmarkEnd w:id="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件2</w:t>
      </w:r>
    </w:p>
    <w:p>
      <w:pPr>
        <w:jc w:val="center"/>
        <w:rPr>
          <w:rFonts w:ascii="Times New Roman" w:hAnsi="Times New Roman" w:eastAsia="楷体_GB2312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 w:eastAsia="楷体_GB2312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 w:eastAsia="楷体_GB2312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 w:eastAsia="楷体_GB2312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 w:eastAsia="华文中宋" w:cs="Times New Roman"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</w:rPr>
        <w:t>××</w:t>
      </w:r>
      <w:r>
        <w:rPr>
          <w:rFonts w:hint="default" w:ascii="Times New Roman" w:hAnsi="Times New Roman" w:eastAsia="华文中宋" w:cs="Times New Roman"/>
          <w:color w:val="auto"/>
          <w:sz w:val="52"/>
          <w:szCs w:val="52"/>
          <w:highlight w:val="none"/>
        </w:rPr>
        <w:t>年度</w:t>
      </w:r>
      <w:r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</w:rPr>
        <w:t>××</w:t>
      </w:r>
      <w:r>
        <w:rPr>
          <w:rFonts w:hint="default" w:ascii="Times New Roman" w:hAnsi="Times New Roman" w:eastAsia="华文中宋" w:cs="Times New Roman"/>
          <w:color w:val="auto"/>
          <w:sz w:val="52"/>
          <w:szCs w:val="52"/>
          <w:highlight w:val="none"/>
        </w:rPr>
        <w:t>省（市、县）</w:t>
      </w:r>
    </w:p>
    <w:p>
      <w:pPr>
        <w:jc w:val="center"/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</w:rPr>
        <w:t>政府综合财务报告</w:t>
      </w:r>
    </w:p>
    <w:p>
      <w:pPr>
        <w:pStyle w:val="9"/>
        <w:ind w:left="0" w:leftChars="0" w:firstLine="0" w:firstLineChars="0"/>
        <w:jc w:val="center"/>
        <w:rPr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样式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</w:p>
    <w:p>
      <w:pPr>
        <w:pStyle w:val="9"/>
        <w:rPr>
          <w:highlight w:val="none"/>
        </w:rPr>
      </w:pPr>
    </w:p>
    <w:p>
      <w:pPr>
        <w:jc w:val="center"/>
        <w:rPr>
          <w:rFonts w:ascii="Times New Roman" w:hAnsi="Times New Roman" w:eastAsia="微软雅黑"/>
          <w:b/>
          <w:bCs/>
          <w:color w:val="auto"/>
          <w:sz w:val="52"/>
          <w:szCs w:val="52"/>
          <w:highlight w:val="none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36"/>
          <w:highlight w:val="none"/>
        </w:rPr>
      </w:pPr>
    </w:p>
    <w:p>
      <w:pPr>
        <w:jc w:val="both"/>
        <w:rPr>
          <w:rFonts w:ascii="Times New Roman" w:hAnsi="Times New Roman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36"/>
          <w:highlight w:val="none"/>
        </w:rPr>
      </w:pPr>
    </w:p>
    <w:p>
      <w:pPr>
        <w:ind w:firstLine="1050" w:firstLineChars="350"/>
        <w:rPr>
          <w:rFonts w:ascii="Times New Roman" w:hAnsi="Times New Roman" w:eastAsia="宋体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报送单位：（公章）</w:t>
      </w:r>
    </w:p>
    <w:p>
      <w:pPr>
        <w:ind w:firstLine="1050" w:firstLineChars="350"/>
        <w:rPr>
          <w:rFonts w:ascii="Times New Roman" w:hAnsi="Times New Roman" w:eastAsia="宋体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单位负责人：（签名并盖章）</w:t>
      </w:r>
    </w:p>
    <w:p>
      <w:pPr>
        <w:ind w:firstLine="1050" w:firstLineChars="350"/>
        <w:rPr>
          <w:rFonts w:ascii="Times New Roman" w:hAnsi="Times New Roman" w:eastAsia="宋体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处室负责人：（签名并盖章）</w:t>
      </w:r>
    </w:p>
    <w:p>
      <w:pPr>
        <w:ind w:firstLine="1050" w:firstLineChars="350"/>
        <w:rPr>
          <w:rFonts w:ascii="Times New Roman" w:hAnsi="Times New Roman" w:eastAsia="宋体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编制人：（签章）</w:t>
      </w:r>
    </w:p>
    <w:p>
      <w:pPr>
        <w:ind w:firstLine="1050" w:firstLineChars="350"/>
        <w:rPr>
          <w:rFonts w:ascii="Times New Roman" w:hAnsi="Times New Roman" w:eastAsia="宋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报送日期：  年  月</w:t>
      </w:r>
    </w:p>
    <w:p>
      <w:pPr>
        <w:jc w:val="center"/>
        <w:rPr>
          <w:rFonts w:hint="default" w:ascii="Times New Roman" w:hAnsi="Times New Roman" w:eastAsia="华文中宋" w:cs="Times New Roman"/>
          <w:color w:val="auto"/>
          <w:kern w:val="2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color w:val="auto"/>
          <w:kern w:val="2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</w:rPr>
        <w:t>简 要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根据政府会计准则制度规定及财政财务管理需要，对《财政部关于修订印发〈政府综合财务报告编制操作指南〉的通知》（财库〔20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〕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号）规定的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报告样式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调整如下：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一、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将资产负债表中“文物文化资产”改为“文物资源”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，“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固定资产明细表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中“文物和陈列品”改为“陈列品”。将附注“政府部门管理的公共基础设施、文物文化资产、保障性住房、自然资源资产等重要资产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的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种类和实物量等相关信息”中“文物文化资产”改为“文物资源”。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*</w:t>
      </w:r>
      <w:r>
        <w:rPr>
          <w:rStyle w:val="21"/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footnoteReference w:id="0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2" w:firstLineChars="200"/>
        <w:textAlignment w:val="auto"/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二、完善“应收及预付款项明细表”、“应付及预收款项明细表”，增加反映中央财政和地方财政之间的应收应付情况。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2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、增加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“长期股权投资明细表”，细化反映政府长期股权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投资的构成以及变动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调整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公共基础设施明细表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（原值）”、“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公共基础设施明细表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（累计折旧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/摊销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）”、“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公共基础设施明细表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（净值）”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中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水利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基础设施的分类。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、调整“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保障性住房</w:t>
      </w:r>
      <w:r>
        <w:rPr>
          <w:rFonts w:hint="eastAsia" w:ascii="仿宋_GB2312" w:hAnsi="仿宋_GB2312" w:eastAsia="仿宋_GB2312" w:cs="仿宋_GB2312"/>
          <w:sz w:val="30"/>
          <w:szCs w:val="30"/>
        </w:rPr>
        <w:t>明细表”分类。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2" w:firstLineChars="200"/>
        <w:textAlignment w:val="auto"/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"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完善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" w:eastAsia="zh-CN"/>
        </w:rPr>
        <w:t>“政府间转移性收入明细表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”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“政府间转移性费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用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明细表”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，细化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反映地区间援助收入、费用情况。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七、完善附注“社保基金情况表”，对社保基金种类、名称等进行了统一规范。*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2" w:firstLineChars="200"/>
        <w:textAlignment w:val="auto"/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“省级及以下财政拨付给中央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的相关费用明细表”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本说明仅供编制报告使用，无须与报告正文一并报送。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eastAsia" w:ascii="Times New Roman" w:hAnsi="Times New Roman" w:eastAsia="仿宋_GB2312"/>
          <w:color w:val="auto"/>
          <w:highlight w:val="none"/>
          <w:lang w:eastAsia="zh-CN"/>
        </w:rPr>
        <w:sectPr>
          <w:footerReference r:id="rId4" w:type="default"/>
          <w:pgSz w:w="11906" w:h="16838"/>
          <w:pgMar w:top="1701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 w:val="0"/>
        <w:jc w:val="center"/>
        <w:rPr>
          <w:rFonts w:hint="default" w:ascii="Times New Roman" w:hAnsi="Times New Roman" w:eastAsia="等线" w:cs="Times New Roman"/>
          <w:b/>
          <w:color w:val="auto"/>
          <w:kern w:val="16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kern w:val="16"/>
          <w:sz w:val="36"/>
          <w:szCs w:val="36"/>
          <w:highlight w:val="none"/>
        </w:rPr>
        <w:t>目  录</w:t>
      </w:r>
    </w:p>
    <w:p>
      <w:pPr>
        <w:pStyle w:val="15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导言</w:t>
      </w:r>
      <w:r>
        <w:rPr>
          <w:rFonts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"/>
        </w:rPr>
        <w:t>1</w:t>
      </w:r>
    </w:p>
    <w:p>
      <w:pPr>
        <w:pStyle w:val="15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一、政府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综合</w:t>
      </w: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财务报表</w:t>
      </w:r>
      <w:r>
        <w:rPr>
          <w:rFonts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"/>
        </w:rPr>
        <w:t>3</w:t>
      </w:r>
    </w:p>
    <w:p>
      <w:pPr>
        <w:pStyle w:val="13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/>
          <w:smallCaps/>
          <w:color w:val="auto"/>
          <w:kern w:val="2"/>
          <w:sz w:val="24"/>
          <w:szCs w:val="24"/>
          <w:highlight w:val="none"/>
          <w:lang w:eastAsia="zh-CN"/>
        </w:rPr>
        <w:t>一</w:t>
      </w: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宋体"/>
          <w:smallCaps/>
          <w:color w:val="auto"/>
          <w:kern w:val="2"/>
          <w:sz w:val="24"/>
          <w:szCs w:val="24"/>
          <w:highlight w:val="none"/>
          <w:lang w:eastAsia="zh-CN"/>
        </w:rPr>
        <w:t>政府综合</w:t>
      </w: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会计报表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3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资产负债表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"/>
        </w:rPr>
        <w:t>3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收入费用表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5</w:t>
      </w:r>
    </w:p>
    <w:p>
      <w:pPr>
        <w:pStyle w:val="13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（二）</w:t>
      </w:r>
      <w:r>
        <w:rPr>
          <w:rFonts w:hint="default" w:ascii="Times New Roman" w:hAnsi="Times New Roman" w:eastAsia="宋体"/>
          <w:smallCaps/>
          <w:color w:val="auto"/>
          <w:kern w:val="2"/>
          <w:sz w:val="24"/>
          <w:szCs w:val="24"/>
          <w:highlight w:val="none"/>
          <w:lang w:eastAsia="zh-CN"/>
        </w:rPr>
        <w:t>政府综合</w:t>
      </w: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会计报表附注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1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会计报表编制基础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2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遵循相关制度规定的声明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3.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会计报表的合并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范围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4.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重要会计政策与会计估计变更情况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5.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会计报表重要项目明</w:t>
      </w:r>
      <w:bookmarkStart w:id="0" w:name="_Hlt23360921"/>
      <w:bookmarkStart w:id="1" w:name="_Hlt23360922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细</w:t>
      </w:r>
      <w:bookmarkEnd w:id="0"/>
      <w:bookmarkEnd w:id="1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信息及说明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需要说明的其他事项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en"/>
        </w:rPr>
        <w:t>16</w:t>
      </w:r>
    </w:p>
    <w:p>
      <w:pPr>
        <w:pStyle w:val="15"/>
        <w:tabs>
          <w:tab w:val="right" w:leader="dot" w:pos="8296"/>
        </w:tabs>
        <w:spacing w:line="520" w:lineRule="exact"/>
        <w:rPr>
          <w:rFonts w:hint="default" w:ascii="Times New Roman" w:hAnsi="Times New Roman" w:eastAsia="宋体"/>
          <w:b w:val="0"/>
          <w:bCs w:val="0"/>
          <w:i w:val="0"/>
          <w:iCs w:val="0"/>
          <w:small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二、政府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财政经济</w:t>
      </w: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分析</w:t>
      </w:r>
      <w:r>
        <w:rPr>
          <w:rFonts w:hint="eastAsia"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en"/>
        </w:rPr>
        <w:t>17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）政府财务状况分</w:t>
      </w:r>
      <w:bookmarkStart w:id="2" w:name="_Hlt17827067"/>
      <w:bookmarkStart w:id="3" w:name="_Hlt17827068"/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析</w:t>
      </w:r>
      <w:bookmarkEnd w:id="2"/>
      <w:bookmarkEnd w:id="3"/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"/>
        </w:rPr>
        <w:t>17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）政府运行情况分析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"/>
        </w:rPr>
        <w:t>17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jc w:val="both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财政中长期可持续性分析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"/>
        </w:rPr>
        <w:t>17</w:t>
      </w:r>
    </w:p>
    <w:p>
      <w:pPr>
        <w:pStyle w:val="15"/>
        <w:tabs>
          <w:tab w:val="right" w:leader="dot" w:pos="8296"/>
        </w:tabs>
        <w:spacing w:line="520" w:lineRule="exact"/>
        <w:rPr>
          <w:rFonts w:hint="default" w:ascii="Times New Roman" w:hAnsi="Times New Roman" w:eastAsia="宋体"/>
          <w:b w:val="0"/>
          <w:bCs w:val="0"/>
          <w:i w:val="0"/>
          <w:iCs w:val="0"/>
          <w:small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三</w:t>
      </w: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、政府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财政财务管理情况</w:t>
      </w:r>
      <w:r>
        <w:rPr>
          <w:rFonts w:hint="eastAsia"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en"/>
        </w:rPr>
        <w:t>17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）政府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预算管理情况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"/>
        </w:rPr>
        <w:t>17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）政府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资产负债管理情况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"/>
        </w:rPr>
        <w:t>17</w:t>
      </w:r>
    </w:p>
    <w:p>
      <w:pPr>
        <w:pStyle w:val="8"/>
        <w:tabs>
          <w:tab w:val="right" w:leader="dot" w:pos="8296"/>
        </w:tabs>
        <w:spacing w:line="520" w:lineRule="exact"/>
        <w:ind w:left="0" w:firstLine="0" w:firstLineChars="0"/>
        <w:rPr>
          <w:rFonts w:hint="default" w:ascii="Times New Roman" w:hAnsi="Times New Roman" w:eastAsia="黑体" w:cs="Times New Roman"/>
          <w:caps/>
          <w:smallCap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政府收支管理情况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"/>
        </w:rPr>
        <w:t>17</w:t>
      </w:r>
    </w:p>
    <w:p>
      <w:pPr>
        <w:pStyle w:val="15"/>
        <w:tabs>
          <w:tab w:val="right" w:leader="dot" w:pos="8296"/>
        </w:tabs>
        <w:spacing w:line="520" w:lineRule="exact"/>
        <w:ind w:left="0" w:firstLine="240" w:firstLineChars="100"/>
        <w:rPr>
          <w:rFonts w:hint="default" w:ascii="Times New Roman" w:hAnsi="Times New Roman" w:eastAsia="黑体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  <w:lang w:eastAsia="zh-CN"/>
        </w:rPr>
        <w:t>附：补充报表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 w:eastAsia="黑体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>18</w:t>
      </w:r>
    </w:p>
    <w:p>
      <w:pPr>
        <w:pStyle w:val="15"/>
        <w:tabs>
          <w:tab w:val="right" w:leader="dot" w:pos="8296"/>
        </w:tabs>
        <w:spacing w:line="520" w:lineRule="exact"/>
        <w:ind w:left="0" w:firstLine="240" w:firstLineChars="100"/>
        <w:rPr>
          <w:rFonts w:hint="default" w:ascii="Times New Roman" w:hAnsi="Times New Roman" w:eastAsia="黑体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黑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sectPr>
          <w:headerReference r:id="rId5" w:type="default"/>
          <w:footerReference r:id="rId6" w:type="default"/>
          <w:pgSz w:w="11906" w:h="16838"/>
          <w:pgMar w:top="1701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line="560" w:lineRule="exact"/>
        <w:jc w:val="center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黑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导 </w:t>
      </w: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言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根据预算法第九十七条规定，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省（市、县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/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区）财政厅（局） </w:t>
      </w:r>
    </w:p>
    <w:p>
      <w:pPr>
        <w:keepNext w:val="0"/>
        <w:keepLines w:val="0"/>
        <w:widowControl/>
        <w:suppressLineNumbers w:val="0"/>
        <w:spacing w:line="560" w:lineRule="exact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组织编制了《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年度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政府综合财务报告》（以下简称《报告》）。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……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，简要情况如下： 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（一）《报告》编制基本情况</w:t>
      </w:r>
      <w:r>
        <w:rPr>
          <w:rFonts w:hint="eastAsia"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概述编制依据、编制基础、主要内容、合并范围、合并方法等。</w:t>
      </w:r>
    </w:p>
    <w:p>
      <w:pPr>
        <w:keepNext w:val="0"/>
        <w:keepLines w:val="0"/>
        <w:widowControl/>
        <w:suppressLineNumbers w:val="0"/>
        <w:spacing w:line="560" w:lineRule="exact"/>
        <w:ind w:left="600" w:leftChars="200" w:firstLine="0" w:firstLineChars="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（二）政府财务状况和运行简况</w:t>
      </w:r>
      <w:r>
        <w:rPr>
          <w:rFonts w:hint="eastAsia"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560" w:lineRule="exact"/>
        <w:ind w:firstLine="602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资产负债情况。 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年末政府资产总额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元、负债总额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元、净资产总额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元。资产负债率为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 %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，较上年增长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/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下降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个百分点，表明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……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0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1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政府资产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简要说明主要资产金额、占比以及变化情况等。 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2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）政府负债</w:t>
      </w: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简要说明主要负债金额、占比以及变化情况等。 </w:t>
      </w:r>
    </w:p>
    <w:p>
      <w:pPr>
        <w:keepNext w:val="0"/>
        <w:keepLines w:val="0"/>
        <w:widowControl/>
        <w:suppressLineNumbers w:val="0"/>
        <w:spacing w:line="560" w:lineRule="exact"/>
        <w:ind w:firstLine="602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2.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收入费用情况。 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年度政府收入总额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元，费用总额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 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元，收入费用相抵后本年盈余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元。收入费用率为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××%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，较上年增长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/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下降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个百分点，表明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……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1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）政府收入</w:t>
      </w: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简要说明主要收入金额、占比以及变化情况等。 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2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）政府费用</w:t>
      </w: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简要说明主要费用金额、占比以及变化情况等。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与决算收支的差异。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简要说明《报告》反映的收入费用与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财政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决算反映的收入支出的主要差异情况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9"/>
        <w:spacing w:after="0" w:line="560" w:lineRule="exac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pacing w:before="0" w:beforeLines="0" w:after="0" w:afterLines="0" w:line="560" w:lineRule="exact"/>
        <w:ind w:firstLine="600" w:firstLineChars="200"/>
        <w:jc w:val="both"/>
        <w:rPr>
          <w:rFonts w:ascii="Times New Roman" w:hAnsi="Times New Roman" w:eastAsia="黑体" w:cs="Times New Roman"/>
          <w:b w:val="0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  <w:highlight w:val="none"/>
        </w:rPr>
        <w:t>一、政府综合财务报表</w:t>
      </w:r>
    </w:p>
    <w:p>
      <w:pPr>
        <w:pStyle w:val="5"/>
        <w:widowControl/>
        <w:spacing w:beforeLines="0" w:afterLines="0" w:line="560" w:lineRule="exact"/>
        <w:ind w:firstLine="600" w:firstLineChars="200"/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</w:rPr>
        <w:t>（一）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eastAsia="zh-CN"/>
        </w:rPr>
        <w:t>政府综合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</w:rPr>
        <w:t>会计报表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eastAsia="zh-CN"/>
        </w:rPr>
        <w:t>。</w:t>
      </w:r>
    </w:p>
    <w:p>
      <w:pPr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0"/>
          <w:highlight w:val="none"/>
        </w:rPr>
        <w:t>表1</w:t>
      </w:r>
    </w:p>
    <w:tbl>
      <w:tblPr>
        <w:tblStyle w:val="18"/>
        <w:tblW w:w="91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2"/>
        <w:gridCol w:w="1027"/>
        <w:gridCol w:w="2305"/>
        <w:gridCol w:w="24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1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</w:rPr>
              <w:t>资产负债表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1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编制单位：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附注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流动资产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货币资金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短期投资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应收非税收入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应收及预付款项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应收股利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应收利息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存货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一年内到期的非流动资产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其他流动资产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非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流动资产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长期投资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附表4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应收转贷款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固定资产净值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在建工程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无形资产净值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研发支出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公共基础设施净值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政府储备物资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9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文物资源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保障性住房净值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其他非流动资产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受托代理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资产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资产合计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2"/>
          <w:sz w:val="30"/>
          <w:highlight w:val="none"/>
        </w:rPr>
      </w:pPr>
    </w:p>
    <w:tbl>
      <w:tblPr>
        <w:tblStyle w:val="18"/>
        <w:tblW w:w="9060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36"/>
        <w:gridCol w:w="1086"/>
        <w:gridCol w:w="2295"/>
        <w:gridCol w:w="2343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highlight w:val="none"/>
              </w:rPr>
              <w:t>表1-续表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</w:rPr>
              <w:t>资产负债表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编制单位：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附注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流动负债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应付短期政府债券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短期借款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应付职工薪酬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应付及预收款项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应付政府补贴款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应付利息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一年内到期的非流动负债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其他流动负债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非流动负债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应付长期政府债券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应付转贷款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长期借款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长期应付款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其他非流动负债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受托代理负债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负债合计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净资产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负债及净资产合计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0"/>
          <w:highlight w:val="none"/>
        </w:rPr>
        <w:br w:type="page"/>
      </w:r>
    </w:p>
    <w:p>
      <w:pPr>
        <w:spacing w:line="240" w:lineRule="auto"/>
        <w:jc w:val="left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0"/>
          <w:highlight w:val="none"/>
        </w:rPr>
        <w:t>表2</w:t>
      </w:r>
    </w:p>
    <w:p>
      <w:pPr>
        <w:jc w:val="center"/>
        <w:rPr>
          <w:rFonts w:ascii="Times New Roman" w:hAnsi="Times New Roman" w:cs="Times New Roman"/>
          <w:color w:val="auto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收入费用表</w:t>
      </w:r>
    </w:p>
    <w:tbl>
      <w:tblPr>
        <w:tblStyle w:val="18"/>
        <w:tblW w:w="90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96"/>
        <w:gridCol w:w="1282"/>
        <w:gridCol w:w="795"/>
        <w:gridCol w:w="1252"/>
        <w:gridCol w:w="21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编制单位：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5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附注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本年数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上年数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税收收入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非税收入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事业收入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经营收入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投资收益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政府间转移性收入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16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其他收入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收入合计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工资福利费用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商品和服务费用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对个人和家庭的补助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对企业补助费用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对社会保障基金补助费用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政府间转移性费用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17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固定资产折旧费用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无形资产摊销费用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公共基础设施折旧（摊销）费用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保障性住房折旧费用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资产处置费用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财务费用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其他费用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5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费用合计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5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本年盈余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p>
      <w:pPr>
        <w:numPr>
          <w:ilvl w:val="0"/>
          <w:numId w:val="0"/>
        </w:numPr>
        <w:ind w:firstLine="600" w:firstLineChars="200"/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</w:pPr>
    </w:p>
    <w:p>
      <w:pPr>
        <w:numPr>
          <w:ilvl w:val="0"/>
          <w:numId w:val="0"/>
        </w:numPr>
        <w:ind w:firstLine="600" w:firstLineChars="200"/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</w:pPr>
    </w:p>
    <w:p>
      <w:pPr>
        <w:numPr>
          <w:ilvl w:val="0"/>
          <w:numId w:val="0"/>
        </w:numPr>
        <w:ind w:firstLine="600" w:firstLineChars="200"/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</w:pP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Times New Roman" w:hAnsi="Times New Roman" w:eastAsia="楷体_GB2312"/>
          <w:bCs/>
          <w:color w:val="auto"/>
          <w:kern w:val="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  <w:t>（二）政府</w:t>
      </w:r>
      <w:r>
        <w:rPr>
          <w:rFonts w:hint="eastAsia" w:ascii="Times New Roman" w:hAnsi="Times New Roman" w:eastAsia="楷体_GB2312"/>
          <w:bCs/>
          <w:color w:val="auto"/>
          <w:kern w:val="2"/>
          <w:szCs w:val="32"/>
          <w:highlight w:val="none"/>
          <w:lang w:eastAsia="zh-CN"/>
        </w:rPr>
        <w:t>综合</w:t>
      </w:r>
      <w:r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  <w:t>会计报表附注</w:t>
      </w:r>
      <w:r>
        <w:rPr>
          <w:rFonts w:hint="eastAsia" w:ascii="Times New Roman" w:hAnsi="Times New Roman" w:eastAsia="楷体_GB2312"/>
          <w:bCs/>
          <w:color w:val="auto"/>
          <w:kern w:val="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/>
        <w:rPr>
          <w:rFonts w:hint="default" w:ascii="Times New Roman" w:hAnsi="Times New Roman"/>
          <w:b/>
          <w:bCs/>
          <w:color w:val="auto"/>
          <w:szCs w:val="30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1.会计报表编制基础。（略）</w:t>
      </w:r>
    </w:p>
    <w:p>
      <w:pPr>
        <w:spacing w:line="560" w:lineRule="exact"/>
        <w:ind w:firstLine="640"/>
        <w:rPr>
          <w:rFonts w:hint="default" w:ascii="Times New Roman" w:hAnsi="Times New Roman"/>
          <w:b/>
          <w:bCs/>
          <w:color w:val="auto"/>
          <w:szCs w:val="30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2.遵循相关制度规定的声明。（略）</w:t>
      </w:r>
    </w:p>
    <w:p>
      <w:pPr>
        <w:spacing w:line="560" w:lineRule="exact"/>
        <w:ind w:firstLine="640"/>
        <w:rPr>
          <w:rFonts w:hint="default" w:ascii="Times New Roman" w:hAnsi="Times New Roman"/>
          <w:b/>
          <w:bCs/>
          <w:color w:val="auto"/>
          <w:szCs w:val="30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3.</w:t>
      </w:r>
      <w:r>
        <w:rPr>
          <w:rFonts w:hint="eastAsia" w:ascii="Times New Roman" w:hAnsi="Times New Roman"/>
          <w:b/>
          <w:bCs/>
          <w:color w:val="auto"/>
          <w:szCs w:val="30"/>
          <w:highlight w:val="none"/>
          <w:lang w:eastAsia="zh-CN"/>
        </w:rPr>
        <w:t>会计报表的合并</w:t>
      </w: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范围。</w:t>
      </w:r>
    </w:p>
    <w:p>
      <w:pPr>
        <w:pStyle w:val="9"/>
        <w:spacing w:after="0" w:line="560" w:lineRule="exact"/>
        <w:ind w:left="0" w:leftChars="0" w:firstLine="600" w:firstLineChars="200"/>
        <w:rPr>
          <w:rFonts w:hint="eastAsia" w:ascii="Times New Roman" w:hAnsi="Times New Roman" w:eastAsia="仿宋_GB2312"/>
          <w:b/>
          <w:bCs/>
          <w:color w:val="auto"/>
          <w:szCs w:val="30"/>
          <w:highlight w:val="none"/>
          <w:lang w:eastAsia="zh-CN"/>
        </w:rPr>
      </w:pPr>
      <w:r>
        <w:rPr>
          <w:rFonts w:hint="default" w:ascii="Times New Roman" w:hAnsi="Times New Roman"/>
          <w:color w:val="auto"/>
          <w:szCs w:val="30"/>
          <w:highlight w:val="none"/>
        </w:rPr>
        <w:t>纳入政府综合财务报告编报范围的</w:t>
      </w:r>
      <w:r>
        <w:rPr>
          <w:rFonts w:hint="default" w:ascii="Times New Roman" w:hAnsi="Times New Roman"/>
          <w:color w:val="auto"/>
          <w:szCs w:val="30"/>
          <w:highlight w:val="none"/>
          <w:lang w:val="en-US" w:eastAsia="zh-CN"/>
        </w:rPr>
        <w:t>地区和</w:t>
      </w:r>
      <w:r>
        <w:rPr>
          <w:rFonts w:hint="default" w:ascii="Times New Roman" w:hAnsi="Times New Roman"/>
          <w:color w:val="auto"/>
          <w:szCs w:val="30"/>
          <w:highlight w:val="none"/>
        </w:rPr>
        <w:t>部门</w:t>
      </w:r>
      <w:r>
        <w:rPr>
          <w:rFonts w:hint="default" w:ascii="Times New Roman" w:hAnsi="Times New Roman"/>
          <w:color w:val="auto"/>
          <w:szCs w:val="30"/>
          <w:highlight w:val="none"/>
          <w:lang w:eastAsia="zh-CN"/>
        </w:rPr>
        <w:t>情况如下表。</w:t>
      </w:r>
    </w:p>
    <w:tbl>
      <w:tblPr>
        <w:tblStyle w:val="18"/>
        <w:tblW w:w="84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8"/>
        <w:gridCol w:w="2733"/>
        <w:gridCol w:w="1892"/>
        <w:gridCol w:w="26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84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>地区和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部门清单</w:t>
            </w:r>
          </w:p>
          <w:p>
            <w:pPr>
              <w:keepNext/>
              <w:keepLines/>
              <w:widowControl/>
              <w:spacing w:before="340" w:after="330" w:line="576" w:lineRule="auto"/>
              <w:jc w:val="center"/>
              <w:textAlignment w:val="bottom"/>
              <w:outlineLvl w:val="0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>地区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>部门数量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（个）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实有人数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12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"/>
              </w:rPr>
              <w:t>1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.....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exact"/>
        </w:trPr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spacing w:line="560" w:lineRule="exact"/>
        <w:ind w:firstLine="640"/>
        <w:rPr>
          <w:rFonts w:hint="default" w:ascii="Times New Roman" w:hAnsi="Times New Roman"/>
          <w:b/>
          <w:bCs/>
          <w:color w:val="auto"/>
          <w:szCs w:val="30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4.重要会计政策与会计估计变更情况。（略）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602" w:firstLineChars="0"/>
        <w:textAlignment w:val="auto"/>
        <w:rPr>
          <w:rFonts w:hint="eastAsia" w:ascii="Times New Roman" w:hAnsi="Times New Roman"/>
          <w:b/>
          <w:bCs/>
          <w:color w:val="auto"/>
          <w:szCs w:val="30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szCs w:val="30"/>
          <w:highlight w:val="none"/>
          <w:lang w:val="en-US" w:eastAsia="zh-CN"/>
        </w:rPr>
        <w:t>5.会计报表重要项目明细信息及说明。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货币资金明细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表（同本级，表样略）。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）应收及预付款项明细信息如下：</w:t>
      </w:r>
    </w:p>
    <w:p>
      <w:pPr>
        <w:pStyle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Style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Style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Style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Style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Style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Style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Style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tbl>
      <w:tblPr>
        <w:tblStyle w:val="18"/>
        <w:tblW w:w="83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99"/>
        <w:gridCol w:w="2615"/>
        <w:gridCol w:w="28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-1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lef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83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应收及预付款项明细表</w:t>
            </w:r>
          </w:p>
        </w:tc>
      </w:tr>
    </w:tbl>
    <w:p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bCs/>
          <w:color w:val="auto"/>
          <w:sz w:val="20"/>
          <w:highlight w:val="none"/>
          <w:lang w:val="en-US" w:eastAsia="zh-CN"/>
        </w:rPr>
        <w:t xml:space="preserve">                                                                         </w:t>
      </w:r>
      <w:r>
        <w:rPr>
          <w:rFonts w:hint="default" w:ascii="Times New Roman" w:hAnsi="Times New Roman" w:eastAsia="宋体" w:cs="Times New Roman"/>
          <w:bCs/>
          <w:color w:val="auto"/>
          <w:sz w:val="20"/>
          <w:highlight w:val="none"/>
        </w:rPr>
        <w:t>单位：万元</w:t>
      </w:r>
    </w:p>
    <w:tbl>
      <w:tblPr>
        <w:tblStyle w:val="18"/>
        <w:tblW w:w="83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99"/>
        <w:gridCol w:w="2615"/>
        <w:gridCol w:w="28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财政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政府部门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3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312"/>
              </w:tabs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注：本表反映被合并主体抵销后的应收及预付款项金额。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ind w:left="396" w:leftChars="132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tbl>
      <w:tblPr>
        <w:tblStyle w:val="18"/>
        <w:tblW w:w="83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99"/>
        <w:gridCol w:w="2615"/>
        <w:gridCol w:w="28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lef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83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应收及预付款项明细表</w:t>
            </w:r>
          </w:p>
        </w:tc>
      </w:tr>
    </w:tbl>
    <w:p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bCs/>
          <w:color w:val="auto"/>
          <w:sz w:val="20"/>
          <w:highlight w:val="none"/>
          <w:lang w:val="en-US" w:eastAsia="zh-CN"/>
        </w:rPr>
        <w:t xml:space="preserve">                                                                         </w:t>
      </w:r>
      <w:r>
        <w:rPr>
          <w:rFonts w:hint="default" w:ascii="Times New Roman" w:hAnsi="Times New Roman" w:eastAsia="宋体" w:cs="Times New Roman"/>
          <w:bCs/>
          <w:color w:val="auto"/>
          <w:sz w:val="20"/>
          <w:highlight w:val="none"/>
        </w:rPr>
        <w:t>单位：万元</w:t>
      </w:r>
    </w:p>
    <w:tbl>
      <w:tblPr>
        <w:tblStyle w:val="18"/>
        <w:tblW w:w="83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99"/>
        <w:gridCol w:w="2615"/>
        <w:gridCol w:w="28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财政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其中：应收中央财政款项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政府部门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831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注：本表反映被合并主体抵销后的应收及预付款项金额。</w:t>
            </w:r>
          </w:p>
          <w:p>
            <w:pPr>
              <w:widowControl/>
              <w:ind w:left="0" w:firstLine="600" w:firstLineChars="200"/>
              <w:jc w:val="left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pStyle w:val="9"/>
        <w:rPr>
          <w:rFonts w:ascii="Times New Roman" w:hAnsi="Times New Roman"/>
          <w:color w:val="auto"/>
          <w:highlight w:val="none"/>
        </w:rPr>
      </w:pPr>
    </w:p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p>
      <w:pPr>
        <w:pStyle w:val="9"/>
        <w:rPr>
          <w:rFonts w:ascii="Times New Roman" w:hAnsi="Times New Roman"/>
          <w:color w:val="auto"/>
          <w:highlight w:val="none"/>
        </w:rPr>
      </w:pPr>
    </w:p>
    <w:p>
      <w:pPr>
        <w:spacing w:before="0" w:beforeLines="0" w:after="100" w:afterLines="0" w:afterAutospacing="1" w:line="588" w:lineRule="atLeas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）一年内到期的非流动资产明细信息如下：</w:t>
      </w:r>
    </w:p>
    <w:tbl>
      <w:tblPr>
        <w:tblStyle w:val="18"/>
        <w:tblpPr w:leftFromText="180" w:rightFromText="180" w:vertAnchor="text" w:horzAnchor="page" w:tblpX="1799" w:tblpY="44"/>
        <w:tblOverlap w:val="never"/>
        <w:tblW w:w="831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jc w:val="lef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一年内到期的非流动资产明细表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</w:tbl>
    <w:p>
      <w:pPr>
        <w:widowControl/>
        <w:spacing w:line="20" w:lineRule="exact"/>
        <w:jc w:val="right"/>
        <w:rPr>
          <w:rFonts w:hint="default" w:ascii="Times New Roman" w:hAnsi="Times New Roman" w:eastAsia="宋体" w:cs="Times New Roman"/>
          <w:bCs/>
          <w:color w:val="auto"/>
          <w:kern w:val="0"/>
          <w:sz w:val="20"/>
          <w:szCs w:val="20"/>
          <w:highlight w:val="none"/>
        </w:rPr>
      </w:pPr>
    </w:p>
    <w:tbl>
      <w:tblPr>
        <w:tblStyle w:val="19"/>
        <w:tblpPr w:leftFromText="180" w:rightFromText="180" w:vertAnchor="text" w:horzAnchor="page" w:tblpX="1900" w:tblpY="43"/>
        <w:tblOverlap w:val="never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197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  <w:t>主体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  <w:t>年初数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</w:trPr>
        <w:tc>
          <w:tcPr>
            <w:tcW w:w="45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财政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>其中：应收地方政府债券转贷款（1年内到期）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地区1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地区2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  ......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firstLine="10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>应收主权外债转贷款（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>年内到期）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地区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    ......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firstLine="20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政府部门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......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position w:val="-1"/>
                <w:sz w:val="20"/>
                <w:highlight w:val="none"/>
                <w:u w:val="none"/>
              </w:rPr>
              <w:t>合计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pageBreakBefore w:val="0"/>
              <w:ind w:right="15" w:rightChars="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pageBreakBefore w:val="0"/>
              <w:ind w:right="60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1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FFFFFF" w:fill="FFFFFF"/>
            <w:noWrap w:val="0"/>
            <w:vAlign w:val="top"/>
          </w:tcPr>
          <w:p>
            <w:pPr>
              <w:ind w:left="466" w:hanging="424" w:hangingChars="212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spacing w:before="0" w:beforeLines="0" w:after="100" w:afterLines="0" w:afterAutospacing="1" w:line="588" w:lineRule="atLeast"/>
        <w:ind w:firstLine="0" w:firstLineChars="0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spacing w:before="0" w:beforeLines="0" w:after="100" w:afterLines="0" w:afterAutospacing="1" w:line="588" w:lineRule="atLeast"/>
        <w:ind w:firstLine="0" w:firstLineChars="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br w:type="page"/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4）长期投资及投资收益明细表如下：</w:t>
      </w:r>
    </w:p>
    <w:tbl>
      <w:tblPr>
        <w:tblStyle w:val="18"/>
        <w:tblW w:w="831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2"/>
        <w:gridCol w:w="993"/>
        <w:gridCol w:w="1134"/>
        <w:gridCol w:w="1134"/>
        <w:gridCol w:w="850"/>
        <w:gridCol w:w="851"/>
        <w:gridCol w:w="8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3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highlight w:val="none"/>
              </w:rPr>
              <w:t>表4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highlight w:val="none"/>
                <w:lang w:val="en-US" w:eastAsia="zh-CN"/>
              </w:rPr>
              <w:t>-1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长期投资及投资收益明细表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firstLine="602" w:firstLineChars="30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投资对象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长期投资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投资收益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上年数</w:t>
            </w: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股权投资</w:t>
            </w:r>
          </w:p>
        </w:tc>
        <w:tc>
          <w:tcPr>
            <w:tcW w:w="9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对企业股权投资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对投资基金股权投资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对国际金融组织股权投资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债券投资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4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spacing w:before="156" w:beforeLines="50" w:after="156" w:afterLines="50"/>
        <w:ind w:firstLine="0"/>
        <w:jc w:val="left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</w:p>
    <w:tbl>
      <w:tblPr>
        <w:tblStyle w:val="18"/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794"/>
        <w:gridCol w:w="748"/>
        <w:gridCol w:w="789"/>
        <w:gridCol w:w="1044"/>
        <w:gridCol w:w="787"/>
        <w:gridCol w:w="787"/>
        <w:gridCol w:w="787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附表</w:t>
            </w:r>
            <w:r>
              <w:rPr>
                <w:rStyle w:val="24"/>
                <w:rFonts w:eastAsia="宋体"/>
                <w:color w:val="auto"/>
                <w:highlight w:val="none"/>
                <w:lang w:val="en-US" w:eastAsia="zh-CN" w:bidi="ar"/>
              </w:rPr>
              <w:t>4-2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长期股权投资明细表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投资对象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年初数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年末数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4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调整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其他权益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变动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调整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其他权益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对企业股权投资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对投资基金股权投资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对国际金融组织股权投资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地区1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地区2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注：</w:t>
            </w:r>
            <w:r>
              <w:rPr>
                <w:rStyle w:val="2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本表各明细项目年初数、年末数小计应分别与附表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“股权投资”相应明细项目年初数、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年末数</w:t>
            </w:r>
            <w:r>
              <w:rPr>
                <w:rStyle w:val="2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一致。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left="0" w:firstLine="60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（5）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固定资产明细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表（同本级，表样略）。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（6）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在建工程明细信息如下：</w:t>
      </w:r>
    </w:p>
    <w:tbl>
      <w:tblPr>
        <w:tblStyle w:val="18"/>
        <w:tblW w:w="829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2"/>
        <w:gridCol w:w="1527"/>
        <w:gridCol w:w="1679"/>
        <w:gridCol w:w="1831"/>
        <w:gridCol w:w="1334"/>
        <w:gridCol w:w="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  <w:t>在建工程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atLeast"/>
          <w:jc w:val="center"/>
        </w:trPr>
        <w:tc>
          <w:tcPr>
            <w:tcW w:w="1852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1527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67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831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334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土地收储项目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其他项目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highlight w:val="none"/>
              </w:rPr>
              <w:t>合计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（7）无形资产明细表（同本级，表样略）。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（8）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公共基础设施明细表（同本级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，表样略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（9）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政府储备物资明细表（同本级附表10-2政府储备物资明细表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，表样略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（10）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保障性住房明细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 xml:space="preserve">表（同本级，表样略）。  </w:t>
      </w:r>
    </w:p>
    <w:p>
      <w:pPr>
        <w:pStyle w:val="9"/>
        <w:spacing w:beforeLines="0" w:after="0" w:afterLines="0" w:line="560" w:lineRule="exact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9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tabs>
          <w:tab w:val="left" w:pos="105"/>
          <w:tab w:val="left" w:pos="420"/>
        </w:tabs>
        <w:spacing w:before="156" w:beforeLines="50" w:after="156" w:afterLines="50" w:line="240" w:lineRule="auto"/>
        <w:ind w:firstLine="60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（1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）应付及预收款项明细信息如下：</w:t>
      </w:r>
    </w:p>
    <w:tbl>
      <w:tblPr>
        <w:tblStyle w:val="18"/>
        <w:tblW w:w="822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6"/>
        <w:gridCol w:w="1033"/>
        <w:gridCol w:w="2053"/>
        <w:gridCol w:w="1457"/>
        <w:gridCol w:w="13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822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jc w:val="left"/>
              <w:outlineLvl w:val="2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1-1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822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应付及预收款项明细表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822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财政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政府部门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exact"/>
          <w:jc w:val="center"/>
        </w:trPr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822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注：本表反映被合并主体抵销后的应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付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及预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收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款项金额。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ind w:left="396" w:leftChars="132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pacing w:before="0" w:beforeLines="0" w:after="100" w:afterLines="0" w:afterAutospacing="1"/>
        <w:ind w:firstLine="0" w:firstLineChars="0"/>
        <w:rPr>
          <w:rFonts w:ascii="Times New Roman" w:hAnsi="Times New Roman" w:eastAsia="宋体" w:cs="Times New Roman"/>
          <w:color w:val="auto"/>
          <w:sz w:val="22"/>
          <w:highlight w:val="none"/>
        </w:rPr>
      </w:pPr>
    </w:p>
    <w:tbl>
      <w:tblPr>
        <w:tblStyle w:val="18"/>
        <w:tblW w:w="83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4"/>
        <w:gridCol w:w="1429"/>
        <w:gridCol w:w="1695"/>
        <w:gridCol w:w="1421"/>
        <w:gridCol w:w="14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jc w:val="left"/>
              <w:outlineLvl w:val="2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1-2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应付及预收款项明细表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4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财政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其中：应付中央财政款项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政府部门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34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exact"/>
          <w:jc w:val="center"/>
        </w:trPr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注：本表反映被合并主体抵销后的应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付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及预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收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款项金额。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afterAutospacing="0"/>
        <w:ind w:firstLine="600" w:firstLineChars="200"/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）一年内到期的非流动负债明细信息如下：</w:t>
      </w:r>
    </w:p>
    <w:tbl>
      <w:tblPr>
        <w:tblStyle w:val="18"/>
        <w:tblW w:w="83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3"/>
      </w:tblGrid>
      <w:tr>
        <w:trPr>
          <w:trHeight w:val="397" w:hRule="exact"/>
          <w:jc w:val="center"/>
        </w:trPr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pStyle w:val="23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表1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一年内到期的非流动负债明细表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</w:tbl>
    <w:p>
      <w:pPr>
        <w:widowControl/>
        <w:spacing w:line="20" w:lineRule="exact"/>
        <w:jc w:val="right"/>
        <w:rPr>
          <w:rFonts w:hint="default" w:ascii="Times New Roman" w:hAnsi="Times New Roman" w:eastAsia="宋体" w:cs="Times New Roman"/>
          <w:bCs/>
          <w:color w:val="auto"/>
          <w:kern w:val="0"/>
          <w:sz w:val="20"/>
          <w:szCs w:val="20"/>
          <w:highlight w:val="none"/>
        </w:rPr>
      </w:pPr>
    </w:p>
    <w:tbl>
      <w:tblPr>
        <w:tblStyle w:val="18"/>
        <w:tblW w:w="8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0"/>
        <w:gridCol w:w="2059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  <w:t>主体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  <w:t>年初数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  <w:tblHeader/>
          <w:jc w:val="center"/>
        </w:trPr>
        <w:tc>
          <w:tcPr>
            <w:tcW w:w="4610" w:type="dxa"/>
            <w:tcBorders>
              <w:top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2059" w:type="dxa"/>
            <w:tcBorders>
              <w:top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财政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>其中：应付长期政府债券（1年内到期）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地区1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地区2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  ......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ind w:firstLine="20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>应付地方政府债券转贷款（1年内到期）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地区1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地区2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  ......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ind w:firstLine="10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长期借款（1年内到期）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地区1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地区2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  ......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>应付主权外债转贷款（1年内到期）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地区1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地区2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         ......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ind w:firstLine="20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>政府部门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16"/>
                <w:position w:val="-1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地区1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>地区2</w:t>
            </w:r>
          </w:p>
        </w:tc>
        <w:tc>
          <w:tcPr>
            <w:tcW w:w="2059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0" w:type="dxa"/>
            <w:tcBorders>
              <w:bottom w:val="single" w:color="auto" w:sz="4" w:space="0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  <w:lang w:val="en-US" w:eastAsia="zh-CN"/>
              </w:rPr>
              <w:t xml:space="preserve">  ......</w:t>
            </w:r>
          </w:p>
        </w:tc>
        <w:tc>
          <w:tcPr>
            <w:tcW w:w="2059" w:type="dxa"/>
            <w:tcBorders>
              <w:bottom w:val="single" w:color="auto" w:sz="4" w:space="0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15" w:rightChars="5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ind w:right="60" w:rightChars="2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position w:val="-1"/>
                <w:sz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position w:val="-1"/>
                <w:sz w:val="20"/>
                <w:highlight w:val="none"/>
                <w:u w:val="none"/>
              </w:rPr>
              <w:t>合计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FFFFFF" w:fill="FFFFFF"/>
            <w:noWrap w:val="0"/>
            <w:vAlign w:val="top"/>
          </w:tcPr>
          <w:p>
            <w:pPr>
              <w:pageBreakBefore w:val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51" w:type="dxa"/>
            <w:gridSpan w:val="3"/>
            <w:tcBorders>
              <w:top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ind w:left="440" w:hanging="400" w:hanging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0" w:beforeLines="0" w:after="100" w:afterLines="0" w:afterAutospacing="1"/>
        <w:ind w:firstLine="0" w:firstLineChars="0"/>
        <w:rPr>
          <w:rFonts w:ascii="Times New Roman" w:hAnsi="Times New Roman" w:eastAsia="宋体" w:cs="Times New Roman"/>
          <w:color w:val="auto"/>
          <w:sz w:val="22"/>
          <w:highlight w:val="none"/>
        </w:rPr>
      </w:pPr>
    </w:p>
    <w:p>
      <w:pPr>
        <w:numPr>
          <w:ilvl w:val="0"/>
          <w:numId w:val="0"/>
        </w:numPr>
        <w:spacing w:before="0" w:beforeLines="0" w:after="100" w:afterLines="0" w:afterAutospacing="1"/>
        <w:ind w:firstLine="0" w:firstLineChars="0"/>
        <w:rPr>
          <w:rFonts w:ascii="Times New Roman" w:hAnsi="Times New Roman" w:eastAsia="宋体" w:cs="Times New Roman"/>
          <w:color w:val="auto"/>
          <w:sz w:val="22"/>
          <w:highlight w:val="none"/>
        </w:rPr>
      </w:pPr>
    </w:p>
    <w:p>
      <w:pPr>
        <w:pStyle w:val="9"/>
        <w:rPr>
          <w:rFonts w:ascii="Times New Roman" w:hAnsi="Times New Roman"/>
          <w:color w:val="auto"/>
          <w:highlight w:val="none"/>
        </w:rPr>
      </w:pPr>
    </w:p>
    <w:p>
      <w:pPr>
        <w:numPr>
          <w:ilvl w:val="0"/>
          <w:numId w:val="0"/>
        </w:numPr>
        <w:spacing w:before="0" w:beforeLines="0" w:after="0" w:afterLines="0" w:afterAutospacing="0" w:line="560" w:lineRule="exact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）应付长期政府债券明细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表（同本级，表样略）。</w:t>
      </w:r>
    </w:p>
    <w:p>
      <w:pPr>
        <w:numPr>
          <w:ilvl w:val="0"/>
          <w:numId w:val="0"/>
        </w:numPr>
        <w:spacing w:before="0" w:beforeLines="0" w:after="0" w:afterLines="0" w:afterAutospacing="0" w:line="560" w:lineRule="exact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）应付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转贷款明细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表（同本级，表样略）。</w:t>
      </w:r>
    </w:p>
    <w:p>
      <w:pPr>
        <w:numPr>
          <w:ilvl w:val="0"/>
          <w:numId w:val="0"/>
        </w:numPr>
        <w:spacing w:before="0" w:beforeLines="0" w:after="0" w:afterLines="0" w:afterAutospacing="0" w:line="560" w:lineRule="exact"/>
        <w:ind w:firstLine="0" w:firstLineChars="0"/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　　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）长期借款明细信息如下：</w:t>
      </w:r>
    </w:p>
    <w:tbl>
      <w:tblPr>
        <w:tblStyle w:val="18"/>
        <w:tblW w:w="83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29"/>
        <w:gridCol w:w="26"/>
        <w:gridCol w:w="2805"/>
        <w:gridCol w:w="26"/>
        <w:gridCol w:w="2805"/>
        <w:gridCol w:w="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8291" w:type="dxa"/>
            <w:gridSpan w:val="5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-1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8291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长期借款明细表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82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债务人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262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财政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2629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政府部门</w:t>
            </w:r>
          </w:p>
        </w:tc>
        <w:tc>
          <w:tcPr>
            <w:tcW w:w="283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exact"/>
          <w:jc w:val="center"/>
        </w:trPr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8291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ind w:left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本表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“其他”是指土地储备资金等资金主体。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397" w:hRule="atLeast"/>
          <w:jc w:val="center"/>
        </w:trPr>
        <w:tc>
          <w:tcPr>
            <w:tcW w:w="8291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br w:type="page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长期借款明细表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5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到期期限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－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年（不含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－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年（不含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年以上（不含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5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注：本表按照长期借款到期期限列示明细。</w:t>
            </w:r>
          </w:p>
        </w:tc>
      </w:tr>
    </w:tbl>
    <w:p>
      <w:pPr>
        <w:numPr>
          <w:ilvl w:val="0"/>
          <w:numId w:val="0"/>
        </w:numPr>
        <w:spacing w:before="0" w:beforeLines="0" w:after="100" w:afterLines="0" w:afterAutospacing="1"/>
        <w:ind w:firstLine="0" w:firstLineChars="0"/>
        <w:rPr>
          <w:rFonts w:ascii="Times New Roman" w:hAnsi="Times New Roman" w:eastAsia="宋体" w:cs="Times New Roman"/>
          <w:color w:val="auto"/>
          <w:sz w:val="22"/>
          <w:highlight w:val="none"/>
        </w:rPr>
      </w:pPr>
    </w:p>
    <w:p>
      <w:pPr>
        <w:numPr>
          <w:ilvl w:val="0"/>
          <w:numId w:val="0"/>
        </w:numPr>
        <w:spacing w:before="156" w:beforeLines="50" w:after="156" w:afterLines="50" w:afterAutospacing="0"/>
        <w:ind w:firstLine="600" w:firstLineChars="200"/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）政府间转移性收入明细信息如下：</w:t>
      </w:r>
    </w:p>
    <w:tbl>
      <w:tblPr>
        <w:tblStyle w:val="18"/>
        <w:tblW w:w="828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22"/>
        <w:gridCol w:w="2830"/>
        <w:gridCol w:w="2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政府间转移性收入明细表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来源</w:t>
            </w:r>
          </w:p>
        </w:tc>
        <w:tc>
          <w:tcPr>
            <w:tcW w:w="2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上年数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上级政府财政</w:t>
            </w:r>
          </w:p>
        </w:tc>
        <w:tc>
          <w:tcPr>
            <w:tcW w:w="28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下级政府财政</w:t>
            </w:r>
          </w:p>
        </w:tc>
        <w:tc>
          <w:tcPr>
            <w:tcW w:w="2830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省外政府财政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283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7" w:hRule="exact"/>
          <w:jc w:val="center"/>
        </w:trPr>
        <w:tc>
          <w:tcPr>
            <w:tcW w:w="82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/>
              <w:keepLines/>
              <w:widowControl/>
              <w:spacing w:before="0" w:after="0" w:line="220" w:lineRule="exact"/>
              <w:jc w:val="both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：本表按照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政府间转移性收入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对象列示明细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afterAutospacing="0"/>
        <w:ind w:firstLine="600" w:firstLineChars="200"/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政府间转移性费用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明细信息如下：</w:t>
      </w:r>
    </w:p>
    <w:tbl>
      <w:tblPr>
        <w:tblStyle w:val="18"/>
        <w:tblW w:w="835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0"/>
        <w:gridCol w:w="2830"/>
        <w:gridCol w:w="2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  <w:t>政府间转移性费用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对象</w:t>
            </w:r>
          </w:p>
        </w:tc>
        <w:tc>
          <w:tcPr>
            <w:tcW w:w="2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上年数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上级政府财政</w:t>
            </w:r>
          </w:p>
        </w:tc>
        <w:tc>
          <w:tcPr>
            <w:tcW w:w="28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下级政府财政</w:t>
            </w:r>
          </w:p>
        </w:tc>
        <w:tc>
          <w:tcPr>
            <w:tcW w:w="2830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省外政府财政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left="400" w:hanging="400" w:hanging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：本表按照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政府间转移性费用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对象列示明细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widowControl/>
              <w:ind w:left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pStyle w:val="9"/>
        <w:ind w:left="0" w:left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ind w:left="0" w:left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spacing w:beforeLines="0" w:after="0" w:afterLines="0" w:line="560" w:lineRule="exact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16"/>
          <w:sz w:val="30"/>
          <w:szCs w:val="30"/>
          <w:highlight w:val="none"/>
          <w:lang w:val="en-US" w:eastAsia="zh-CN" w:bidi="ar-SA"/>
        </w:rPr>
        <w:t>6.需要说明的其他事项</w:t>
      </w:r>
      <w:r>
        <w:rPr>
          <w:rFonts w:hint="eastAsia" w:ascii="Times New Roman" w:hAnsi="Times New Roman" w:cs="Times New Roman"/>
          <w:b/>
          <w:bCs/>
          <w:color w:val="auto"/>
          <w:kern w:val="16"/>
          <w:sz w:val="30"/>
          <w:szCs w:val="30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before="0" w:beforeLines="0" w:after="0" w:afterLines="0" w:line="560" w:lineRule="exac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）政府社保基金情况。可采用文字及表格结合的方式进行说明，表样如下：</w:t>
      </w:r>
    </w:p>
    <w:tbl>
      <w:tblPr>
        <w:tblStyle w:val="18"/>
        <w:tblW w:w="83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6"/>
        <w:gridCol w:w="1446"/>
        <w:gridCol w:w="1446"/>
        <w:gridCol w:w="1446"/>
        <w:gridCol w:w="14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342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××年度社保基金情况表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34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     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社保基金种类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上年累计结余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本年收入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本年支出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本年累计结余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企业职工基本养老保险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基金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城乡居民基本养老保险基金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502"/>
              </w:tabs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机关事业单位基本养老保险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基金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职工基本医疗保险基金（含生育保险）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城乡居民基本医疗保险基金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工伤保险基金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失业保险基金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55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政府社保基金专户资金余额（年末存款余额）为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××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）资产负债表日后重大事项。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）政府部门管理的公共基础设施、文物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资源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、保障性住房、自然资源资产等重要资产的种类和实物量等相关信息。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）在建工程中土地收储项目及面积等情况。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）政府债务限额及余额情况。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截至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年末，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政府债务限额为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亿元，政府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债务余额为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亿元，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控制在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限额之内。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）或有事项。披露政府或有事项的事由和金额，如担保事项、未决诉讼或仲裁、承诺（补贴、代偿）、救助等，若无法预计金额应说明理由。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资产负债表项目年初数调整情况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其他未在会计报表中列示但对政府财务状况有重大影响的事项。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Cs w:val="0"/>
          <w:color w:val="auto"/>
          <w:sz w:val="30"/>
          <w:szCs w:val="30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0"/>
          <w:szCs w:val="30"/>
          <w:highlight w:val="none"/>
          <w:lang w:val="en"/>
        </w:rPr>
        <w:t>二、政府财政经济分析</w:t>
      </w:r>
    </w:p>
    <w:p>
      <w:pPr>
        <w:spacing w:line="560" w:lineRule="exact"/>
        <w:ind w:firstLine="600" w:firstLineChars="200"/>
        <w:jc w:val="both"/>
        <w:rPr>
          <w:rFonts w:hint="default" w:ascii="Times New Roman" w:hAnsi="Times New Roman" w:eastAsia="楷体_GB2312" w:cs="Times New Roman"/>
          <w:bCs/>
          <w:color w:val="auto"/>
          <w:kern w:val="2"/>
          <w:sz w:val="30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0"/>
          <w:szCs w:val="32"/>
          <w:highlight w:val="none"/>
          <w:lang w:val="en" w:eastAsia="zh-CN"/>
        </w:rPr>
        <w:t>（一）政府财务状况分析。（略）</w:t>
      </w:r>
    </w:p>
    <w:p>
      <w:pPr>
        <w:spacing w:line="560" w:lineRule="exact"/>
        <w:ind w:firstLine="600" w:firstLineChars="200"/>
        <w:jc w:val="both"/>
        <w:rPr>
          <w:rFonts w:hint="default" w:ascii="Times New Roman" w:hAnsi="Times New Roman" w:eastAsia="楷体_GB2312" w:cs="Times New Roman"/>
          <w:bCs/>
          <w:color w:val="auto"/>
          <w:kern w:val="2"/>
          <w:sz w:val="30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0"/>
          <w:szCs w:val="32"/>
          <w:highlight w:val="none"/>
          <w:lang w:val="en" w:eastAsia="zh-CN"/>
        </w:rPr>
        <w:t>（二）政府运行情况分析。（略）</w:t>
      </w:r>
    </w:p>
    <w:p>
      <w:pPr>
        <w:spacing w:line="560" w:lineRule="exact"/>
        <w:ind w:firstLine="600" w:firstLineChars="200"/>
        <w:jc w:val="both"/>
        <w:rPr>
          <w:rFonts w:hint="default" w:ascii="Times New Roman" w:hAnsi="Times New Roman" w:eastAsia="楷体_GB2312" w:cs="Times New Roman"/>
          <w:bCs/>
          <w:color w:val="auto"/>
          <w:kern w:val="2"/>
          <w:sz w:val="30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0"/>
          <w:szCs w:val="32"/>
          <w:highlight w:val="none"/>
          <w:lang w:val="en" w:eastAsia="zh-CN"/>
        </w:rPr>
        <w:t>（三）财政中长期可持续性分析。（略）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Cs w:val="0"/>
          <w:color w:val="auto"/>
          <w:sz w:val="30"/>
          <w:szCs w:val="30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0"/>
          <w:szCs w:val="30"/>
          <w:highlight w:val="none"/>
          <w:lang w:val="en"/>
        </w:rPr>
        <w:t>三、政府财政财务管理情况</w:t>
      </w:r>
    </w:p>
    <w:p>
      <w:pPr>
        <w:spacing w:line="560" w:lineRule="exact"/>
        <w:ind w:firstLine="600" w:firstLineChars="200"/>
        <w:jc w:val="both"/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0"/>
          <w:szCs w:val="32"/>
          <w:highlight w:val="none"/>
          <w:lang w:val="en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政府预算管理情况。（略）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政府资产负债管理情况。（略）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（三）政府收支管理情况。（略）</w:t>
      </w:r>
    </w:p>
    <w:p>
      <w:pPr>
        <w:pStyle w:val="22"/>
        <w:spacing w:line="560" w:lineRule="exact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spacing w:line="560" w:lineRule="exact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spacing w:line="560" w:lineRule="exact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spacing w:line="560" w:lineRule="exact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22"/>
        <w:widowControl w:val="0"/>
        <w:spacing w:line="560" w:lineRule="exact"/>
        <w:ind w:firstLine="60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附：补充报表</w:t>
      </w:r>
    </w:p>
    <w:p>
      <w:pPr>
        <w:keepNext w:val="0"/>
        <w:keepLines w:val="0"/>
        <w:numPr>
          <w:ilvl w:val="0"/>
          <w:numId w:val="0"/>
        </w:numPr>
        <w:spacing w:line="560" w:lineRule="exact"/>
        <w:ind w:firstLine="600" w:firstLineChars="200"/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省级及以下财政拨付给中央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部门</w:t>
      </w:r>
      <w:r>
        <w:rPr>
          <w:rFonts w:hint="eastAsia" w:ascii="Times New Roman" w:hAnsi="Times New Roman" w:eastAsia="仿宋_GB2312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的相关费用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明细表（同本级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，表样略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）。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/>
          <w:color w:val="auto"/>
          <w:highlight w:val="none"/>
          <w:lang w:val="en" w:eastAsia="zh-CN"/>
        </w:rPr>
      </w:pPr>
      <w:r>
        <w:rPr>
          <w:rFonts w:hint="default" w:ascii="Times New Roman" w:hAnsi="Times New Roman"/>
          <w:color w:val="auto"/>
          <w:highlight w:val="none"/>
          <w:lang w:val="en" w:eastAsia="zh-CN"/>
        </w:rPr>
        <w:t>2.应付工程款情况表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（同本级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，表样略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）。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/>
          <w:color w:val="auto"/>
          <w:highlight w:val="none"/>
          <w:lang w:val="en" w:eastAsia="zh-CN"/>
        </w:rPr>
      </w:pPr>
      <w:r>
        <w:rPr>
          <w:rFonts w:hint="default" w:ascii="Times New Roman" w:hAnsi="Times New Roman"/>
          <w:color w:val="auto"/>
          <w:highlight w:val="none"/>
          <w:lang w:val="en" w:eastAsia="zh-CN"/>
        </w:rPr>
        <w:t>3.行政事业单位资产负债汇总表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（同本级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，表样略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）。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i w:val="0"/>
          <w:color w:val="auto"/>
          <w:kern w:val="16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/>
          <w:color w:val="auto"/>
          <w:highlight w:val="none"/>
          <w:lang w:val="en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color w:val="auto"/>
          <w:kern w:val="16"/>
          <w:sz w:val="30"/>
          <w:szCs w:val="30"/>
          <w:highlight w:val="none"/>
          <w:u w:val="none"/>
          <w:lang w:val="en-US" w:eastAsia="zh-CN" w:bidi="ar"/>
        </w:rPr>
        <w:t>行政事业单位收入费用汇总表</w:t>
      </w:r>
      <w:r>
        <w:rPr>
          <w:rFonts w:hint="default" w:ascii="Times New Roman" w:hAnsi="Times New Roman" w:eastAsia="仿宋_GB2312" w:cs="Times New Roman"/>
          <w:i w:val="0"/>
          <w:color w:val="auto"/>
          <w:kern w:val="16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（同本级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，表样略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）。</w:t>
      </w:r>
    </w:p>
    <w:p>
      <w:pPr>
        <w:keepNext w:val="0"/>
        <w:keepLines w:val="0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i w:val="0"/>
          <w:color w:val="auto"/>
          <w:kern w:val="16"/>
          <w:sz w:val="32"/>
          <w:szCs w:val="32"/>
          <w:highlight w:val="none"/>
          <w:u w:val="none"/>
          <w:lang w:val="en" w:eastAsia="zh-CN" w:bidi="ar"/>
        </w:rPr>
        <w:t>5.</w:t>
      </w:r>
      <w:r>
        <w:rPr>
          <w:rFonts w:hint="default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行政事业单位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本年预算结余与盈余调节</w:t>
      </w:r>
      <w:r>
        <w:rPr>
          <w:rFonts w:hint="default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表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（同本级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，表样略</w:t>
      </w:r>
      <w:r>
        <w:rPr>
          <w:rFonts w:hint="eastAsia" w:ascii="Times New Roman" w:hAnsi="Times New Roman" w:cs="Times New Roman"/>
          <w:b w:val="0"/>
          <w:color w:val="auto"/>
          <w:kern w:val="16"/>
          <w:sz w:val="30"/>
          <w:szCs w:val="30"/>
          <w:highlight w:val="none"/>
          <w:lang w:val="en-US" w:eastAsia="zh-CN" w:bidi="ar-SA"/>
        </w:rPr>
        <w:t>）。</w:t>
      </w:r>
    </w:p>
    <w:p>
      <w:pPr>
        <w:spacing w:line="560" w:lineRule="exact"/>
        <w:rPr>
          <w:rFonts w:ascii="Times New Roman" w:hAnsi="Times New Roman"/>
          <w:color w:val="auto"/>
          <w:highlight w:val="none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5263D-352E-4A09-8703-D267930CA4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9466F1-BC21-4599-9DD5-59CB1D82E85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54FE9E0C-53B2-401D-9479-C6358934CD4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BA0F24-17C5-471F-BCB7-40FF09363D2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C2C82385-0055-4E4D-AF1C-D131960FA12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6" w:fontKey="{7E9122F9-AB6D-41B5-91B4-41D1B83E47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4"/>
        <w:snapToGrid w:val="0"/>
      </w:pPr>
      <w:r>
        <w:rPr>
          <w:rStyle w:val="21"/>
        </w:rPr>
        <w:footnoteRef/>
      </w:r>
      <w:r>
        <w:t xml:space="preserve"> </w:t>
      </w:r>
      <w:r>
        <w:rPr>
          <w:rFonts w:hint="eastAsia"/>
        </w:rPr>
        <w:t>*为新增调整内容。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IwNWYzMmRkZDIxM2RlODhhMmVkNDZlMWYzZDgifQ=="/>
  </w:docVars>
  <w:rsids>
    <w:rsidRoot w:val="14E87316"/>
    <w:rsid w:val="030D3D4D"/>
    <w:rsid w:val="043776D3"/>
    <w:rsid w:val="0935490D"/>
    <w:rsid w:val="09986E41"/>
    <w:rsid w:val="0C55046C"/>
    <w:rsid w:val="0C912D93"/>
    <w:rsid w:val="0D65616A"/>
    <w:rsid w:val="0FA364D6"/>
    <w:rsid w:val="101B7BDE"/>
    <w:rsid w:val="10524016"/>
    <w:rsid w:val="11E34C3C"/>
    <w:rsid w:val="12C341DC"/>
    <w:rsid w:val="12DA680C"/>
    <w:rsid w:val="143956C9"/>
    <w:rsid w:val="14E87316"/>
    <w:rsid w:val="1C6B40F0"/>
    <w:rsid w:val="1F7D9C11"/>
    <w:rsid w:val="1FD3C3EA"/>
    <w:rsid w:val="1FEEF35D"/>
    <w:rsid w:val="1FF09013"/>
    <w:rsid w:val="237C5909"/>
    <w:rsid w:val="24AE1C5F"/>
    <w:rsid w:val="2971060D"/>
    <w:rsid w:val="299A1D6F"/>
    <w:rsid w:val="2AE10702"/>
    <w:rsid w:val="2BB79C27"/>
    <w:rsid w:val="2BB7C8A1"/>
    <w:rsid w:val="2BDF66DC"/>
    <w:rsid w:val="2BFE0BF9"/>
    <w:rsid w:val="2ECF44A2"/>
    <w:rsid w:val="2F7FAB71"/>
    <w:rsid w:val="2F8A4B5D"/>
    <w:rsid w:val="307A0735"/>
    <w:rsid w:val="32C23622"/>
    <w:rsid w:val="32C53ECF"/>
    <w:rsid w:val="371B7BB3"/>
    <w:rsid w:val="3B2375E2"/>
    <w:rsid w:val="3BAC038C"/>
    <w:rsid w:val="3BFEC37E"/>
    <w:rsid w:val="3C0D0383"/>
    <w:rsid w:val="3D0729EE"/>
    <w:rsid w:val="3D9AF658"/>
    <w:rsid w:val="3DA834F2"/>
    <w:rsid w:val="3DE45F7C"/>
    <w:rsid w:val="3EE6168C"/>
    <w:rsid w:val="3EEA774F"/>
    <w:rsid w:val="3F7FE8F6"/>
    <w:rsid w:val="3FED6A43"/>
    <w:rsid w:val="3FFDA662"/>
    <w:rsid w:val="3FFE28BC"/>
    <w:rsid w:val="44010E1F"/>
    <w:rsid w:val="45F14432"/>
    <w:rsid w:val="462F036D"/>
    <w:rsid w:val="46FD9BE0"/>
    <w:rsid w:val="479D37F8"/>
    <w:rsid w:val="47FF720F"/>
    <w:rsid w:val="48B91553"/>
    <w:rsid w:val="4B773D97"/>
    <w:rsid w:val="4DB5C0D2"/>
    <w:rsid w:val="4E947E82"/>
    <w:rsid w:val="4F93B54D"/>
    <w:rsid w:val="4FAA4009"/>
    <w:rsid w:val="4FE3496E"/>
    <w:rsid w:val="500465A2"/>
    <w:rsid w:val="50EFB1E2"/>
    <w:rsid w:val="55699D60"/>
    <w:rsid w:val="5604091D"/>
    <w:rsid w:val="56FDFE39"/>
    <w:rsid w:val="572FF293"/>
    <w:rsid w:val="5743705B"/>
    <w:rsid w:val="57B27F05"/>
    <w:rsid w:val="583C3854"/>
    <w:rsid w:val="59B20DEF"/>
    <w:rsid w:val="59FECD8C"/>
    <w:rsid w:val="5A287B6D"/>
    <w:rsid w:val="5AB59777"/>
    <w:rsid w:val="5BF2951C"/>
    <w:rsid w:val="5D0F05EB"/>
    <w:rsid w:val="5ED52C39"/>
    <w:rsid w:val="5F1FD70E"/>
    <w:rsid w:val="5F2D70A4"/>
    <w:rsid w:val="5F55EC1B"/>
    <w:rsid w:val="5FBF21E7"/>
    <w:rsid w:val="5FFF198B"/>
    <w:rsid w:val="5FFFB83D"/>
    <w:rsid w:val="603B53B7"/>
    <w:rsid w:val="60813B08"/>
    <w:rsid w:val="621B29B0"/>
    <w:rsid w:val="629C1BC1"/>
    <w:rsid w:val="639279BA"/>
    <w:rsid w:val="63EF0682"/>
    <w:rsid w:val="65FF8085"/>
    <w:rsid w:val="675EA0BE"/>
    <w:rsid w:val="67EB2DAA"/>
    <w:rsid w:val="67FABE5D"/>
    <w:rsid w:val="67FFF5F1"/>
    <w:rsid w:val="6A011B25"/>
    <w:rsid w:val="6ABF77E3"/>
    <w:rsid w:val="6BE77635"/>
    <w:rsid w:val="6CAB5CCB"/>
    <w:rsid w:val="6CF52167"/>
    <w:rsid w:val="6D3EBF2C"/>
    <w:rsid w:val="6D5F87F5"/>
    <w:rsid w:val="6D7DE37B"/>
    <w:rsid w:val="6DB2E57D"/>
    <w:rsid w:val="6DBF48D0"/>
    <w:rsid w:val="6E787A61"/>
    <w:rsid w:val="6EFE57B7"/>
    <w:rsid w:val="6F7F508A"/>
    <w:rsid w:val="6FEBDC17"/>
    <w:rsid w:val="6FEBF286"/>
    <w:rsid w:val="6FFFCDCC"/>
    <w:rsid w:val="71FBD1FC"/>
    <w:rsid w:val="71FD5952"/>
    <w:rsid w:val="727447AC"/>
    <w:rsid w:val="745D14CD"/>
    <w:rsid w:val="74F1A28E"/>
    <w:rsid w:val="74F7156C"/>
    <w:rsid w:val="751D0C5C"/>
    <w:rsid w:val="773AC2FA"/>
    <w:rsid w:val="775FC53C"/>
    <w:rsid w:val="77DFA678"/>
    <w:rsid w:val="77FE6297"/>
    <w:rsid w:val="78F9488B"/>
    <w:rsid w:val="79BF21A7"/>
    <w:rsid w:val="79CF7DB6"/>
    <w:rsid w:val="7A7D6B4A"/>
    <w:rsid w:val="7ABFCB19"/>
    <w:rsid w:val="7B1ED0B3"/>
    <w:rsid w:val="7BCDABE6"/>
    <w:rsid w:val="7BDF0FAA"/>
    <w:rsid w:val="7BDF40CF"/>
    <w:rsid w:val="7BFF36F6"/>
    <w:rsid w:val="7C3764C3"/>
    <w:rsid w:val="7C6A97BA"/>
    <w:rsid w:val="7CEA3F03"/>
    <w:rsid w:val="7CFB8A5F"/>
    <w:rsid w:val="7CFFDC4E"/>
    <w:rsid w:val="7D63CA8C"/>
    <w:rsid w:val="7D7A87CE"/>
    <w:rsid w:val="7DF784E4"/>
    <w:rsid w:val="7DFC31A4"/>
    <w:rsid w:val="7E8ADF6D"/>
    <w:rsid w:val="7EA7A4B3"/>
    <w:rsid w:val="7EF4F622"/>
    <w:rsid w:val="7EFD3A91"/>
    <w:rsid w:val="7EFDC939"/>
    <w:rsid w:val="7EFF3ABD"/>
    <w:rsid w:val="7F19BBE0"/>
    <w:rsid w:val="7F545BE6"/>
    <w:rsid w:val="7F674E70"/>
    <w:rsid w:val="7F6F1B89"/>
    <w:rsid w:val="7F76194A"/>
    <w:rsid w:val="7F9D4D05"/>
    <w:rsid w:val="7FAFCD64"/>
    <w:rsid w:val="7FBFC84B"/>
    <w:rsid w:val="7FC94471"/>
    <w:rsid w:val="7FDF17BF"/>
    <w:rsid w:val="7FF39D61"/>
    <w:rsid w:val="7FF7A82C"/>
    <w:rsid w:val="7FFB7A09"/>
    <w:rsid w:val="7FFF1B8D"/>
    <w:rsid w:val="7FFFF29B"/>
    <w:rsid w:val="8CFEF011"/>
    <w:rsid w:val="93DB5A5E"/>
    <w:rsid w:val="96EF729E"/>
    <w:rsid w:val="9BFB9591"/>
    <w:rsid w:val="A6CFFE9A"/>
    <w:rsid w:val="A7FB7947"/>
    <w:rsid w:val="B3F755E5"/>
    <w:rsid w:val="B57F66E6"/>
    <w:rsid w:val="B9DF1083"/>
    <w:rsid w:val="BAFF063F"/>
    <w:rsid w:val="BBF38BF7"/>
    <w:rsid w:val="BCDD3B58"/>
    <w:rsid w:val="BFB75C5A"/>
    <w:rsid w:val="BFBDEA81"/>
    <w:rsid w:val="BFD5FEF2"/>
    <w:rsid w:val="BFDA1A9C"/>
    <w:rsid w:val="BFEC5CAB"/>
    <w:rsid w:val="C77B998A"/>
    <w:rsid w:val="CFFF5F1C"/>
    <w:rsid w:val="D3F67BD6"/>
    <w:rsid w:val="D5FDCA05"/>
    <w:rsid w:val="D7677E26"/>
    <w:rsid w:val="D7FEB9E3"/>
    <w:rsid w:val="DB9EDEC9"/>
    <w:rsid w:val="DC378302"/>
    <w:rsid w:val="DFAFD98E"/>
    <w:rsid w:val="DFD36E3D"/>
    <w:rsid w:val="DFDBEDF4"/>
    <w:rsid w:val="DFE7CB32"/>
    <w:rsid w:val="DFFF24FB"/>
    <w:rsid w:val="DFFF2C6B"/>
    <w:rsid w:val="E2E7578A"/>
    <w:rsid w:val="E3FF9A45"/>
    <w:rsid w:val="E9F3AA9D"/>
    <w:rsid w:val="EA5F9C24"/>
    <w:rsid w:val="EB67E42D"/>
    <w:rsid w:val="EC70EF55"/>
    <w:rsid w:val="EDFF57B2"/>
    <w:rsid w:val="EE7BA8C6"/>
    <w:rsid w:val="EEEDBD63"/>
    <w:rsid w:val="EEFDC7BC"/>
    <w:rsid w:val="EF4703B6"/>
    <w:rsid w:val="EF4F3735"/>
    <w:rsid w:val="EFDFE056"/>
    <w:rsid w:val="EFE50B82"/>
    <w:rsid w:val="EFFF2E1C"/>
    <w:rsid w:val="F0377CA6"/>
    <w:rsid w:val="F17B5020"/>
    <w:rsid w:val="F5BF373E"/>
    <w:rsid w:val="F62F0964"/>
    <w:rsid w:val="F6578367"/>
    <w:rsid w:val="F677432B"/>
    <w:rsid w:val="F75D5FE4"/>
    <w:rsid w:val="F7769923"/>
    <w:rsid w:val="F77E8FD2"/>
    <w:rsid w:val="F7EF9454"/>
    <w:rsid w:val="F9FF1672"/>
    <w:rsid w:val="F9FFE072"/>
    <w:rsid w:val="FB2FDE5F"/>
    <w:rsid w:val="FB473E95"/>
    <w:rsid w:val="FB787313"/>
    <w:rsid w:val="FBDEB25D"/>
    <w:rsid w:val="FBEFB275"/>
    <w:rsid w:val="FCB614F6"/>
    <w:rsid w:val="FCFA7ACB"/>
    <w:rsid w:val="FD8B8D55"/>
    <w:rsid w:val="FEDFFAD8"/>
    <w:rsid w:val="FEE7D27D"/>
    <w:rsid w:val="FEEFBFC6"/>
    <w:rsid w:val="FF7BD881"/>
    <w:rsid w:val="FF7F3EB4"/>
    <w:rsid w:val="FF7FFF69"/>
    <w:rsid w:val="FFBB6E0C"/>
    <w:rsid w:val="FFDEBB9C"/>
    <w:rsid w:val="FFDF0E21"/>
    <w:rsid w:val="FFE3D1E1"/>
    <w:rsid w:val="FFEB92FA"/>
    <w:rsid w:val="FFEDEF5D"/>
    <w:rsid w:val="FFEF78C3"/>
    <w:rsid w:val="FFF76758"/>
    <w:rsid w:val="FFF7B852"/>
    <w:rsid w:val="FFFB4E0E"/>
    <w:rsid w:val="FFFD8C79"/>
    <w:rsid w:val="FFFF2833"/>
    <w:rsid w:val="FF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color w:val="000000"/>
      <w:kern w:val="16"/>
      <w:sz w:val="3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20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Lines="100" w:afterLines="100" w:line="360" w:lineRule="auto"/>
      <w:jc w:val="left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3"/>
    <w:basedOn w:val="1"/>
    <w:next w:val="1"/>
    <w:qFormat/>
    <w:uiPriority w:val="0"/>
    <w:pPr>
      <w:ind w:left="600"/>
      <w:jc w:val="left"/>
    </w:pPr>
    <w:rPr>
      <w:rFonts w:ascii="Calibri" w:hAnsi="Calibri"/>
      <w:i/>
      <w:iCs/>
      <w:sz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8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13">
    <w:name w:val="toc 4"/>
    <w:basedOn w:val="1"/>
    <w:next w:val="1"/>
    <w:qFormat/>
    <w:uiPriority w:val="0"/>
    <w:pPr>
      <w:ind w:left="900"/>
      <w:jc w:val="left"/>
    </w:pPr>
    <w:rPr>
      <w:rFonts w:ascii="Calibri" w:hAnsi="Calibri"/>
      <w:sz w:val="18"/>
      <w:szCs w:val="18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toc 2"/>
    <w:basedOn w:val="12"/>
    <w:next w:val="1"/>
    <w:qFormat/>
    <w:uiPriority w:val="39"/>
    <w:pPr>
      <w:ind w:left="300"/>
      <w:jc w:val="left"/>
    </w:pPr>
    <w:rPr>
      <w:rFonts w:ascii="Calibri" w:hAnsi="Calibri"/>
      <w:smallCaps/>
      <w:sz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/>
      <w:color w:val="auto"/>
      <w:kern w:val="0"/>
      <w:sz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otnote reference"/>
    <w:basedOn w:val="20"/>
    <w:qFormat/>
    <w:uiPriority w:val="0"/>
    <w:rPr>
      <w:vertAlign w:val="superscript"/>
    </w:rPr>
  </w:style>
  <w:style w:type="paragraph" w:styleId="22">
    <w:name w:val="No Spacing"/>
    <w:qFormat/>
    <w:uiPriority w:val="99"/>
    <w:pPr>
      <w:ind w:firstLine="200" w:firstLineChars="200"/>
    </w:pPr>
    <w:rPr>
      <w:rFonts w:ascii="Times New Roman" w:hAnsi="Times New Roman" w:eastAsia="仿宋_GB2312" w:cs="Times New Roman"/>
      <w:sz w:val="30"/>
      <w:szCs w:val="22"/>
      <w:lang w:val="en-US" w:eastAsia="zh-CN" w:bidi="ar-SA"/>
    </w:rPr>
  </w:style>
  <w:style w:type="paragraph" w:customStyle="1" w:styleId="23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4">
    <w:name w:val="font6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2477</Words>
  <Characters>2566</Characters>
  <Lines>0</Lines>
  <Paragraphs>0</Paragraphs>
  <TotalTime>12</TotalTime>
  <ScaleCrop>false</ScaleCrop>
  <LinksUpToDate>false</LinksUpToDate>
  <CharactersWithSpaces>2998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2024-12-18T17:43:00Z</dcterms:created>
  <dc:creator>周槟</dc:creator>
  <cp:lastModifiedBy>陈静瑜</cp:lastModifiedBy>
  <cp:lastPrinted>2026-01-08T11:50:00Z</cp:lastPrinted>
  <dcterms:modified xsi:type="dcterms:W3CDTF">2026-03-16T03:07:13Z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A6236329EC61493DB1550F3384D2C382_11</vt:lpwstr>
  </property>
  <property fmtid="{D5CDD505-2E9C-101B-9397-08002B2CF9AE}" pid="4" name="KSOTemplateDocerSaveRecord">
    <vt:lpwstr>eyJoZGlkIjoiZThkMzY3NWQ4YTdkY2MzNjA1YzA0MzI3MDU1Zjk2NTQiLCJ1c2VySWQiOiI3ODIwNDgyMjQifQ==</vt:lpwstr>
  </property>
</Properties>
</file>